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40" w:type="dxa"/>
            <w:vAlign w:val="bottom"/>
            <w:gridSpan w:val="2"/>
          </w:tcPr>
          <w:p>
            <w:pPr>
              <w:jc w:val="right"/>
              <w:ind w:right="200"/>
              <w:spacing w:after="0"/>
              <w:rPr>
                <w:sz w:val="20"/>
                <w:szCs w:val="20"/>
                <w:color w:val="auto"/>
              </w:rPr>
            </w:pPr>
            <w:r>
              <w:rPr>
                <w:rFonts w:ascii="Arial" w:cs="Arial" w:eastAsia="Arial" w:hAnsi="Arial"/>
                <w:sz w:val="7"/>
                <w:szCs w:val="7"/>
                <w:color w:val="auto"/>
                <w:w w:val="71"/>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60" w:type="dxa"/>
            <w:vAlign w:val="bottom"/>
            <w:vMerge w:val="restart"/>
          </w:tcPr>
          <w:p>
            <w:pPr>
              <w:ind w:left="20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020" w:type="dxa"/>
            <w:vAlign w:val="bottom"/>
            <w:gridSpan w:val="4"/>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BAIN CAPITAL VENTURE</w:t>
              </w:r>
            </w:hyperlink>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20" w:type="dxa"/>
            <w:vAlign w:val="bottom"/>
            <w:gridSpan w:val="4"/>
            <w:vMerge w:val="continue"/>
          </w:tcPr>
          <w:p>
            <w:pPr>
              <w:spacing w:after="0"/>
              <w:rPr>
                <w:sz w:val="13"/>
                <w:szCs w:val="13"/>
                <w:color w:val="auto"/>
              </w:rPr>
            </w:pPr>
          </w:p>
        </w:tc>
        <w:tc>
          <w:tcPr>
            <w:tcW w:w="1560" w:type="dxa"/>
            <w:vAlign w:val="bottom"/>
          </w:tcPr>
          <w:p>
            <w:pPr>
              <w:ind w:left="20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780" w:type="dxa"/>
            <w:vAlign w:val="bottom"/>
            <w:tcBorders>
              <w:top w:val="single" w:sz="8" w:color="0000EE"/>
            </w:tcBorders>
            <w:gridSpan w:val="2"/>
          </w:tcPr>
          <w:p>
            <w:pPr>
              <w:spacing w:after="0" w:line="250" w:lineRule="exact"/>
              <w:rPr>
                <w:rFonts w:ascii="Arial" w:cs="Arial" w:eastAsia="Arial" w:hAnsi="Arial"/>
                <w:sz w:val="24"/>
                <w:szCs w:val="24"/>
                <w:color w:val="0000EE"/>
              </w:rPr>
            </w:pPr>
            <w:hyperlink r:id="rId10">
              <w:r>
                <w:rPr>
                  <w:rFonts w:ascii="Arial" w:cs="Arial" w:eastAsia="Arial" w:hAnsi="Arial"/>
                  <w:sz w:val="24"/>
                  <w:szCs w:val="24"/>
                  <w:color w:val="0000EE"/>
                </w:rPr>
                <w:t>INVESTORS, LLC</w:t>
              </w:r>
            </w:hyperlink>
          </w:p>
        </w:tc>
        <w:tc>
          <w:tcPr>
            <w:tcW w:w="40" w:type="dxa"/>
            <w:vAlign w:val="bottom"/>
            <w:tcBorders>
              <w:top w:val="single" w:sz="8" w:color="0000EE"/>
            </w:tcBorders>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ind w:left="200"/>
              <w:spacing w:after="0"/>
              <w:rPr>
                <w:sz w:val="20"/>
                <w:szCs w:val="20"/>
                <w:color w:val="auto"/>
              </w:rPr>
            </w:pPr>
            <w:r>
              <w:rPr>
                <w:rFonts w:ascii="Arial" w:cs="Arial" w:eastAsia="Arial" w:hAnsi="Arial"/>
                <w:sz w:val="20"/>
                <w:szCs w:val="20"/>
                <w:color w:val="0000FF"/>
              </w:rPr>
              <w:t>05/25/2021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0"/>
          <w:szCs w:val="20"/>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Flywire Corp</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FLYW</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0"/>
          <w:szCs w:val="20"/>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375"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20" w:type="dxa"/>
            <w:vAlign w:val="bottom"/>
          </w:tcPr>
          <w:p>
            <w:pPr>
              <w:ind w:left="12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200 CLARENDON STREET</w:t>
            </w:r>
          </w:p>
        </w:tc>
      </w:tr>
      <w:tr>
        <w:trPr>
          <w:trHeight w:val="237"/>
        </w:trPr>
        <w:tc>
          <w:tcPr>
            <w:tcW w:w="940" w:type="dxa"/>
            <w:vAlign w:val="bottom"/>
            <w:tcBorders>
              <w:bottom w:val="single" w:sz="8" w:color="9A9A9A"/>
            </w:tcBorders>
          </w:tcPr>
          <w:p>
            <w:pPr>
              <w:spacing w:after="0"/>
              <w:rPr>
                <w:sz w:val="20"/>
                <w:szCs w:val="20"/>
                <w:color w:val="auto"/>
              </w:rPr>
            </w:pPr>
          </w:p>
        </w:tc>
        <w:tc>
          <w:tcPr>
            <w:tcW w:w="82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r>
      <w:tr>
        <w:trPr>
          <w:trHeight w:val="299"/>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9"/>
        </w:trPr>
        <w:tc>
          <w:tcPr>
            <w:tcW w:w="940" w:type="dxa"/>
            <w:vAlign w:val="bottom"/>
          </w:tcPr>
          <w:p>
            <w:pPr>
              <w:ind w:left="40"/>
              <w:spacing w:after="0"/>
              <w:rPr>
                <w:sz w:val="20"/>
                <w:szCs w:val="20"/>
                <w:color w:val="auto"/>
              </w:rPr>
            </w:pPr>
            <w:r>
              <w:rPr>
                <w:rFonts w:ascii="Arial" w:cs="Arial" w:eastAsia="Arial" w:hAnsi="Arial"/>
                <w:sz w:val="20"/>
                <w:szCs w:val="20"/>
                <w:color w:val="0000FF"/>
              </w:rPr>
              <w:t>BOSTON</w:t>
            </w:r>
          </w:p>
        </w:tc>
        <w:tc>
          <w:tcPr>
            <w:tcW w:w="820" w:type="dxa"/>
            <w:vAlign w:val="bottom"/>
          </w:tcPr>
          <w:p>
            <w:pPr>
              <w:ind w:left="120"/>
              <w:spacing w:after="0"/>
              <w:rPr>
                <w:sz w:val="20"/>
                <w:szCs w:val="20"/>
                <w:color w:val="auto"/>
              </w:rPr>
            </w:pPr>
            <w:r>
              <w:rPr>
                <w:rFonts w:ascii="Arial" w:cs="Arial" w:eastAsia="Arial" w:hAnsi="Arial"/>
                <w:sz w:val="20"/>
                <w:szCs w:val="20"/>
                <w:color w:val="0000FF"/>
              </w:rPr>
              <w:t>MA</w:t>
            </w:r>
          </w:p>
        </w:tc>
        <w:tc>
          <w:tcPr>
            <w:tcW w:w="1340" w:type="dxa"/>
            <w:vAlign w:val="bottom"/>
          </w:tcPr>
          <w:p>
            <w:pPr>
              <w:ind w:left="340"/>
              <w:spacing w:after="0"/>
              <w:rPr>
                <w:sz w:val="20"/>
                <w:szCs w:val="20"/>
                <w:color w:val="auto"/>
              </w:rPr>
            </w:pPr>
            <w:r>
              <w:rPr>
                <w:rFonts w:ascii="Arial" w:cs="Arial" w:eastAsia="Arial" w:hAnsi="Arial"/>
                <w:sz w:val="20"/>
                <w:szCs w:val="20"/>
                <w:color w:val="0000FF"/>
              </w:rPr>
              <w:t>02116</w:t>
            </w:r>
          </w:p>
        </w:tc>
      </w:tr>
    </w:tbl>
    <w:p>
      <w:pPr>
        <w:spacing w:after="0" w:line="20" w:lineRule="exact"/>
        <w:rPr>
          <w:sz w:val="20"/>
          <w:szCs w:val="20"/>
          <w:color w:val="auto"/>
        </w:rPr>
      </w:pPr>
      <w:r>
        <w:rPr>
          <w:sz w:val="20"/>
          <w:szCs w:val="20"/>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0"/>
          <w:szCs w:val="20"/>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0"/>
          <w:szCs w:val="20"/>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0"/>
          <w:szCs w:val="20"/>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200" w:lineRule="exact"/>
        <w:rPr>
          <w:sz w:val="20"/>
          <w:szCs w:val="20"/>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86"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r>
              <w:rPr>
                <w:rFonts w:ascii="Arial" w:cs="Arial" w:eastAsia="Arial" w:hAnsi="Arial"/>
                <w:sz w:val="25"/>
                <w:szCs w:val="25"/>
                <w:color w:val="008000"/>
                <w:vertAlign w:val="superscript"/>
              </w:rPr>
              <w:t>(1)</w:t>
            </w:r>
          </w:p>
        </w:tc>
        <w:tc>
          <w:tcPr>
            <w:tcW w:w="1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ind w:left="760"/>
              <w:spacing w:after="0"/>
              <w:rPr>
                <w:sz w:val="20"/>
                <w:szCs w:val="20"/>
                <w:color w:val="auto"/>
              </w:rPr>
            </w:pPr>
            <w:r>
              <w:rPr>
                <w:rFonts w:ascii="Arial" w:cs="Arial" w:eastAsia="Arial" w:hAnsi="Arial"/>
                <w:sz w:val="20"/>
                <w:szCs w:val="20"/>
                <w:color w:val="0000FF"/>
              </w:rPr>
              <w:t>6,312,366</w:t>
            </w:r>
          </w:p>
        </w:tc>
        <w:tc>
          <w:tcPr>
            <w:tcW w:w="9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0"/>
                <w:szCs w:val="20"/>
                <w:color w:val="0000FF"/>
              </w:rPr>
              <w:t>I</w:t>
            </w:r>
          </w:p>
        </w:tc>
        <w:tc>
          <w:tcPr>
            <w:tcW w:w="2780" w:type="dxa"/>
            <w:vAlign w:val="bottom"/>
            <w:tcBorders>
              <w:bottom w:val="single" w:sz="8" w:color="2C2C2C"/>
            </w:tcBorders>
            <w:gridSpan w:val="4"/>
          </w:tcPr>
          <w:p>
            <w:pPr>
              <w:spacing w:after="0"/>
              <w:rPr>
                <w:sz w:val="20"/>
                <w:szCs w:val="20"/>
                <w:color w:val="auto"/>
              </w:rPr>
            </w:pPr>
            <w:r>
              <w:rPr>
                <w:rFonts w:ascii="Arial" w:cs="Arial" w:eastAsia="Arial" w:hAnsi="Arial"/>
                <w:sz w:val="20"/>
                <w:szCs w:val="20"/>
                <w:color w:val="0000FF"/>
              </w:rPr>
              <w:t>See footnotes</w:t>
            </w:r>
            <w:r>
              <w:rPr>
                <w:rFonts w:ascii="Arial" w:cs="Arial" w:eastAsia="Arial" w:hAnsi="Arial"/>
                <w:sz w:val="25"/>
                <w:szCs w:val="25"/>
                <w:color w:val="008000"/>
                <w:vertAlign w:val="superscript"/>
              </w:rPr>
              <w:t>(5)(12)(13)</w:t>
            </w: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5320" w:type="dxa"/>
            <w:vAlign w:val="bottom"/>
            <w:tcBorders>
              <w:top w:val="single" w:sz="8" w:color="2C2C2C"/>
            </w:tcBorders>
            <w:gridSpan w:val="6"/>
          </w:tcPr>
          <w:p>
            <w:pPr>
              <w:ind w:left="3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2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5480" w:type="dxa"/>
            <w:vAlign w:val="bottom"/>
            <w:gridSpan w:val="7"/>
          </w:tcPr>
          <w:p>
            <w:pPr>
              <w:ind w:left="100"/>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6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6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w:t>
            </w:r>
          </w:p>
        </w:tc>
        <w:tc>
          <w:tcPr>
            <w:tcW w:w="160" w:type="dxa"/>
            <w:vAlign w:val="bottom"/>
          </w:tcPr>
          <w:p>
            <w:pPr>
              <w:spacing w:after="0"/>
              <w:rPr>
                <w:sz w:val="17"/>
                <w:szCs w:val="17"/>
                <w:color w:val="auto"/>
              </w:rPr>
            </w:pPr>
          </w:p>
        </w:tc>
        <w:tc>
          <w:tcPr>
            <w:tcW w:w="1880" w:type="dxa"/>
            <w:vAlign w:val="bottom"/>
            <w:gridSpan w:val="3"/>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76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22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62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 Indirect</w:t>
            </w:r>
          </w:p>
        </w:tc>
        <w:tc>
          <w:tcPr>
            <w:tcW w:w="0" w:type="dxa"/>
            <w:vAlign w:val="bottom"/>
          </w:tcPr>
          <w:p>
            <w:pPr>
              <w:spacing w:after="0"/>
              <w:rPr>
                <w:sz w:val="1"/>
                <w:szCs w:val="1"/>
                <w:color w:val="auto"/>
              </w:rPr>
            </w:pPr>
          </w:p>
        </w:tc>
      </w:tr>
      <w:tr>
        <w:trPr>
          <w:trHeight w:val="165"/>
        </w:trPr>
        <w:tc>
          <w:tcPr>
            <w:tcW w:w="26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4)</w:t>
            </w:r>
          </w:p>
        </w:tc>
        <w:tc>
          <w:tcPr>
            <w:tcW w:w="160" w:type="dxa"/>
            <w:vAlign w:val="bottom"/>
          </w:tcPr>
          <w:p>
            <w:pPr>
              <w:spacing w:after="0"/>
              <w:rPr>
                <w:sz w:val="14"/>
                <w:szCs w:val="14"/>
                <w:color w:val="auto"/>
              </w:rPr>
            </w:pPr>
          </w:p>
        </w:tc>
        <w:tc>
          <w:tcPr>
            <w:tcW w:w="18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6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8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6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22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6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98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Amount or</w:t>
            </w:r>
          </w:p>
        </w:tc>
        <w:tc>
          <w:tcPr>
            <w:tcW w:w="7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98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2"/>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0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98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Number of</w:t>
            </w:r>
          </w:p>
        </w:tc>
        <w:tc>
          <w:tcPr>
            <w:tcW w:w="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220" w:type="dxa"/>
            <w:vAlign w:val="bottom"/>
          </w:tcPr>
          <w:p>
            <w:pPr>
              <w:spacing w:after="0"/>
              <w:rPr>
                <w:sz w:val="14"/>
                <w:szCs w:val="14"/>
                <w:color w:val="auto"/>
              </w:rPr>
            </w:pP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2"/>
          </w:tcPr>
          <w:p>
            <w:pPr>
              <w:ind w:left="80"/>
              <w:spacing w:after="0"/>
              <w:rPr>
                <w:sz w:val="20"/>
                <w:szCs w:val="20"/>
                <w:color w:val="auto"/>
              </w:rPr>
            </w:pPr>
            <w:r>
              <w:rPr>
                <w:rFonts w:ascii="Arial" w:cs="Arial" w:eastAsia="Arial" w:hAnsi="Arial"/>
                <w:sz w:val="15"/>
                <w:szCs w:val="15"/>
                <w:b w:val="1"/>
                <w:bCs w:val="1"/>
                <w:color w:val="auto"/>
              </w:rPr>
              <w:t>Date</w:t>
            </w:r>
          </w:p>
        </w:tc>
        <w:tc>
          <w:tcPr>
            <w:tcW w:w="1700" w:type="dxa"/>
            <w:vAlign w:val="bottom"/>
            <w:vMerge w:val="continue"/>
          </w:tcPr>
          <w:p>
            <w:pPr>
              <w:spacing w:after="0"/>
              <w:rPr>
                <w:sz w:val="17"/>
                <w:szCs w:val="17"/>
                <w:color w:val="auto"/>
              </w:rPr>
            </w:pPr>
          </w:p>
        </w:tc>
        <w:tc>
          <w:tcPr>
            <w:tcW w:w="980" w:type="dxa"/>
            <w:vAlign w:val="bottom"/>
          </w:tcPr>
          <w:p>
            <w:pPr>
              <w:ind w:left="120"/>
              <w:spacing w:after="0"/>
              <w:rPr>
                <w:sz w:val="20"/>
                <w:szCs w:val="20"/>
                <w:color w:val="auto"/>
              </w:rPr>
            </w:pPr>
            <w:r>
              <w:rPr>
                <w:rFonts w:ascii="Arial" w:cs="Arial" w:eastAsia="Arial" w:hAnsi="Arial"/>
                <w:sz w:val="15"/>
                <w:szCs w:val="15"/>
                <w:b w:val="1"/>
                <w:bCs w:val="1"/>
                <w:color w:val="auto"/>
              </w:rPr>
              <w:t>Shares</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660" w:type="dxa"/>
            <w:vAlign w:val="bottom"/>
            <w:vMerge w:val="restart"/>
          </w:tcPr>
          <w:p>
            <w:pPr>
              <w:ind w:left="80"/>
              <w:spacing w:after="0"/>
              <w:rPr>
                <w:sz w:val="20"/>
                <w:szCs w:val="20"/>
                <w:color w:val="auto"/>
              </w:rPr>
            </w:pPr>
            <w:r>
              <w:rPr>
                <w:rFonts w:ascii="Arial" w:cs="Arial" w:eastAsia="Arial" w:hAnsi="Arial"/>
                <w:sz w:val="20"/>
                <w:szCs w:val="20"/>
                <w:color w:val="0000FF"/>
              </w:rPr>
              <w:t>Series A Preferred Stock</w:t>
            </w:r>
          </w:p>
        </w:tc>
        <w:tc>
          <w:tcPr>
            <w:tcW w:w="114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(2)</w:t>
            </w:r>
          </w:p>
        </w:tc>
        <w:tc>
          <w:tcPr>
            <w:tcW w:w="540" w:type="dxa"/>
            <w:vAlign w:val="bottom"/>
            <w:vMerge w:val="restart"/>
          </w:tcPr>
          <w:p>
            <w:pPr>
              <w:jc w:val="center"/>
              <w:ind w:left="294"/>
              <w:spacing w:after="0"/>
              <w:rPr>
                <w:sz w:val="20"/>
                <w:szCs w:val="20"/>
                <w:color w:val="auto"/>
              </w:rPr>
            </w:pPr>
            <w:r>
              <w:rPr>
                <w:rFonts w:ascii="Arial" w:cs="Arial" w:eastAsia="Arial" w:hAnsi="Arial"/>
                <w:sz w:val="13"/>
                <w:szCs w:val="13"/>
                <w:color w:val="008000"/>
                <w:w w:val="87"/>
              </w:rPr>
              <w:t>(2)</w:t>
            </w:r>
          </w:p>
        </w:tc>
        <w:tc>
          <w:tcPr>
            <w:tcW w:w="3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980" w:type="dxa"/>
            <w:vAlign w:val="bottom"/>
            <w:vMerge w:val="restart"/>
          </w:tcPr>
          <w:p>
            <w:pPr>
              <w:jc w:val="center"/>
              <w:spacing w:after="0"/>
              <w:rPr>
                <w:sz w:val="20"/>
                <w:szCs w:val="20"/>
                <w:color w:val="auto"/>
              </w:rPr>
            </w:pPr>
            <w:r>
              <w:rPr>
                <w:rFonts w:ascii="Arial" w:cs="Arial" w:eastAsia="Arial" w:hAnsi="Arial"/>
                <w:sz w:val="20"/>
                <w:szCs w:val="20"/>
                <w:color w:val="0000FF"/>
                <w:w w:val="88"/>
              </w:rPr>
              <w:t>554,376</w:t>
            </w:r>
          </w:p>
        </w:tc>
        <w:tc>
          <w:tcPr>
            <w:tcW w:w="760" w:type="dxa"/>
            <w:vAlign w:val="bottom"/>
            <w:vMerge w:val="restart"/>
          </w:tcPr>
          <w:p>
            <w:pPr>
              <w:jc w:val="center"/>
              <w:ind w:left="144"/>
              <w:spacing w:after="0"/>
              <w:rPr>
                <w:sz w:val="20"/>
                <w:szCs w:val="20"/>
                <w:color w:val="auto"/>
              </w:rPr>
            </w:pPr>
            <w:r>
              <w:rPr>
                <w:rFonts w:ascii="Arial" w:cs="Arial" w:eastAsia="Arial" w:hAnsi="Arial"/>
                <w:sz w:val="13"/>
                <w:szCs w:val="13"/>
                <w:color w:val="008000"/>
                <w:w w:val="87"/>
              </w:rPr>
              <w:t>(2)</w:t>
            </w:r>
          </w:p>
        </w:tc>
        <w:tc>
          <w:tcPr>
            <w:tcW w:w="220" w:type="dxa"/>
            <w:vAlign w:val="bottom"/>
          </w:tcPr>
          <w:p>
            <w:pPr>
              <w:spacing w:after="0"/>
              <w:rPr>
                <w:sz w:val="24"/>
                <w:szCs w:val="24"/>
                <w:color w:val="auto"/>
              </w:rPr>
            </w:pP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620" w:type="dxa"/>
            <w:vAlign w:val="bottom"/>
            <w:gridSpan w:val="2"/>
          </w:tcPr>
          <w:p>
            <w:pPr>
              <w:ind w:left="80"/>
              <w:spacing w:after="0"/>
              <w:rPr>
                <w:sz w:val="20"/>
                <w:szCs w:val="20"/>
                <w:color w:val="auto"/>
              </w:rPr>
            </w:pPr>
            <w:r>
              <w:rPr>
                <w:rFonts w:ascii="Arial" w:cs="Arial" w:eastAsia="Arial" w:hAnsi="Arial"/>
                <w:sz w:val="20"/>
                <w:szCs w:val="20"/>
                <w:color w:val="0000FF"/>
                <w:w w:val="87"/>
              </w:rPr>
              <w:t>See footnotes</w:t>
            </w:r>
            <w:r>
              <w:rPr>
                <w:rFonts w:ascii="Arial" w:cs="Arial" w:eastAsia="Arial" w:hAnsi="Arial"/>
                <w:sz w:val="25"/>
                <w:szCs w:val="25"/>
                <w:color w:val="008000"/>
                <w:w w:val="87"/>
                <w:vertAlign w:val="superscript"/>
              </w:rPr>
              <w:t>(6)(12)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60" w:type="dxa"/>
            <w:vAlign w:val="bottom"/>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700" w:type="dxa"/>
            <w:vAlign w:val="bottom"/>
            <w:vMerge w:val="restart"/>
          </w:tcPr>
          <w:p>
            <w:pPr>
              <w:jc w:val="center"/>
              <w:spacing w:after="0"/>
              <w:rPr>
                <w:sz w:val="20"/>
                <w:szCs w:val="20"/>
                <w:color w:val="auto"/>
              </w:rPr>
            </w:pPr>
            <w:r>
              <w:rPr>
                <w:rFonts w:ascii="Arial" w:cs="Arial" w:eastAsia="Arial" w:hAnsi="Arial"/>
                <w:sz w:val="20"/>
                <w:szCs w:val="20"/>
                <w:color w:val="0000FF"/>
                <w:w w:val="82"/>
              </w:rPr>
              <w:t>Stock</w:t>
            </w:r>
            <w:r>
              <w:rPr>
                <w:rFonts w:ascii="Arial" w:cs="Arial" w:eastAsia="Arial" w:hAnsi="Arial"/>
                <w:sz w:val="25"/>
                <w:szCs w:val="25"/>
                <w:color w:val="008000"/>
                <w:w w:val="82"/>
                <w:vertAlign w:val="superscript"/>
              </w:rPr>
              <w:t>(1)</w:t>
            </w:r>
          </w:p>
        </w:tc>
        <w:tc>
          <w:tcPr>
            <w:tcW w:w="9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600" w:type="dxa"/>
            <w:vAlign w:val="bottom"/>
            <w:vMerge w:val="restart"/>
          </w:tcPr>
          <w:p>
            <w:pPr>
              <w:ind w:left="80"/>
              <w:spacing w:after="0"/>
              <w:rPr>
                <w:sz w:val="20"/>
                <w:szCs w:val="20"/>
                <w:color w:val="auto"/>
              </w:rPr>
            </w:pPr>
            <w:r>
              <w:rPr>
                <w:rFonts w:ascii="Arial" w:cs="Arial" w:eastAsia="Arial" w:hAnsi="Arial"/>
                <w:sz w:val="13"/>
                <w:szCs w:val="13"/>
                <w:color w:val="008000"/>
              </w:rPr>
              <w:t>(13)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66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1700" w:type="dxa"/>
            <w:vAlign w:val="bottom"/>
            <w:tcBorders>
              <w:bottom w:val="single" w:sz="8" w:color="2C2C2C"/>
            </w:tcBorders>
            <w:vMerge w:val="continue"/>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600" w:type="dxa"/>
            <w:vAlign w:val="bottom"/>
            <w:tcBorders>
              <w:bottom w:val="single" w:sz="8" w:color="2C2C2C"/>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660" w:type="dxa"/>
            <w:vAlign w:val="bottom"/>
            <w:vMerge w:val="restart"/>
          </w:tcPr>
          <w:p>
            <w:pPr>
              <w:ind w:left="80"/>
              <w:spacing w:after="0"/>
              <w:rPr>
                <w:sz w:val="20"/>
                <w:szCs w:val="20"/>
                <w:color w:val="auto"/>
              </w:rPr>
            </w:pPr>
            <w:r>
              <w:rPr>
                <w:rFonts w:ascii="Arial" w:cs="Arial" w:eastAsia="Arial" w:hAnsi="Arial"/>
                <w:sz w:val="20"/>
                <w:szCs w:val="20"/>
                <w:color w:val="0000FF"/>
              </w:rPr>
              <w:t>Series B Preferred Stock</w:t>
            </w:r>
          </w:p>
        </w:tc>
        <w:tc>
          <w:tcPr>
            <w:tcW w:w="114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(2)</w:t>
            </w:r>
          </w:p>
        </w:tc>
        <w:tc>
          <w:tcPr>
            <w:tcW w:w="540" w:type="dxa"/>
            <w:vAlign w:val="bottom"/>
            <w:vMerge w:val="restart"/>
          </w:tcPr>
          <w:p>
            <w:pPr>
              <w:jc w:val="center"/>
              <w:ind w:left="294"/>
              <w:spacing w:after="0"/>
              <w:rPr>
                <w:sz w:val="20"/>
                <w:szCs w:val="20"/>
                <w:color w:val="auto"/>
              </w:rPr>
            </w:pPr>
            <w:r>
              <w:rPr>
                <w:rFonts w:ascii="Arial" w:cs="Arial" w:eastAsia="Arial" w:hAnsi="Arial"/>
                <w:sz w:val="13"/>
                <w:szCs w:val="13"/>
                <w:color w:val="008000"/>
                <w:w w:val="87"/>
              </w:rPr>
              <w:t>(2)</w:t>
            </w:r>
          </w:p>
        </w:tc>
        <w:tc>
          <w:tcPr>
            <w:tcW w:w="3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980" w:type="dxa"/>
            <w:vAlign w:val="bottom"/>
            <w:vMerge w:val="restart"/>
          </w:tcPr>
          <w:p>
            <w:pPr>
              <w:jc w:val="center"/>
              <w:spacing w:after="0"/>
              <w:rPr>
                <w:sz w:val="20"/>
                <w:szCs w:val="20"/>
                <w:color w:val="auto"/>
              </w:rPr>
            </w:pPr>
            <w:r>
              <w:rPr>
                <w:rFonts w:ascii="Arial" w:cs="Arial" w:eastAsia="Arial" w:hAnsi="Arial"/>
                <w:sz w:val="20"/>
                <w:szCs w:val="20"/>
                <w:color w:val="0000FF"/>
                <w:w w:val="87"/>
              </w:rPr>
              <w:t>1,540,935</w:t>
            </w:r>
          </w:p>
        </w:tc>
        <w:tc>
          <w:tcPr>
            <w:tcW w:w="760" w:type="dxa"/>
            <w:vAlign w:val="bottom"/>
            <w:vMerge w:val="restart"/>
          </w:tcPr>
          <w:p>
            <w:pPr>
              <w:jc w:val="center"/>
              <w:ind w:left="144"/>
              <w:spacing w:after="0"/>
              <w:rPr>
                <w:sz w:val="20"/>
                <w:szCs w:val="20"/>
                <w:color w:val="auto"/>
              </w:rPr>
            </w:pPr>
            <w:r>
              <w:rPr>
                <w:rFonts w:ascii="Arial" w:cs="Arial" w:eastAsia="Arial" w:hAnsi="Arial"/>
                <w:sz w:val="13"/>
                <w:szCs w:val="13"/>
                <w:color w:val="008000"/>
                <w:w w:val="87"/>
              </w:rPr>
              <w:t>(2)</w:t>
            </w:r>
          </w:p>
        </w:tc>
        <w:tc>
          <w:tcPr>
            <w:tcW w:w="220" w:type="dxa"/>
            <w:vAlign w:val="bottom"/>
          </w:tcPr>
          <w:p>
            <w:pPr>
              <w:spacing w:after="0"/>
              <w:rPr>
                <w:sz w:val="24"/>
                <w:szCs w:val="24"/>
                <w:color w:val="auto"/>
              </w:rPr>
            </w:pP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620" w:type="dxa"/>
            <w:vAlign w:val="bottom"/>
            <w:gridSpan w:val="2"/>
          </w:tcPr>
          <w:p>
            <w:pPr>
              <w:ind w:left="80"/>
              <w:spacing w:after="0"/>
              <w:rPr>
                <w:sz w:val="20"/>
                <w:szCs w:val="20"/>
                <w:color w:val="auto"/>
              </w:rPr>
            </w:pPr>
            <w:r>
              <w:rPr>
                <w:rFonts w:ascii="Arial" w:cs="Arial" w:eastAsia="Arial" w:hAnsi="Arial"/>
                <w:sz w:val="20"/>
                <w:szCs w:val="20"/>
                <w:color w:val="0000FF"/>
                <w:w w:val="87"/>
              </w:rPr>
              <w:t>See footnotes</w:t>
            </w:r>
            <w:r>
              <w:rPr>
                <w:rFonts w:ascii="Arial" w:cs="Arial" w:eastAsia="Arial" w:hAnsi="Arial"/>
                <w:sz w:val="25"/>
                <w:szCs w:val="25"/>
                <w:color w:val="008000"/>
                <w:w w:val="87"/>
                <w:vertAlign w:val="superscript"/>
              </w:rPr>
              <w:t>(7)(12)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60" w:type="dxa"/>
            <w:vAlign w:val="bottom"/>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700" w:type="dxa"/>
            <w:vAlign w:val="bottom"/>
            <w:vMerge w:val="restart"/>
          </w:tcPr>
          <w:p>
            <w:pPr>
              <w:jc w:val="center"/>
              <w:spacing w:after="0"/>
              <w:rPr>
                <w:sz w:val="20"/>
                <w:szCs w:val="20"/>
                <w:color w:val="auto"/>
              </w:rPr>
            </w:pPr>
            <w:r>
              <w:rPr>
                <w:rFonts w:ascii="Arial" w:cs="Arial" w:eastAsia="Arial" w:hAnsi="Arial"/>
                <w:sz w:val="20"/>
                <w:szCs w:val="20"/>
                <w:color w:val="0000FF"/>
                <w:w w:val="82"/>
              </w:rPr>
              <w:t>Stock</w:t>
            </w:r>
            <w:r>
              <w:rPr>
                <w:rFonts w:ascii="Arial" w:cs="Arial" w:eastAsia="Arial" w:hAnsi="Arial"/>
                <w:sz w:val="25"/>
                <w:szCs w:val="25"/>
                <w:color w:val="008000"/>
                <w:w w:val="82"/>
                <w:vertAlign w:val="superscript"/>
              </w:rPr>
              <w:t>(1)</w:t>
            </w:r>
          </w:p>
        </w:tc>
        <w:tc>
          <w:tcPr>
            <w:tcW w:w="9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600" w:type="dxa"/>
            <w:vAlign w:val="bottom"/>
            <w:vMerge w:val="restart"/>
          </w:tcPr>
          <w:p>
            <w:pPr>
              <w:ind w:left="80"/>
              <w:spacing w:after="0"/>
              <w:rPr>
                <w:sz w:val="20"/>
                <w:szCs w:val="20"/>
                <w:color w:val="auto"/>
              </w:rPr>
            </w:pPr>
            <w:r>
              <w:rPr>
                <w:rFonts w:ascii="Arial" w:cs="Arial" w:eastAsia="Arial" w:hAnsi="Arial"/>
                <w:sz w:val="13"/>
                <w:szCs w:val="13"/>
                <w:color w:val="008000"/>
              </w:rPr>
              <w:t>(13)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66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1700" w:type="dxa"/>
            <w:vAlign w:val="bottom"/>
            <w:tcBorders>
              <w:bottom w:val="single" w:sz="8" w:color="2C2C2C"/>
            </w:tcBorders>
            <w:vMerge w:val="continue"/>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600" w:type="dxa"/>
            <w:vAlign w:val="bottom"/>
            <w:tcBorders>
              <w:bottom w:val="single" w:sz="8" w:color="2C2C2C"/>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660" w:type="dxa"/>
            <w:vAlign w:val="bottom"/>
            <w:vMerge w:val="restart"/>
          </w:tcPr>
          <w:p>
            <w:pPr>
              <w:ind w:left="80"/>
              <w:spacing w:after="0"/>
              <w:rPr>
                <w:sz w:val="20"/>
                <w:szCs w:val="20"/>
                <w:color w:val="auto"/>
              </w:rPr>
            </w:pPr>
            <w:r>
              <w:rPr>
                <w:rFonts w:ascii="Arial" w:cs="Arial" w:eastAsia="Arial" w:hAnsi="Arial"/>
                <w:sz w:val="20"/>
                <w:szCs w:val="20"/>
                <w:color w:val="0000FF"/>
              </w:rPr>
              <w:t>Series B-1 Preferred Stock</w:t>
            </w:r>
          </w:p>
        </w:tc>
        <w:tc>
          <w:tcPr>
            <w:tcW w:w="114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(2)</w:t>
            </w:r>
          </w:p>
        </w:tc>
        <w:tc>
          <w:tcPr>
            <w:tcW w:w="540" w:type="dxa"/>
            <w:vAlign w:val="bottom"/>
            <w:vMerge w:val="restart"/>
          </w:tcPr>
          <w:p>
            <w:pPr>
              <w:jc w:val="center"/>
              <w:ind w:left="294"/>
              <w:spacing w:after="0"/>
              <w:rPr>
                <w:sz w:val="20"/>
                <w:szCs w:val="20"/>
                <w:color w:val="auto"/>
              </w:rPr>
            </w:pPr>
            <w:r>
              <w:rPr>
                <w:rFonts w:ascii="Arial" w:cs="Arial" w:eastAsia="Arial" w:hAnsi="Arial"/>
                <w:sz w:val="13"/>
                <w:szCs w:val="13"/>
                <w:color w:val="008000"/>
                <w:w w:val="87"/>
              </w:rPr>
              <w:t>(2)</w:t>
            </w:r>
          </w:p>
        </w:tc>
        <w:tc>
          <w:tcPr>
            <w:tcW w:w="3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980" w:type="dxa"/>
            <w:vAlign w:val="bottom"/>
            <w:vMerge w:val="restart"/>
          </w:tcPr>
          <w:p>
            <w:pPr>
              <w:jc w:val="center"/>
              <w:spacing w:after="0"/>
              <w:rPr>
                <w:sz w:val="20"/>
                <w:szCs w:val="20"/>
                <w:color w:val="auto"/>
              </w:rPr>
            </w:pPr>
            <w:r>
              <w:rPr>
                <w:rFonts w:ascii="Arial" w:cs="Arial" w:eastAsia="Arial" w:hAnsi="Arial"/>
                <w:sz w:val="20"/>
                <w:szCs w:val="20"/>
                <w:color w:val="0000FF"/>
                <w:w w:val="88"/>
              </w:rPr>
              <w:t>166,437</w:t>
            </w:r>
          </w:p>
        </w:tc>
        <w:tc>
          <w:tcPr>
            <w:tcW w:w="760" w:type="dxa"/>
            <w:vAlign w:val="bottom"/>
            <w:vMerge w:val="restart"/>
          </w:tcPr>
          <w:p>
            <w:pPr>
              <w:jc w:val="center"/>
              <w:ind w:left="144"/>
              <w:spacing w:after="0"/>
              <w:rPr>
                <w:sz w:val="20"/>
                <w:szCs w:val="20"/>
                <w:color w:val="auto"/>
              </w:rPr>
            </w:pPr>
            <w:r>
              <w:rPr>
                <w:rFonts w:ascii="Arial" w:cs="Arial" w:eastAsia="Arial" w:hAnsi="Arial"/>
                <w:sz w:val="13"/>
                <w:szCs w:val="13"/>
                <w:color w:val="008000"/>
                <w:w w:val="87"/>
              </w:rPr>
              <w:t>(2)</w:t>
            </w:r>
          </w:p>
        </w:tc>
        <w:tc>
          <w:tcPr>
            <w:tcW w:w="220" w:type="dxa"/>
            <w:vAlign w:val="bottom"/>
          </w:tcPr>
          <w:p>
            <w:pPr>
              <w:spacing w:after="0"/>
              <w:rPr>
                <w:sz w:val="24"/>
                <w:szCs w:val="24"/>
                <w:color w:val="auto"/>
              </w:rPr>
            </w:pP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620" w:type="dxa"/>
            <w:vAlign w:val="bottom"/>
            <w:gridSpan w:val="2"/>
          </w:tcPr>
          <w:p>
            <w:pPr>
              <w:ind w:left="80"/>
              <w:spacing w:after="0"/>
              <w:rPr>
                <w:sz w:val="20"/>
                <w:szCs w:val="20"/>
                <w:color w:val="auto"/>
              </w:rPr>
            </w:pPr>
            <w:r>
              <w:rPr>
                <w:rFonts w:ascii="Arial" w:cs="Arial" w:eastAsia="Arial" w:hAnsi="Arial"/>
                <w:sz w:val="20"/>
                <w:szCs w:val="20"/>
                <w:color w:val="0000FF"/>
                <w:w w:val="87"/>
              </w:rPr>
              <w:t>See footnotes</w:t>
            </w:r>
            <w:r>
              <w:rPr>
                <w:rFonts w:ascii="Arial" w:cs="Arial" w:eastAsia="Arial" w:hAnsi="Arial"/>
                <w:sz w:val="25"/>
                <w:szCs w:val="25"/>
                <w:color w:val="008000"/>
                <w:w w:val="87"/>
                <w:vertAlign w:val="superscript"/>
              </w:rPr>
              <w:t>(8)(12)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60" w:type="dxa"/>
            <w:vAlign w:val="bottom"/>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700" w:type="dxa"/>
            <w:vAlign w:val="bottom"/>
            <w:vMerge w:val="restart"/>
          </w:tcPr>
          <w:p>
            <w:pPr>
              <w:jc w:val="center"/>
              <w:spacing w:after="0"/>
              <w:rPr>
                <w:sz w:val="20"/>
                <w:szCs w:val="20"/>
                <w:color w:val="auto"/>
              </w:rPr>
            </w:pPr>
            <w:r>
              <w:rPr>
                <w:rFonts w:ascii="Arial" w:cs="Arial" w:eastAsia="Arial" w:hAnsi="Arial"/>
                <w:sz w:val="20"/>
                <w:szCs w:val="20"/>
                <w:color w:val="0000FF"/>
                <w:w w:val="82"/>
              </w:rPr>
              <w:t>Stock</w:t>
            </w:r>
            <w:r>
              <w:rPr>
                <w:rFonts w:ascii="Arial" w:cs="Arial" w:eastAsia="Arial" w:hAnsi="Arial"/>
                <w:sz w:val="25"/>
                <w:szCs w:val="25"/>
                <w:color w:val="008000"/>
                <w:w w:val="82"/>
                <w:vertAlign w:val="superscript"/>
              </w:rPr>
              <w:t>(1)</w:t>
            </w:r>
          </w:p>
        </w:tc>
        <w:tc>
          <w:tcPr>
            <w:tcW w:w="9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600" w:type="dxa"/>
            <w:vAlign w:val="bottom"/>
            <w:vMerge w:val="restart"/>
          </w:tcPr>
          <w:p>
            <w:pPr>
              <w:ind w:left="80"/>
              <w:spacing w:after="0"/>
              <w:rPr>
                <w:sz w:val="20"/>
                <w:szCs w:val="20"/>
                <w:color w:val="auto"/>
              </w:rPr>
            </w:pPr>
            <w:r>
              <w:rPr>
                <w:rFonts w:ascii="Arial" w:cs="Arial" w:eastAsia="Arial" w:hAnsi="Arial"/>
                <w:sz w:val="13"/>
                <w:szCs w:val="13"/>
                <w:color w:val="008000"/>
              </w:rPr>
              <w:t>(13)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66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1700" w:type="dxa"/>
            <w:vAlign w:val="bottom"/>
            <w:tcBorders>
              <w:bottom w:val="single" w:sz="8" w:color="2C2C2C"/>
            </w:tcBorders>
            <w:vMerge w:val="continue"/>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600" w:type="dxa"/>
            <w:vAlign w:val="bottom"/>
            <w:tcBorders>
              <w:bottom w:val="single" w:sz="8" w:color="2C2C2C"/>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660" w:type="dxa"/>
            <w:vAlign w:val="bottom"/>
            <w:vMerge w:val="restart"/>
          </w:tcPr>
          <w:p>
            <w:pPr>
              <w:ind w:left="80"/>
              <w:spacing w:after="0"/>
              <w:rPr>
                <w:sz w:val="20"/>
                <w:szCs w:val="20"/>
                <w:color w:val="auto"/>
              </w:rPr>
            </w:pPr>
            <w:r>
              <w:rPr>
                <w:rFonts w:ascii="Arial" w:cs="Arial" w:eastAsia="Arial" w:hAnsi="Arial"/>
                <w:sz w:val="20"/>
                <w:szCs w:val="20"/>
                <w:color w:val="0000FF"/>
              </w:rPr>
              <w:t>Series C Preferred Stock</w:t>
            </w:r>
          </w:p>
        </w:tc>
        <w:tc>
          <w:tcPr>
            <w:tcW w:w="114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(2)</w:t>
            </w:r>
          </w:p>
        </w:tc>
        <w:tc>
          <w:tcPr>
            <w:tcW w:w="540" w:type="dxa"/>
            <w:vAlign w:val="bottom"/>
            <w:vMerge w:val="restart"/>
          </w:tcPr>
          <w:p>
            <w:pPr>
              <w:jc w:val="center"/>
              <w:ind w:left="294"/>
              <w:spacing w:after="0"/>
              <w:rPr>
                <w:sz w:val="20"/>
                <w:szCs w:val="20"/>
                <w:color w:val="auto"/>
              </w:rPr>
            </w:pPr>
            <w:r>
              <w:rPr>
                <w:rFonts w:ascii="Arial" w:cs="Arial" w:eastAsia="Arial" w:hAnsi="Arial"/>
                <w:sz w:val="13"/>
                <w:szCs w:val="13"/>
                <w:color w:val="008000"/>
                <w:w w:val="87"/>
              </w:rPr>
              <w:t>(2)</w:t>
            </w:r>
          </w:p>
        </w:tc>
        <w:tc>
          <w:tcPr>
            <w:tcW w:w="3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980" w:type="dxa"/>
            <w:vAlign w:val="bottom"/>
            <w:vMerge w:val="restart"/>
          </w:tcPr>
          <w:p>
            <w:pPr>
              <w:jc w:val="center"/>
              <w:spacing w:after="0"/>
              <w:rPr>
                <w:sz w:val="20"/>
                <w:szCs w:val="20"/>
                <w:color w:val="auto"/>
              </w:rPr>
            </w:pPr>
            <w:r>
              <w:rPr>
                <w:rFonts w:ascii="Arial" w:cs="Arial" w:eastAsia="Arial" w:hAnsi="Arial"/>
                <w:sz w:val="20"/>
                <w:szCs w:val="20"/>
                <w:color w:val="0000FF"/>
                <w:w w:val="87"/>
              </w:rPr>
              <w:t>7,700,250</w:t>
            </w:r>
          </w:p>
        </w:tc>
        <w:tc>
          <w:tcPr>
            <w:tcW w:w="760" w:type="dxa"/>
            <w:vAlign w:val="bottom"/>
            <w:vMerge w:val="restart"/>
          </w:tcPr>
          <w:p>
            <w:pPr>
              <w:jc w:val="center"/>
              <w:ind w:left="144"/>
              <w:spacing w:after="0"/>
              <w:rPr>
                <w:sz w:val="20"/>
                <w:szCs w:val="20"/>
                <w:color w:val="auto"/>
              </w:rPr>
            </w:pPr>
            <w:r>
              <w:rPr>
                <w:rFonts w:ascii="Arial" w:cs="Arial" w:eastAsia="Arial" w:hAnsi="Arial"/>
                <w:sz w:val="13"/>
                <w:szCs w:val="13"/>
                <w:color w:val="008000"/>
                <w:w w:val="87"/>
              </w:rPr>
              <w:t>(2)</w:t>
            </w:r>
          </w:p>
        </w:tc>
        <w:tc>
          <w:tcPr>
            <w:tcW w:w="220" w:type="dxa"/>
            <w:vAlign w:val="bottom"/>
          </w:tcPr>
          <w:p>
            <w:pPr>
              <w:spacing w:after="0"/>
              <w:rPr>
                <w:sz w:val="24"/>
                <w:szCs w:val="24"/>
                <w:color w:val="auto"/>
              </w:rPr>
            </w:pP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620" w:type="dxa"/>
            <w:vAlign w:val="bottom"/>
            <w:gridSpan w:val="2"/>
          </w:tcPr>
          <w:p>
            <w:pPr>
              <w:ind w:left="80"/>
              <w:spacing w:after="0"/>
              <w:rPr>
                <w:sz w:val="20"/>
                <w:szCs w:val="20"/>
                <w:color w:val="auto"/>
              </w:rPr>
            </w:pPr>
            <w:r>
              <w:rPr>
                <w:rFonts w:ascii="Arial" w:cs="Arial" w:eastAsia="Arial" w:hAnsi="Arial"/>
                <w:sz w:val="20"/>
                <w:szCs w:val="20"/>
                <w:color w:val="0000FF"/>
                <w:w w:val="87"/>
              </w:rPr>
              <w:t>See footnotes</w:t>
            </w:r>
            <w:r>
              <w:rPr>
                <w:rFonts w:ascii="Arial" w:cs="Arial" w:eastAsia="Arial" w:hAnsi="Arial"/>
                <w:sz w:val="25"/>
                <w:szCs w:val="25"/>
                <w:color w:val="008000"/>
                <w:w w:val="87"/>
                <w:vertAlign w:val="superscript"/>
              </w:rPr>
              <w:t>(9)(12)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60" w:type="dxa"/>
            <w:vAlign w:val="bottom"/>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700" w:type="dxa"/>
            <w:vAlign w:val="bottom"/>
            <w:vMerge w:val="restart"/>
          </w:tcPr>
          <w:p>
            <w:pPr>
              <w:jc w:val="center"/>
              <w:spacing w:after="0"/>
              <w:rPr>
                <w:sz w:val="20"/>
                <w:szCs w:val="20"/>
                <w:color w:val="auto"/>
              </w:rPr>
            </w:pPr>
            <w:r>
              <w:rPr>
                <w:rFonts w:ascii="Arial" w:cs="Arial" w:eastAsia="Arial" w:hAnsi="Arial"/>
                <w:sz w:val="20"/>
                <w:szCs w:val="20"/>
                <w:color w:val="0000FF"/>
                <w:w w:val="82"/>
              </w:rPr>
              <w:t>Stock</w:t>
            </w:r>
            <w:r>
              <w:rPr>
                <w:rFonts w:ascii="Arial" w:cs="Arial" w:eastAsia="Arial" w:hAnsi="Arial"/>
                <w:sz w:val="25"/>
                <w:szCs w:val="25"/>
                <w:color w:val="008000"/>
                <w:w w:val="82"/>
                <w:vertAlign w:val="superscript"/>
              </w:rPr>
              <w:t>(1)</w:t>
            </w:r>
          </w:p>
        </w:tc>
        <w:tc>
          <w:tcPr>
            <w:tcW w:w="9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600" w:type="dxa"/>
            <w:vAlign w:val="bottom"/>
            <w:vMerge w:val="restart"/>
          </w:tcPr>
          <w:p>
            <w:pPr>
              <w:ind w:left="80"/>
              <w:spacing w:after="0"/>
              <w:rPr>
                <w:sz w:val="20"/>
                <w:szCs w:val="20"/>
                <w:color w:val="auto"/>
              </w:rPr>
            </w:pPr>
            <w:r>
              <w:rPr>
                <w:rFonts w:ascii="Arial" w:cs="Arial" w:eastAsia="Arial" w:hAnsi="Arial"/>
                <w:sz w:val="13"/>
                <w:szCs w:val="13"/>
                <w:color w:val="008000"/>
              </w:rPr>
              <w:t>(13)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66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1700" w:type="dxa"/>
            <w:vAlign w:val="bottom"/>
            <w:tcBorders>
              <w:bottom w:val="single" w:sz="8" w:color="2C2C2C"/>
            </w:tcBorders>
            <w:vMerge w:val="continue"/>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600" w:type="dxa"/>
            <w:vAlign w:val="bottom"/>
            <w:tcBorders>
              <w:bottom w:val="single" w:sz="8" w:color="2C2C2C"/>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660" w:type="dxa"/>
            <w:vAlign w:val="bottom"/>
            <w:vMerge w:val="restart"/>
          </w:tcPr>
          <w:p>
            <w:pPr>
              <w:ind w:left="80"/>
              <w:spacing w:after="0"/>
              <w:rPr>
                <w:sz w:val="20"/>
                <w:szCs w:val="20"/>
                <w:color w:val="auto"/>
              </w:rPr>
            </w:pPr>
            <w:r>
              <w:rPr>
                <w:rFonts w:ascii="Arial" w:cs="Arial" w:eastAsia="Arial" w:hAnsi="Arial"/>
                <w:sz w:val="20"/>
                <w:szCs w:val="20"/>
                <w:color w:val="0000FF"/>
              </w:rPr>
              <w:t>Warrants (Right to Buy)</w:t>
            </w:r>
          </w:p>
        </w:tc>
        <w:tc>
          <w:tcPr>
            <w:tcW w:w="114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(3)</w:t>
            </w:r>
          </w:p>
        </w:tc>
        <w:tc>
          <w:tcPr>
            <w:tcW w:w="540" w:type="dxa"/>
            <w:vAlign w:val="bottom"/>
            <w:vMerge w:val="restart"/>
          </w:tcPr>
          <w:p>
            <w:pPr>
              <w:jc w:val="center"/>
              <w:ind w:left="294"/>
              <w:spacing w:after="0"/>
              <w:rPr>
                <w:sz w:val="20"/>
                <w:szCs w:val="20"/>
                <w:color w:val="auto"/>
              </w:rPr>
            </w:pPr>
            <w:r>
              <w:rPr>
                <w:rFonts w:ascii="Arial" w:cs="Arial" w:eastAsia="Arial" w:hAnsi="Arial"/>
                <w:sz w:val="13"/>
                <w:szCs w:val="13"/>
                <w:color w:val="008000"/>
                <w:w w:val="87"/>
              </w:rPr>
              <w:t>(3)</w:t>
            </w:r>
          </w:p>
        </w:tc>
        <w:tc>
          <w:tcPr>
            <w:tcW w:w="3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980" w:type="dxa"/>
            <w:vAlign w:val="bottom"/>
            <w:vMerge w:val="restart"/>
          </w:tcPr>
          <w:p>
            <w:pPr>
              <w:jc w:val="center"/>
              <w:spacing w:after="0"/>
              <w:rPr>
                <w:sz w:val="20"/>
                <w:szCs w:val="20"/>
                <w:color w:val="auto"/>
              </w:rPr>
            </w:pPr>
            <w:r>
              <w:rPr>
                <w:rFonts w:ascii="Arial" w:cs="Arial" w:eastAsia="Arial" w:hAnsi="Arial"/>
                <w:sz w:val="20"/>
                <w:szCs w:val="20"/>
                <w:color w:val="0000FF"/>
                <w:w w:val="88"/>
              </w:rPr>
              <w:t>75,000</w:t>
            </w:r>
          </w:p>
        </w:tc>
        <w:tc>
          <w:tcPr>
            <w:tcW w:w="760" w:type="dxa"/>
            <w:vAlign w:val="bottom"/>
            <w:vMerge w:val="restart"/>
          </w:tcPr>
          <w:p>
            <w:pPr>
              <w:jc w:val="center"/>
              <w:ind w:left="144"/>
              <w:spacing w:after="0"/>
              <w:rPr>
                <w:sz w:val="20"/>
                <w:szCs w:val="20"/>
                <w:color w:val="auto"/>
              </w:rPr>
            </w:pPr>
            <w:r>
              <w:rPr>
                <w:rFonts w:ascii="Arial" w:cs="Arial" w:eastAsia="Arial" w:hAnsi="Arial"/>
                <w:sz w:val="20"/>
                <w:szCs w:val="20"/>
                <w:color w:val="0000FF"/>
                <w:w w:val="87"/>
              </w:rPr>
              <w:t>0.17</w:t>
            </w:r>
          </w:p>
        </w:tc>
        <w:tc>
          <w:tcPr>
            <w:tcW w:w="220" w:type="dxa"/>
            <w:vAlign w:val="bottom"/>
          </w:tcPr>
          <w:p>
            <w:pPr>
              <w:spacing w:after="0"/>
              <w:rPr>
                <w:sz w:val="24"/>
                <w:szCs w:val="24"/>
                <w:color w:val="auto"/>
              </w:rPr>
            </w:pP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620" w:type="dxa"/>
            <w:vAlign w:val="bottom"/>
            <w:gridSpan w:val="2"/>
          </w:tcPr>
          <w:p>
            <w:pPr>
              <w:ind w:left="80"/>
              <w:spacing w:after="0"/>
              <w:rPr>
                <w:sz w:val="20"/>
                <w:szCs w:val="20"/>
                <w:color w:val="auto"/>
              </w:rPr>
            </w:pPr>
            <w:r>
              <w:rPr>
                <w:rFonts w:ascii="Arial" w:cs="Arial" w:eastAsia="Arial" w:hAnsi="Arial"/>
                <w:sz w:val="20"/>
                <w:szCs w:val="20"/>
                <w:color w:val="0000FF"/>
                <w:w w:val="99"/>
              </w:rPr>
              <w:t>See footnotes</w:t>
            </w:r>
            <w:r>
              <w:rPr>
                <w:rFonts w:ascii="Arial" w:cs="Arial" w:eastAsia="Arial" w:hAnsi="Arial"/>
                <w:sz w:val="25"/>
                <w:szCs w:val="25"/>
                <w:color w:val="008000"/>
                <w:w w:val="99"/>
                <w:vertAlign w:val="superscript"/>
              </w:rPr>
              <w:t>(10)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60" w:type="dxa"/>
            <w:vAlign w:val="bottom"/>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700" w:type="dxa"/>
            <w:vAlign w:val="bottom"/>
            <w:vMerge w:val="restart"/>
          </w:tcPr>
          <w:p>
            <w:pPr>
              <w:jc w:val="center"/>
              <w:spacing w:after="0"/>
              <w:rPr>
                <w:sz w:val="20"/>
                <w:szCs w:val="20"/>
                <w:color w:val="auto"/>
              </w:rPr>
            </w:pPr>
            <w:r>
              <w:rPr>
                <w:rFonts w:ascii="Arial" w:cs="Arial" w:eastAsia="Arial" w:hAnsi="Arial"/>
                <w:sz w:val="20"/>
                <w:szCs w:val="20"/>
                <w:color w:val="0000FF"/>
                <w:w w:val="82"/>
              </w:rPr>
              <w:t>Stock</w:t>
            </w:r>
            <w:r>
              <w:rPr>
                <w:rFonts w:ascii="Arial" w:cs="Arial" w:eastAsia="Arial" w:hAnsi="Arial"/>
                <w:sz w:val="25"/>
                <w:szCs w:val="25"/>
                <w:color w:val="008000"/>
                <w:w w:val="82"/>
                <w:vertAlign w:val="superscript"/>
              </w:rPr>
              <w:t>(1)</w:t>
            </w:r>
          </w:p>
        </w:tc>
        <w:tc>
          <w:tcPr>
            <w:tcW w:w="9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600" w:type="dxa"/>
            <w:vAlign w:val="bottom"/>
            <w:vMerge w:val="restart"/>
          </w:tcPr>
          <w:p>
            <w:pPr>
              <w:ind w:left="80"/>
              <w:spacing w:after="0"/>
              <w:rPr>
                <w:sz w:val="20"/>
                <w:szCs w:val="20"/>
                <w:color w:val="auto"/>
              </w:rPr>
            </w:pPr>
            <w:r>
              <w:rPr>
                <w:rFonts w:ascii="Arial" w:cs="Arial" w:eastAsia="Arial" w:hAnsi="Arial"/>
                <w:sz w:val="13"/>
                <w:szCs w:val="13"/>
                <w:color w:val="008000"/>
              </w:rPr>
              <w:t>(12)(13)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66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1700" w:type="dxa"/>
            <w:vAlign w:val="bottom"/>
            <w:tcBorders>
              <w:bottom w:val="single" w:sz="8" w:color="2C2C2C"/>
            </w:tcBorders>
            <w:vMerge w:val="continue"/>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600" w:type="dxa"/>
            <w:vAlign w:val="bottom"/>
            <w:tcBorders>
              <w:bottom w:val="single" w:sz="8" w:color="2C2C2C"/>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660" w:type="dxa"/>
            <w:vAlign w:val="bottom"/>
            <w:vMerge w:val="restart"/>
          </w:tcPr>
          <w:p>
            <w:pPr>
              <w:ind w:left="80"/>
              <w:spacing w:after="0"/>
              <w:rPr>
                <w:sz w:val="20"/>
                <w:szCs w:val="20"/>
                <w:color w:val="auto"/>
              </w:rPr>
            </w:pPr>
            <w:r>
              <w:rPr>
                <w:rFonts w:ascii="Arial" w:cs="Arial" w:eastAsia="Arial" w:hAnsi="Arial"/>
                <w:sz w:val="20"/>
                <w:szCs w:val="20"/>
                <w:color w:val="0000FF"/>
              </w:rPr>
              <w:t>Warrants (Right to Buy)</w:t>
            </w:r>
          </w:p>
        </w:tc>
        <w:tc>
          <w:tcPr>
            <w:tcW w:w="114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(4)</w:t>
            </w:r>
          </w:p>
        </w:tc>
        <w:tc>
          <w:tcPr>
            <w:tcW w:w="540" w:type="dxa"/>
            <w:vAlign w:val="bottom"/>
            <w:vMerge w:val="restart"/>
          </w:tcPr>
          <w:p>
            <w:pPr>
              <w:jc w:val="center"/>
              <w:ind w:left="294"/>
              <w:spacing w:after="0"/>
              <w:rPr>
                <w:sz w:val="20"/>
                <w:szCs w:val="20"/>
                <w:color w:val="auto"/>
              </w:rPr>
            </w:pPr>
            <w:r>
              <w:rPr>
                <w:rFonts w:ascii="Arial" w:cs="Arial" w:eastAsia="Arial" w:hAnsi="Arial"/>
                <w:sz w:val="13"/>
                <w:szCs w:val="13"/>
                <w:color w:val="008000"/>
                <w:w w:val="87"/>
              </w:rPr>
              <w:t>(4)</w:t>
            </w:r>
          </w:p>
        </w:tc>
        <w:tc>
          <w:tcPr>
            <w:tcW w:w="3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20"/>
                <w:szCs w:val="20"/>
                <w:color w:val="0000FF"/>
                <w:w w:val="85"/>
              </w:rPr>
              <w:t>Series C Preferred</w:t>
            </w:r>
          </w:p>
        </w:tc>
        <w:tc>
          <w:tcPr>
            <w:tcW w:w="980" w:type="dxa"/>
            <w:vAlign w:val="bottom"/>
            <w:vMerge w:val="restart"/>
          </w:tcPr>
          <w:p>
            <w:pPr>
              <w:jc w:val="center"/>
              <w:spacing w:after="0"/>
              <w:rPr>
                <w:sz w:val="20"/>
                <w:szCs w:val="20"/>
                <w:color w:val="auto"/>
              </w:rPr>
            </w:pPr>
            <w:r>
              <w:rPr>
                <w:rFonts w:ascii="Arial" w:cs="Arial" w:eastAsia="Arial" w:hAnsi="Arial"/>
                <w:sz w:val="20"/>
                <w:szCs w:val="20"/>
                <w:color w:val="0000FF"/>
                <w:w w:val="88"/>
              </w:rPr>
              <w:t>190,500</w:t>
            </w:r>
          </w:p>
        </w:tc>
        <w:tc>
          <w:tcPr>
            <w:tcW w:w="760" w:type="dxa"/>
            <w:vAlign w:val="bottom"/>
            <w:vMerge w:val="restart"/>
          </w:tcPr>
          <w:p>
            <w:pPr>
              <w:jc w:val="center"/>
              <w:ind w:left="144"/>
              <w:spacing w:after="0"/>
              <w:rPr>
                <w:sz w:val="20"/>
                <w:szCs w:val="20"/>
                <w:color w:val="auto"/>
              </w:rPr>
            </w:pPr>
            <w:r>
              <w:rPr>
                <w:rFonts w:ascii="Arial" w:cs="Arial" w:eastAsia="Arial" w:hAnsi="Arial"/>
                <w:sz w:val="20"/>
                <w:szCs w:val="20"/>
                <w:color w:val="0000FF"/>
                <w:w w:val="87"/>
              </w:rPr>
              <w:t>1.48</w:t>
            </w:r>
          </w:p>
        </w:tc>
        <w:tc>
          <w:tcPr>
            <w:tcW w:w="220" w:type="dxa"/>
            <w:vAlign w:val="bottom"/>
          </w:tcPr>
          <w:p>
            <w:pPr>
              <w:spacing w:after="0"/>
              <w:rPr>
                <w:sz w:val="24"/>
                <w:szCs w:val="24"/>
                <w:color w:val="auto"/>
              </w:rPr>
            </w:pP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620" w:type="dxa"/>
            <w:vAlign w:val="bottom"/>
            <w:gridSpan w:val="2"/>
          </w:tcPr>
          <w:p>
            <w:pPr>
              <w:ind w:left="80"/>
              <w:spacing w:after="0"/>
              <w:rPr>
                <w:sz w:val="20"/>
                <w:szCs w:val="20"/>
                <w:color w:val="auto"/>
              </w:rPr>
            </w:pPr>
            <w:r>
              <w:rPr>
                <w:rFonts w:ascii="Arial" w:cs="Arial" w:eastAsia="Arial" w:hAnsi="Arial"/>
                <w:sz w:val="20"/>
                <w:szCs w:val="20"/>
                <w:color w:val="0000FF"/>
                <w:w w:val="99"/>
              </w:rPr>
              <w:t>See footnotes</w:t>
            </w:r>
            <w:r>
              <w:rPr>
                <w:rFonts w:ascii="Arial" w:cs="Arial" w:eastAsia="Arial" w:hAnsi="Arial"/>
                <w:sz w:val="25"/>
                <w:szCs w:val="25"/>
                <w:color w:val="008000"/>
                <w:w w:val="99"/>
                <w:vertAlign w:val="superscript"/>
              </w:rPr>
              <w:t>(11)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60" w:type="dxa"/>
            <w:vAlign w:val="bottom"/>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700" w:type="dxa"/>
            <w:vAlign w:val="bottom"/>
            <w:vMerge w:val="restart"/>
          </w:tcPr>
          <w:p>
            <w:pPr>
              <w:jc w:val="center"/>
              <w:spacing w:after="0"/>
              <w:rPr>
                <w:sz w:val="20"/>
                <w:szCs w:val="20"/>
                <w:color w:val="auto"/>
              </w:rPr>
            </w:pPr>
            <w:r>
              <w:rPr>
                <w:rFonts w:ascii="Arial" w:cs="Arial" w:eastAsia="Arial" w:hAnsi="Arial"/>
                <w:sz w:val="20"/>
                <w:szCs w:val="20"/>
                <w:color w:val="0000FF"/>
                <w:w w:val="82"/>
              </w:rPr>
              <w:t>Stock</w:t>
            </w:r>
            <w:r>
              <w:rPr>
                <w:rFonts w:ascii="Arial" w:cs="Arial" w:eastAsia="Arial" w:hAnsi="Arial"/>
                <w:sz w:val="25"/>
                <w:szCs w:val="25"/>
                <w:color w:val="008000"/>
                <w:w w:val="82"/>
                <w:vertAlign w:val="superscript"/>
              </w:rPr>
              <w:t>(2)</w:t>
            </w:r>
          </w:p>
        </w:tc>
        <w:tc>
          <w:tcPr>
            <w:tcW w:w="9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600" w:type="dxa"/>
            <w:vAlign w:val="bottom"/>
            <w:vMerge w:val="restart"/>
          </w:tcPr>
          <w:p>
            <w:pPr>
              <w:ind w:left="80"/>
              <w:spacing w:after="0"/>
              <w:rPr>
                <w:sz w:val="20"/>
                <w:szCs w:val="20"/>
                <w:color w:val="auto"/>
              </w:rPr>
            </w:pPr>
            <w:r>
              <w:rPr>
                <w:rFonts w:ascii="Arial" w:cs="Arial" w:eastAsia="Arial" w:hAnsi="Arial"/>
                <w:sz w:val="13"/>
                <w:szCs w:val="13"/>
                <w:color w:val="008000"/>
              </w:rPr>
              <w:t>(12)(13)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2C2C2C"/>
            </w:tcBorders>
          </w:tcPr>
          <w:p>
            <w:pPr>
              <w:spacing w:after="0"/>
              <w:rPr>
                <w:sz w:val="18"/>
                <w:szCs w:val="18"/>
                <w:color w:val="auto"/>
              </w:rPr>
            </w:pPr>
          </w:p>
        </w:tc>
        <w:tc>
          <w:tcPr>
            <w:tcW w:w="26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98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700" w:type="dxa"/>
            <w:vAlign w:val="bottom"/>
            <w:tcBorders>
              <w:bottom w:val="single" w:sz="8" w:color="2C2C2C"/>
            </w:tcBorders>
            <w:vMerge w:val="continue"/>
          </w:tcPr>
          <w:p>
            <w:pPr>
              <w:spacing w:after="0"/>
              <w:rPr>
                <w:sz w:val="18"/>
                <w:szCs w:val="18"/>
                <w:color w:val="auto"/>
              </w:rPr>
            </w:pPr>
          </w:p>
        </w:tc>
        <w:tc>
          <w:tcPr>
            <w:tcW w:w="9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1600" w:type="dxa"/>
            <w:vAlign w:val="bottom"/>
            <w:tcBorders>
              <w:bottom w:val="single" w:sz="8" w:color="2C2C2C"/>
            </w:tcBorders>
            <w:vMerge w:val="continue"/>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60" w:type="dxa"/>
            <w:vAlign w:val="bottom"/>
            <w:tcBorders>
              <w:top w:val="single" w:sz="8" w:color="808080"/>
            </w:tcBorders>
            <w:shd w:val="clear" w:color="auto" w:fill="2C2C2C"/>
          </w:tcPr>
          <w:p>
            <w:pPr>
              <w:spacing w:after="0" w:line="20" w:lineRule="exact"/>
              <w:rPr>
                <w:sz w:val="1"/>
                <w:szCs w:val="1"/>
                <w:color w:val="auto"/>
              </w:rPr>
            </w:pPr>
          </w:p>
        </w:tc>
        <w:tc>
          <w:tcPr>
            <w:tcW w:w="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line="234" w:lineRule="auto"/>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BAIN CAPITAL VENTURE</w:t>
        </w:r>
      </w:hyperlink>
    </w:p>
    <w:p>
      <w:pPr>
        <w:spacing w:after="0" w:line="1" w:lineRule="exact"/>
        <w:rPr>
          <w:sz w:val="20"/>
          <w:szCs w:val="20"/>
          <w:color w:val="auto"/>
        </w:rPr>
      </w:pP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INVESTORS, LLC</w:t>
        </w:r>
      </w:hyperlink>
    </w:p>
    <w:p>
      <w:pPr>
        <w:spacing w:after="0" w:line="357"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(Last)</w:t>
            </w:r>
          </w:p>
        </w:tc>
        <w:tc>
          <w:tcPr>
            <w:tcW w:w="1460" w:type="dxa"/>
            <w:vAlign w:val="bottom"/>
          </w:tcPr>
          <w:p>
            <w:pPr>
              <w:ind w:left="300"/>
              <w:spacing w:after="0"/>
              <w:rPr>
                <w:sz w:val="20"/>
                <w:szCs w:val="20"/>
                <w:color w:val="auto"/>
              </w:rPr>
            </w:pPr>
            <w:r>
              <w:rPr>
                <w:rFonts w:ascii="Arial" w:cs="Arial" w:eastAsia="Arial" w:hAnsi="Arial"/>
                <w:sz w:val="15"/>
                <w:szCs w:val="15"/>
                <w:color w:val="auto"/>
              </w:rPr>
              <w:t>(First)</w:t>
            </w:r>
          </w:p>
        </w:tc>
        <w:tc>
          <w:tcPr>
            <w:tcW w:w="1560" w:type="dxa"/>
            <w:vAlign w:val="bottom"/>
          </w:tcPr>
          <w:p>
            <w:pPr>
              <w:ind w:left="22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560" w:type="dxa"/>
            <w:vAlign w:val="bottom"/>
            <w:gridSpan w:val="2"/>
          </w:tcPr>
          <w:p>
            <w:pPr>
              <w:ind w:left="20"/>
              <w:spacing w:after="0"/>
              <w:rPr>
                <w:sz w:val="20"/>
                <w:szCs w:val="20"/>
                <w:color w:val="auto"/>
              </w:rPr>
            </w:pPr>
            <w:r>
              <w:rPr>
                <w:rFonts w:ascii="Arial" w:cs="Arial" w:eastAsia="Arial" w:hAnsi="Arial"/>
                <w:sz w:val="20"/>
                <w:szCs w:val="20"/>
                <w:color w:val="0000FF"/>
              </w:rPr>
              <w:t>200 CLARENDON STREET</w:t>
            </w:r>
          </w:p>
        </w:tc>
        <w:tc>
          <w:tcPr>
            <w:tcW w:w="156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460" w:type="dxa"/>
            <w:vAlign w:val="bottom"/>
            <w:tcBorders>
              <w:bottom w:val="single" w:sz="8" w:color="9A9A9A"/>
            </w:tcBorders>
          </w:tcPr>
          <w:p>
            <w:pPr>
              <w:spacing w:after="0"/>
              <w:rPr>
                <w:sz w:val="20"/>
                <w:szCs w:val="20"/>
                <w:color w:val="auto"/>
              </w:rPr>
            </w:pPr>
          </w:p>
        </w:tc>
        <w:tc>
          <w:tcPr>
            <w:tcW w:w="1560" w:type="dxa"/>
            <w:vAlign w:val="bottom"/>
            <w:tcBorders>
              <w:bottom w:val="single" w:sz="8" w:color="9A9A9A"/>
            </w:tcBorders>
          </w:tcPr>
          <w:p>
            <w:pPr>
              <w:spacing w:after="0"/>
              <w:rPr>
                <w:sz w:val="20"/>
                <w:szCs w:val="20"/>
                <w:color w:val="auto"/>
              </w:rPr>
            </w:pPr>
          </w:p>
        </w:tc>
      </w:tr>
      <w:tr>
        <w:trPr>
          <w:trHeight w:val="299"/>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4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BOSTON</w:t>
            </w:r>
          </w:p>
        </w:tc>
        <w:tc>
          <w:tcPr>
            <w:tcW w:w="1460" w:type="dxa"/>
            <w:vAlign w:val="bottom"/>
          </w:tcPr>
          <w:p>
            <w:pPr>
              <w:ind w:left="300"/>
              <w:spacing w:after="0"/>
              <w:rPr>
                <w:sz w:val="20"/>
                <w:szCs w:val="20"/>
                <w:color w:val="auto"/>
              </w:rPr>
            </w:pPr>
            <w:r>
              <w:rPr>
                <w:rFonts w:ascii="Arial" w:cs="Arial" w:eastAsia="Arial" w:hAnsi="Arial"/>
                <w:sz w:val="20"/>
                <w:szCs w:val="20"/>
                <w:color w:val="0000FF"/>
              </w:rPr>
              <w:t>MA</w:t>
            </w:r>
          </w:p>
        </w:tc>
        <w:tc>
          <w:tcPr>
            <w:tcW w:w="1560" w:type="dxa"/>
            <w:vAlign w:val="bottom"/>
          </w:tcPr>
          <w:p>
            <w:pPr>
              <w:ind w:left="220"/>
              <w:spacing w:after="0"/>
              <w:rPr>
                <w:sz w:val="20"/>
                <w:szCs w:val="20"/>
                <w:color w:val="auto"/>
              </w:rPr>
            </w:pPr>
            <w:r>
              <w:rPr>
                <w:rFonts w:ascii="Arial" w:cs="Arial" w:eastAsia="Arial" w:hAnsi="Arial"/>
                <w:sz w:val="20"/>
                <w:szCs w:val="20"/>
                <w:color w:val="0000FF"/>
              </w:rPr>
              <w:t>02116</w:t>
            </w:r>
          </w:p>
        </w:tc>
      </w:tr>
    </w:tbl>
    <w:p>
      <w:pPr>
        <w:spacing w:after="0" w:line="200" w:lineRule="exact"/>
        <w:rPr>
          <w:sz w:val="20"/>
          <w:szCs w:val="20"/>
          <w:color w:val="auto"/>
        </w:rPr>
      </w:pPr>
    </w:p>
    <w:p>
      <w:pPr>
        <w:sectPr>
          <w:pgSz w:w="11900" w:h="16838" w:orient="portrait"/>
          <w:cols w:equalWidth="0" w:num="1">
            <w:col w:w="10940"/>
          </w:cols>
          <w:pgMar w:left="480" w:top="236" w:right="479" w:bottom="0" w:gutter="0" w:footer="0" w:header="0"/>
          <w:type w:val="continuous"/>
        </w:sectPr>
      </w:pPr>
    </w:p>
    <w:p>
      <w:pPr>
        <w:spacing w:after="0" w:line="161"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ectPr>
          <w:pgSz w:w="11900" w:h="16838" w:orient="portrait"/>
          <w:cols w:equalWidth="0" w:num="1">
            <w:col w:w="10940"/>
          </w:cols>
          <w:pgMar w:left="480" w:top="236" w:right="479" w:bottom="0" w:gutter="0" w:footer="0" w:header="0"/>
          <w:type w:val="continuous"/>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10520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798445" cy="1052004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40"/>
        <w:spacing w:after="0"/>
        <w:rPr>
          <w:rFonts w:ascii="Arial" w:cs="Arial" w:eastAsia="Arial" w:hAnsi="Arial"/>
          <w:sz w:val="22"/>
          <w:szCs w:val="22"/>
          <w:u w:val="single" w:color="auto"/>
          <w:color w:val="0000EE"/>
        </w:rPr>
      </w:pPr>
      <w:hyperlink r:id="rId13">
        <w:r>
          <w:rPr>
            <w:rFonts w:ascii="Arial" w:cs="Arial" w:eastAsia="Arial" w:hAnsi="Arial"/>
            <w:sz w:val="22"/>
            <w:szCs w:val="22"/>
            <w:u w:val="single" w:color="auto"/>
            <w:color w:val="0000EE"/>
          </w:rPr>
          <w:t>Bain Capital Venture Coinvestment Fund</w:t>
        </w:r>
      </w:hyperlink>
    </w:p>
    <w:p>
      <w:pPr>
        <w:spacing w:after="0" w:line="17" w:lineRule="exact"/>
        <w:rPr>
          <w:sz w:val="20"/>
          <w:szCs w:val="20"/>
          <w:color w:val="auto"/>
        </w:rPr>
      </w:pPr>
    </w:p>
    <w:p>
      <w:pPr>
        <w:ind w:left="40"/>
        <w:spacing w:after="0"/>
        <w:rPr>
          <w:rFonts w:ascii="Arial" w:cs="Arial" w:eastAsia="Arial" w:hAnsi="Arial"/>
          <w:sz w:val="24"/>
          <w:szCs w:val="24"/>
          <w:u w:val="single" w:color="auto"/>
          <w:color w:val="0000EE"/>
        </w:rPr>
      </w:pPr>
      <w:hyperlink r:id="rId13">
        <w:r>
          <w:rPr>
            <w:rFonts w:ascii="Arial" w:cs="Arial" w:eastAsia="Arial" w:hAnsi="Arial"/>
            <w:sz w:val="24"/>
            <w:szCs w:val="24"/>
            <w:u w:val="single" w:color="auto"/>
            <w:color w:val="0000EE"/>
          </w:rPr>
          <w:t>II, L.P.</w:t>
        </w:r>
      </w:hyperlink>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(Last)</w:t>
            </w:r>
          </w:p>
        </w:tc>
        <w:tc>
          <w:tcPr>
            <w:tcW w:w="1460" w:type="dxa"/>
            <w:vAlign w:val="bottom"/>
          </w:tcPr>
          <w:p>
            <w:pPr>
              <w:ind w:left="300"/>
              <w:spacing w:after="0"/>
              <w:rPr>
                <w:sz w:val="20"/>
                <w:szCs w:val="20"/>
                <w:color w:val="auto"/>
              </w:rPr>
            </w:pPr>
            <w:r>
              <w:rPr>
                <w:rFonts w:ascii="Arial" w:cs="Arial" w:eastAsia="Arial" w:hAnsi="Arial"/>
                <w:sz w:val="15"/>
                <w:szCs w:val="15"/>
                <w:color w:val="auto"/>
              </w:rPr>
              <w:t>(First)</w:t>
            </w:r>
          </w:p>
        </w:tc>
        <w:tc>
          <w:tcPr>
            <w:tcW w:w="1560" w:type="dxa"/>
            <w:vAlign w:val="bottom"/>
          </w:tcPr>
          <w:p>
            <w:pPr>
              <w:ind w:left="22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560" w:type="dxa"/>
            <w:vAlign w:val="bottom"/>
            <w:gridSpan w:val="2"/>
          </w:tcPr>
          <w:p>
            <w:pPr>
              <w:ind w:left="20"/>
              <w:spacing w:after="0"/>
              <w:rPr>
                <w:sz w:val="20"/>
                <w:szCs w:val="20"/>
                <w:color w:val="auto"/>
              </w:rPr>
            </w:pPr>
            <w:r>
              <w:rPr>
                <w:rFonts w:ascii="Arial" w:cs="Arial" w:eastAsia="Arial" w:hAnsi="Arial"/>
                <w:sz w:val="20"/>
                <w:szCs w:val="20"/>
                <w:color w:val="0000FF"/>
              </w:rPr>
              <w:t>200 CLARENDON STREET</w:t>
            </w:r>
          </w:p>
        </w:tc>
        <w:tc>
          <w:tcPr>
            <w:tcW w:w="156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460" w:type="dxa"/>
            <w:vAlign w:val="bottom"/>
            <w:tcBorders>
              <w:bottom w:val="single" w:sz="8" w:color="9A9A9A"/>
            </w:tcBorders>
          </w:tcPr>
          <w:p>
            <w:pPr>
              <w:spacing w:after="0"/>
              <w:rPr>
                <w:sz w:val="20"/>
                <w:szCs w:val="20"/>
                <w:color w:val="auto"/>
              </w:rPr>
            </w:pPr>
          </w:p>
        </w:tc>
        <w:tc>
          <w:tcPr>
            <w:tcW w:w="1560" w:type="dxa"/>
            <w:vAlign w:val="bottom"/>
            <w:tcBorders>
              <w:bottom w:val="single" w:sz="8" w:color="9A9A9A"/>
            </w:tcBorders>
          </w:tcPr>
          <w:p>
            <w:pPr>
              <w:spacing w:after="0"/>
              <w:rPr>
                <w:sz w:val="20"/>
                <w:szCs w:val="20"/>
                <w:color w:val="auto"/>
              </w:rPr>
            </w:pPr>
          </w:p>
        </w:tc>
      </w:tr>
      <w:tr>
        <w:trPr>
          <w:trHeight w:val="299"/>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4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BOSTON</w:t>
            </w:r>
          </w:p>
        </w:tc>
        <w:tc>
          <w:tcPr>
            <w:tcW w:w="1460" w:type="dxa"/>
            <w:vAlign w:val="bottom"/>
          </w:tcPr>
          <w:p>
            <w:pPr>
              <w:ind w:left="300"/>
              <w:spacing w:after="0"/>
              <w:rPr>
                <w:sz w:val="20"/>
                <w:szCs w:val="20"/>
                <w:color w:val="auto"/>
              </w:rPr>
            </w:pPr>
            <w:r>
              <w:rPr>
                <w:rFonts w:ascii="Arial" w:cs="Arial" w:eastAsia="Arial" w:hAnsi="Arial"/>
                <w:sz w:val="20"/>
                <w:szCs w:val="20"/>
                <w:color w:val="0000FF"/>
              </w:rPr>
              <w:t>MA</w:t>
            </w:r>
          </w:p>
        </w:tc>
        <w:tc>
          <w:tcPr>
            <w:tcW w:w="1560" w:type="dxa"/>
            <w:vAlign w:val="bottom"/>
          </w:tcPr>
          <w:p>
            <w:pPr>
              <w:ind w:left="220"/>
              <w:spacing w:after="0"/>
              <w:rPr>
                <w:sz w:val="20"/>
                <w:szCs w:val="20"/>
                <w:color w:val="auto"/>
              </w:rPr>
            </w:pPr>
            <w:r>
              <w:rPr>
                <w:rFonts w:ascii="Arial" w:cs="Arial" w:eastAsia="Arial" w:hAnsi="Arial"/>
                <w:sz w:val="20"/>
                <w:szCs w:val="20"/>
                <w:color w:val="0000FF"/>
              </w:rPr>
              <w:t>02116</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460" w:type="dxa"/>
            <w:vAlign w:val="bottom"/>
          </w:tcPr>
          <w:p>
            <w:pPr>
              <w:ind w:left="300"/>
              <w:spacing w:after="0"/>
              <w:rPr>
                <w:sz w:val="20"/>
                <w:szCs w:val="20"/>
                <w:color w:val="auto"/>
              </w:rPr>
            </w:pPr>
            <w:r>
              <w:rPr>
                <w:rFonts w:ascii="Arial" w:cs="Arial" w:eastAsia="Arial" w:hAnsi="Arial"/>
                <w:sz w:val="15"/>
                <w:szCs w:val="15"/>
                <w:color w:val="auto"/>
              </w:rPr>
              <w:t>(State)</w:t>
            </w:r>
          </w:p>
        </w:tc>
        <w:tc>
          <w:tcPr>
            <w:tcW w:w="1560" w:type="dxa"/>
            <w:vAlign w:val="bottom"/>
          </w:tcPr>
          <w:p>
            <w:pPr>
              <w:ind w:left="22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40"/>
        <w:spacing w:after="0"/>
        <w:rPr>
          <w:rFonts w:ascii="Arial" w:cs="Arial" w:eastAsia="Arial" w:hAnsi="Arial"/>
          <w:sz w:val="24"/>
          <w:szCs w:val="24"/>
          <w:u w:val="single" w:color="auto"/>
          <w:color w:val="0000EE"/>
        </w:rPr>
      </w:pPr>
      <w:hyperlink r:id="rId14">
        <w:r>
          <w:rPr>
            <w:rFonts w:ascii="Arial" w:cs="Arial" w:eastAsia="Arial" w:hAnsi="Arial"/>
            <w:sz w:val="24"/>
            <w:szCs w:val="24"/>
            <w:u w:val="single" w:color="auto"/>
            <w:color w:val="0000EE"/>
          </w:rPr>
          <w:t>BCV 2019-MD Coinvestment II, L.P.</w:t>
        </w:r>
      </w:hyperlink>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(Last)</w:t>
            </w:r>
          </w:p>
        </w:tc>
        <w:tc>
          <w:tcPr>
            <w:tcW w:w="1460" w:type="dxa"/>
            <w:vAlign w:val="bottom"/>
          </w:tcPr>
          <w:p>
            <w:pPr>
              <w:ind w:left="300"/>
              <w:spacing w:after="0"/>
              <w:rPr>
                <w:sz w:val="20"/>
                <w:szCs w:val="20"/>
                <w:color w:val="auto"/>
              </w:rPr>
            </w:pPr>
            <w:r>
              <w:rPr>
                <w:rFonts w:ascii="Arial" w:cs="Arial" w:eastAsia="Arial" w:hAnsi="Arial"/>
                <w:sz w:val="15"/>
                <w:szCs w:val="15"/>
                <w:color w:val="auto"/>
              </w:rPr>
              <w:t>(First)</w:t>
            </w:r>
          </w:p>
        </w:tc>
        <w:tc>
          <w:tcPr>
            <w:tcW w:w="1560" w:type="dxa"/>
            <w:vAlign w:val="bottom"/>
          </w:tcPr>
          <w:p>
            <w:pPr>
              <w:ind w:left="22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560" w:type="dxa"/>
            <w:vAlign w:val="bottom"/>
            <w:gridSpan w:val="2"/>
          </w:tcPr>
          <w:p>
            <w:pPr>
              <w:ind w:left="20"/>
              <w:spacing w:after="0"/>
              <w:rPr>
                <w:sz w:val="20"/>
                <w:szCs w:val="20"/>
                <w:color w:val="auto"/>
              </w:rPr>
            </w:pPr>
            <w:r>
              <w:rPr>
                <w:rFonts w:ascii="Arial" w:cs="Arial" w:eastAsia="Arial" w:hAnsi="Arial"/>
                <w:sz w:val="20"/>
                <w:szCs w:val="20"/>
                <w:color w:val="0000FF"/>
              </w:rPr>
              <w:t>200 CLARENDON STREET</w:t>
            </w:r>
          </w:p>
        </w:tc>
        <w:tc>
          <w:tcPr>
            <w:tcW w:w="156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460" w:type="dxa"/>
            <w:vAlign w:val="bottom"/>
            <w:tcBorders>
              <w:bottom w:val="single" w:sz="8" w:color="9A9A9A"/>
            </w:tcBorders>
          </w:tcPr>
          <w:p>
            <w:pPr>
              <w:spacing w:after="0"/>
              <w:rPr>
                <w:sz w:val="20"/>
                <w:szCs w:val="20"/>
                <w:color w:val="auto"/>
              </w:rPr>
            </w:pPr>
          </w:p>
        </w:tc>
        <w:tc>
          <w:tcPr>
            <w:tcW w:w="1560" w:type="dxa"/>
            <w:vAlign w:val="bottom"/>
            <w:tcBorders>
              <w:bottom w:val="single" w:sz="8" w:color="9A9A9A"/>
            </w:tcBorders>
          </w:tcPr>
          <w:p>
            <w:pPr>
              <w:spacing w:after="0"/>
              <w:rPr>
                <w:sz w:val="20"/>
                <w:szCs w:val="20"/>
                <w:color w:val="auto"/>
              </w:rPr>
            </w:pPr>
          </w:p>
        </w:tc>
      </w:tr>
      <w:tr>
        <w:trPr>
          <w:trHeight w:val="299"/>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4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BOSTON</w:t>
            </w:r>
          </w:p>
        </w:tc>
        <w:tc>
          <w:tcPr>
            <w:tcW w:w="1460" w:type="dxa"/>
            <w:vAlign w:val="bottom"/>
          </w:tcPr>
          <w:p>
            <w:pPr>
              <w:ind w:left="300"/>
              <w:spacing w:after="0"/>
              <w:rPr>
                <w:sz w:val="20"/>
                <w:szCs w:val="20"/>
                <w:color w:val="auto"/>
              </w:rPr>
            </w:pPr>
            <w:r>
              <w:rPr>
                <w:rFonts w:ascii="Arial" w:cs="Arial" w:eastAsia="Arial" w:hAnsi="Arial"/>
                <w:sz w:val="20"/>
                <w:szCs w:val="20"/>
                <w:color w:val="0000FF"/>
              </w:rPr>
              <w:t>MA</w:t>
            </w:r>
          </w:p>
        </w:tc>
        <w:tc>
          <w:tcPr>
            <w:tcW w:w="1560" w:type="dxa"/>
            <w:vAlign w:val="bottom"/>
          </w:tcPr>
          <w:p>
            <w:pPr>
              <w:ind w:left="220"/>
              <w:spacing w:after="0"/>
              <w:rPr>
                <w:sz w:val="20"/>
                <w:szCs w:val="20"/>
                <w:color w:val="auto"/>
              </w:rPr>
            </w:pPr>
            <w:r>
              <w:rPr>
                <w:rFonts w:ascii="Arial" w:cs="Arial" w:eastAsia="Arial" w:hAnsi="Arial"/>
                <w:sz w:val="20"/>
                <w:szCs w:val="20"/>
                <w:color w:val="0000FF"/>
              </w:rPr>
              <w:t>02116</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460" w:type="dxa"/>
            <w:vAlign w:val="bottom"/>
          </w:tcPr>
          <w:p>
            <w:pPr>
              <w:ind w:left="300"/>
              <w:spacing w:after="0"/>
              <w:rPr>
                <w:sz w:val="20"/>
                <w:szCs w:val="20"/>
                <w:color w:val="auto"/>
              </w:rPr>
            </w:pPr>
            <w:r>
              <w:rPr>
                <w:rFonts w:ascii="Arial" w:cs="Arial" w:eastAsia="Arial" w:hAnsi="Arial"/>
                <w:sz w:val="15"/>
                <w:szCs w:val="15"/>
                <w:color w:val="auto"/>
              </w:rPr>
              <w:t>(State)</w:t>
            </w:r>
          </w:p>
        </w:tc>
        <w:tc>
          <w:tcPr>
            <w:tcW w:w="1560" w:type="dxa"/>
            <w:vAlign w:val="bottom"/>
          </w:tcPr>
          <w:p>
            <w:pPr>
              <w:ind w:left="22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40"/>
        <w:spacing w:after="0" w:line="234" w:lineRule="auto"/>
        <w:rPr>
          <w:rFonts w:ascii="Arial" w:cs="Arial" w:eastAsia="Arial" w:hAnsi="Arial"/>
          <w:sz w:val="24"/>
          <w:szCs w:val="24"/>
          <w:u w:val="single" w:color="auto"/>
          <w:color w:val="0000EE"/>
        </w:rPr>
      </w:pPr>
      <w:hyperlink r:id="rId15">
        <w:r>
          <w:rPr>
            <w:rFonts w:ascii="Arial" w:cs="Arial" w:eastAsia="Arial" w:hAnsi="Arial"/>
            <w:sz w:val="24"/>
            <w:szCs w:val="24"/>
            <w:u w:val="single" w:color="auto"/>
            <w:color w:val="0000EE"/>
          </w:rPr>
          <w:t>Bain Capital Venture Coinvestment II</w:t>
        </w:r>
      </w:hyperlink>
    </w:p>
    <w:p>
      <w:pPr>
        <w:spacing w:after="0" w:line="1" w:lineRule="exact"/>
        <w:rPr>
          <w:sz w:val="20"/>
          <w:szCs w:val="20"/>
          <w:color w:val="auto"/>
        </w:rPr>
      </w:pPr>
    </w:p>
    <w:p>
      <w:pPr>
        <w:ind w:left="40"/>
        <w:spacing w:after="0"/>
        <w:rPr>
          <w:rFonts w:ascii="Arial" w:cs="Arial" w:eastAsia="Arial" w:hAnsi="Arial"/>
          <w:sz w:val="24"/>
          <w:szCs w:val="24"/>
          <w:u w:val="single" w:color="auto"/>
          <w:color w:val="0000EE"/>
        </w:rPr>
      </w:pPr>
      <w:hyperlink r:id="rId15">
        <w:r>
          <w:rPr>
            <w:rFonts w:ascii="Arial" w:cs="Arial" w:eastAsia="Arial" w:hAnsi="Arial"/>
            <w:sz w:val="24"/>
            <w:szCs w:val="24"/>
            <w:u w:val="single" w:color="auto"/>
            <w:color w:val="0000EE"/>
          </w:rPr>
          <w:t>Investors, LLC</w:t>
        </w:r>
      </w:hyperlink>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(Last)</w:t>
            </w:r>
          </w:p>
        </w:tc>
        <w:tc>
          <w:tcPr>
            <w:tcW w:w="1460" w:type="dxa"/>
            <w:vAlign w:val="bottom"/>
          </w:tcPr>
          <w:p>
            <w:pPr>
              <w:ind w:left="300"/>
              <w:spacing w:after="0"/>
              <w:rPr>
                <w:sz w:val="20"/>
                <w:szCs w:val="20"/>
                <w:color w:val="auto"/>
              </w:rPr>
            </w:pPr>
            <w:r>
              <w:rPr>
                <w:rFonts w:ascii="Arial" w:cs="Arial" w:eastAsia="Arial" w:hAnsi="Arial"/>
                <w:sz w:val="15"/>
                <w:szCs w:val="15"/>
                <w:color w:val="auto"/>
              </w:rPr>
              <w:t>(First)</w:t>
            </w:r>
          </w:p>
        </w:tc>
        <w:tc>
          <w:tcPr>
            <w:tcW w:w="1560" w:type="dxa"/>
            <w:vAlign w:val="bottom"/>
          </w:tcPr>
          <w:p>
            <w:pPr>
              <w:ind w:left="22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560" w:type="dxa"/>
            <w:vAlign w:val="bottom"/>
            <w:gridSpan w:val="2"/>
          </w:tcPr>
          <w:p>
            <w:pPr>
              <w:ind w:left="20"/>
              <w:spacing w:after="0"/>
              <w:rPr>
                <w:sz w:val="20"/>
                <w:szCs w:val="20"/>
                <w:color w:val="auto"/>
              </w:rPr>
            </w:pPr>
            <w:r>
              <w:rPr>
                <w:rFonts w:ascii="Arial" w:cs="Arial" w:eastAsia="Arial" w:hAnsi="Arial"/>
                <w:sz w:val="20"/>
                <w:szCs w:val="20"/>
                <w:color w:val="0000FF"/>
              </w:rPr>
              <w:t>200 CLARENDON STREET</w:t>
            </w:r>
          </w:p>
        </w:tc>
        <w:tc>
          <w:tcPr>
            <w:tcW w:w="156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460" w:type="dxa"/>
            <w:vAlign w:val="bottom"/>
            <w:tcBorders>
              <w:bottom w:val="single" w:sz="8" w:color="9A9A9A"/>
            </w:tcBorders>
          </w:tcPr>
          <w:p>
            <w:pPr>
              <w:spacing w:after="0"/>
              <w:rPr>
                <w:sz w:val="20"/>
                <w:szCs w:val="20"/>
                <w:color w:val="auto"/>
              </w:rPr>
            </w:pPr>
          </w:p>
        </w:tc>
        <w:tc>
          <w:tcPr>
            <w:tcW w:w="1560" w:type="dxa"/>
            <w:vAlign w:val="bottom"/>
            <w:tcBorders>
              <w:bottom w:val="single" w:sz="8" w:color="9A9A9A"/>
            </w:tcBorders>
          </w:tcPr>
          <w:p>
            <w:pPr>
              <w:spacing w:after="0"/>
              <w:rPr>
                <w:sz w:val="20"/>
                <w:szCs w:val="20"/>
                <w:color w:val="auto"/>
              </w:rPr>
            </w:pPr>
          </w:p>
        </w:tc>
      </w:tr>
      <w:tr>
        <w:trPr>
          <w:trHeight w:val="299"/>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4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BOSTON</w:t>
            </w:r>
          </w:p>
        </w:tc>
        <w:tc>
          <w:tcPr>
            <w:tcW w:w="1460" w:type="dxa"/>
            <w:vAlign w:val="bottom"/>
          </w:tcPr>
          <w:p>
            <w:pPr>
              <w:ind w:left="300"/>
              <w:spacing w:after="0"/>
              <w:rPr>
                <w:sz w:val="20"/>
                <w:szCs w:val="20"/>
                <w:color w:val="auto"/>
              </w:rPr>
            </w:pPr>
            <w:r>
              <w:rPr>
                <w:rFonts w:ascii="Arial" w:cs="Arial" w:eastAsia="Arial" w:hAnsi="Arial"/>
                <w:sz w:val="20"/>
                <w:szCs w:val="20"/>
                <w:color w:val="0000FF"/>
              </w:rPr>
              <w:t>MA</w:t>
            </w:r>
          </w:p>
        </w:tc>
        <w:tc>
          <w:tcPr>
            <w:tcW w:w="1560" w:type="dxa"/>
            <w:vAlign w:val="bottom"/>
          </w:tcPr>
          <w:p>
            <w:pPr>
              <w:ind w:left="220"/>
              <w:spacing w:after="0"/>
              <w:rPr>
                <w:sz w:val="20"/>
                <w:szCs w:val="20"/>
                <w:color w:val="auto"/>
              </w:rPr>
            </w:pPr>
            <w:r>
              <w:rPr>
                <w:rFonts w:ascii="Arial" w:cs="Arial" w:eastAsia="Arial" w:hAnsi="Arial"/>
                <w:sz w:val="20"/>
                <w:szCs w:val="20"/>
                <w:color w:val="0000FF"/>
              </w:rPr>
              <w:t>02116</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460" w:type="dxa"/>
            <w:vAlign w:val="bottom"/>
          </w:tcPr>
          <w:p>
            <w:pPr>
              <w:ind w:left="300"/>
              <w:spacing w:after="0"/>
              <w:rPr>
                <w:sz w:val="20"/>
                <w:szCs w:val="20"/>
                <w:color w:val="auto"/>
              </w:rPr>
            </w:pPr>
            <w:r>
              <w:rPr>
                <w:rFonts w:ascii="Arial" w:cs="Arial" w:eastAsia="Arial" w:hAnsi="Arial"/>
                <w:sz w:val="15"/>
                <w:szCs w:val="15"/>
                <w:color w:val="auto"/>
              </w:rPr>
              <w:t>(State)</w:t>
            </w:r>
          </w:p>
        </w:tc>
        <w:tc>
          <w:tcPr>
            <w:tcW w:w="1560" w:type="dxa"/>
            <w:vAlign w:val="bottom"/>
          </w:tcPr>
          <w:p>
            <w:pPr>
              <w:ind w:left="22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40"/>
        <w:spacing w:after="0" w:line="234" w:lineRule="auto"/>
        <w:rPr>
          <w:rFonts w:ascii="Arial" w:cs="Arial" w:eastAsia="Arial" w:hAnsi="Arial"/>
          <w:sz w:val="24"/>
          <w:szCs w:val="24"/>
          <w:u w:val="single" w:color="auto"/>
          <w:color w:val="0000EE"/>
        </w:rPr>
      </w:pPr>
      <w:hyperlink r:id="rId16">
        <w:r>
          <w:rPr>
            <w:rFonts w:ascii="Arial" w:cs="Arial" w:eastAsia="Arial" w:hAnsi="Arial"/>
            <w:sz w:val="24"/>
            <w:szCs w:val="24"/>
            <w:u w:val="single" w:color="auto"/>
            <w:color w:val="0000EE"/>
          </w:rPr>
          <w:t>BAIN CAPITAL VENTURE FUND</w:t>
        </w:r>
      </w:hyperlink>
    </w:p>
    <w:p>
      <w:pPr>
        <w:spacing w:after="0" w:line="1" w:lineRule="exact"/>
        <w:rPr>
          <w:sz w:val="20"/>
          <w:szCs w:val="20"/>
          <w:color w:val="auto"/>
        </w:rPr>
      </w:pPr>
    </w:p>
    <w:p>
      <w:pPr>
        <w:ind w:left="40"/>
        <w:spacing w:after="0"/>
        <w:rPr>
          <w:rFonts w:ascii="Arial" w:cs="Arial" w:eastAsia="Arial" w:hAnsi="Arial"/>
          <w:sz w:val="24"/>
          <w:szCs w:val="24"/>
          <w:u w:val="single" w:color="auto"/>
          <w:color w:val="0000EE"/>
        </w:rPr>
      </w:pPr>
      <w:hyperlink r:id="rId16">
        <w:r>
          <w:rPr>
            <w:rFonts w:ascii="Arial" w:cs="Arial" w:eastAsia="Arial" w:hAnsi="Arial"/>
            <w:sz w:val="24"/>
            <w:szCs w:val="24"/>
            <w:u w:val="single" w:color="auto"/>
            <w:color w:val="0000EE"/>
          </w:rPr>
          <w:t>2014, L.P.</w:t>
        </w:r>
      </w:hyperlink>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(Last)</w:t>
            </w:r>
          </w:p>
        </w:tc>
        <w:tc>
          <w:tcPr>
            <w:tcW w:w="1460" w:type="dxa"/>
            <w:vAlign w:val="bottom"/>
          </w:tcPr>
          <w:p>
            <w:pPr>
              <w:ind w:left="300"/>
              <w:spacing w:after="0"/>
              <w:rPr>
                <w:sz w:val="20"/>
                <w:szCs w:val="20"/>
                <w:color w:val="auto"/>
              </w:rPr>
            </w:pPr>
            <w:r>
              <w:rPr>
                <w:rFonts w:ascii="Arial" w:cs="Arial" w:eastAsia="Arial" w:hAnsi="Arial"/>
                <w:sz w:val="15"/>
                <w:szCs w:val="15"/>
                <w:color w:val="auto"/>
              </w:rPr>
              <w:t>(First)</w:t>
            </w:r>
          </w:p>
        </w:tc>
        <w:tc>
          <w:tcPr>
            <w:tcW w:w="1560" w:type="dxa"/>
            <w:vAlign w:val="bottom"/>
          </w:tcPr>
          <w:p>
            <w:pPr>
              <w:ind w:left="22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560" w:type="dxa"/>
            <w:vAlign w:val="bottom"/>
            <w:gridSpan w:val="2"/>
          </w:tcPr>
          <w:p>
            <w:pPr>
              <w:ind w:left="20"/>
              <w:spacing w:after="0"/>
              <w:rPr>
                <w:sz w:val="20"/>
                <w:szCs w:val="20"/>
                <w:color w:val="auto"/>
              </w:rPr>
            </w:pPr>
            <w:r>
              <w:rPr>
                <w:rFonts w:ascii="Arial" w:cs="Arial" w:eastAsia="Arial" w:hAnsi="Arial"/>
                <w:sz w:val="20"/>
                <w:szCs w:val="20"/>
                <w:color w:val="0000FF"/>
              </w:rPr>
              <w:t>200 CLARENDON STREET</w:t>
            </w:r>
          </w:p>
        </w:tc>
        <w:tc>
          <w:tcPr>
            <w:tcW w:w="156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460" w:type="dxa"/>
            <w:vAlign w:val="bottom"/>
            <w:tcBorders>
              <w:bottom w:val="single" w:sz="8" w:color="9A9A9A"/>
            </w:tcBorders>
          </w:tcPr>
          <w:p>
            <w:pPr>
              <w:spacing w:after="0"/>
              <w:rPr>
                <w:sz w:val="20"/>
                <w:szCs w:val="20"/>
                <w:color w:val="auto"/>
              </w:rPr>
            </w:pPr>
          </w:p>
        </w:tc>
        <w:tc>
          <w:tcPr>
            <w:tcW w:w="1560" w:type="dxa"/>
            <w:vAlign w:val="bottom"/>
            <w:tcBorders>
              <w:bottom w:val="single" w:sz="8" w:color="9A9A9A"/>
            </w:tcBorders>
          </w:tcPr>
          <w:p>
            <w:pPr>
              <w:spacing w:after="0"/>
              <w:rPr>
                <w:sz w:val="20"/>
                <w:szCs w:val="20"/>
                <w:color w:val="auto"/>
              </w:rPr>
            </w:pPr>
          </w:p>
        </w:tc>
      </w:tr>
      <w:tr>
        <w:trPr>
          <w:trHeight w:val="299"/>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4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BOSTON</w:t>
            </w:r>
          </w:p>
        </w:tc>
        <w:tc>
          <w:tcPr>
            <w:tcW w:w="1460" w:type="dxa"/>
            <w:vAlign w:val="bottom"/>
          </w:tcPr>
          <w:p>
            <w:pPr>
              <w:ind w:left="300"/>
              <w:spacing w:after="0"/>
              <w:rPr>
                <w:sz w:val="20"/>
                <w:szCs w:val="20"/>
                <w:color w:val="auto"/>
              </w:rPr>
            </w:pPr>
            <w:r>
              <w:rPr>
                <w:rFonts w:ascii="Arial" w:cs="Arial" w:eastAsia="Arial" w:hAnsi="Arial"/>
                <w:sz w:val="20"/>
                <w:szCs w:val="20"/>
                <w:color w:val="0000FF"/>
              </w:rPr>
              <w:t>MA</w:t>
            </w:r>
          </w:p>
        </w:tc>
        <w:tc>
          <w:tcPr>
            <w:tcW w:w="1560" w:type="dxa"/>
            <w:vAlign w:val="bottom"/>
          </w:tcPr>
          <w:p>
            <w:pPr>
              <w:ind w:left="220"/>
              <w:spacing w:after="0"/>
              <w:rPr>
                <w:sz w:val="20"/>
                <w:szCs w:val="20"/>
                <w:color w:val="auto"/>
              </w:rPr>
            </w:pPr>
            <w:r>
              <w:rPr>
                <w:rFonts w:ascii="Arial" w:cs="Arial" w:eastAsia="Arial" w:hAnsi="Arial"/>
                <w:sz w:val="20"/>
                <w:szCs w:val="20"/>
                <w:color w:val="0000FF"/>
              </w:rPr>
              <w:t>02116</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460" w:type="dxa"/>
            <w:vAlign w:val="bottom"/>
          </w:tcPr>
          <w:p>
            <w:pPr>
              <w:ind w:left="300"/>
              <w:spacing w:after="0"/>
              <w:rPr>
                <w:sz w:val="20"/>
                <w:szCs w:val="20"/>
                <w:color w:val="auto"/>
              </w:rPr>
            </w:pPr>
            <w:r>
              <w:rPr>
                <w:rFonts w:ascii="Arial" w:cs="Arial" w:eastAsia="Arial" w:hAnsi="Arial"/>
                <w:sz w:val="15"/>
                <w:szCs w:val="15"/>
                <w:color w:val="auto"/>
              </w:rPr>
              <w:t>(State)</w:t>
            </w:r>
          </w:p>
        </w:tc>
        <w:tc>
          <w:tcPr>
            <w:tcW w:w="1560" w:type="dxa"/>
            <w:vAlign w:val="bottom"/>
          </w:tcPr>
          <w:p>
            <w:pPr>
              <w:ind w:left="22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4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Bain Capital Venture Partners 2014, L.P.</w:t>
        </w:r>
      </w:hyperlink>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(Last)</w:t>
            </w:r>
          </w:p>
        </w:tc>
        <w:tc>
          <w:tcPr>
            <w:tcW w:w="1460" w:type="dxa"/>
            <w:vAlign w:val="bottom"/>
          </w:tcPr>
          <w:p>
            <w:pPr>
              <w:ind w:left="300"/>
              <w:spacing w:after="0"/>
              <w:rPr>
                <w:sz w:val="20"/>
                <w:szCs w:val="20"/>
                <w:color w:val="auto"/>
              </w:rPr>
            </w:pPr>
            <w:r>
              <w:rPr>
                <w:rFonts w:ascii="Arial" w:cs="Arial" w:eastAsia="Arial" w:hAnsi="Arial"/>
                <w:sz w:val="15"/>
                <w:szCs w:val="15"/>
                <w:color w:val="auto"/>
              </w:rPr>
              <w:t>(First)</w:t>
            </w:r>
          </w:p>
        </w:tc>
        <w:tc>
          <w:tcPr>
            <w:tcW w:w="1560" w:type="dxa"/>
            <w:vAlign w:val="bottom"/>
          </w:tcPr>
          <w:p>
            <w:pPr>
              <w:ind w:left="22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560" w:type="dxa"/>
            <w:vAlign w:val="bottom"/>
            <w:gridSpan w:val="2"/>
          </w:tcPr>
          <w:p>
            <w:pPr>
              <w:ind w:left="20"/>
              <w:spacing w:after="0"/>
              <w:rPr>
                <w:sz w:val="20"/>
                <w:szCs w:val="20"/>
                <w:color w:val="auto"/>
              </w:rPr>
            </w:pPr>
            <w:r>
              <w:rPr>
                <w:rFonts w:ascii="Arial" w:cs="Arial" w:eastAsia="Arial" w:hAnsi="Arial"/>
                <w:sz w:val="20"/>
                <w:szCs w:val="20"/>
                <w:color w:val="0000FF"/>
              </w:rPr>
              <w:t>200 CLARENDON STREET</w:t>
            </w:r>
          </w:p>
        </w:tc>
        <w:tc>
          <w:tcPr>
            <w:tcW w:w="156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460" w:type="dxa"/>
            <w:vAlign w:val="bottom"/>
            <w:tcBorders>
              <w:bottom w:val="single" w:sz="8" w:color="9A9A9A"/>
            </w:tcBorders>
          </w:tcPr>
          <w:p>
            <w:pPr>
              <w:spacing w:after="0"/>
              <w:rPr>
                <w:sz w:val="20"/>
                <w:szCs w:val="20"/>
                <w:color w:val="auto"/>
              </w:rPr>
            </w:pPr>
          </w:p>
        </w:tc>
        <w:tc>
          <w:tcPr>
            <w:tcW w:w="1560" w:type="dxa"/>
            <w:vAlign w:val="bottom"/>
            <w:tcBorders>
              <w:bottom w:val="single" w:sz="8" w:color="9A9A9A"/>
            </w:tcBorders>
          </w:tcPr>
          <w:p>
            <w:pPr>
              <w:spacing w:after="0"/>
              <w:rPr>
                <w:sz w:val="20"/>
                <w:szCs w:val="20"/>
                <w:color w:val="auto"/>
              </w:rPr>
            </w:pPr>
          </w:p>
        </w:tc>
      </w:tr>
      <w:tr>
        <w:trPr>
          <w:trHeight w:val="299"/>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4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BOSTON</w:t>
            </w:r>
          </w:p>
        </w:tc>
        <w:tc>
          <w:tcPr>
            <w:tcW w:w="1460" w:type="dxa"/>
            <w:vAlign w:val="bottom"/>
          </w:tcPr>
          <w:p>
            <w:pPr>
              <w:ind w:left="300"/>
              <w:spacing w:after="0"/>
              <w:rPr>
                <w:sz w:val="20"/>
                <w:szCs w:val="20"/>
                <w:color w:val="auto"/>
              </w:rPr>
            </w:pPr>
            <w:r>
              <w:rPr>
                <w:rFonts w:ascii="Arial" w:cs="Arial" w:eastAsia="Arial" w:hAnsi="Arial"/>
                <w:sz w:val="20"/>
                <w:szCs w:val="20"/>
                <w:color w:val="0000FF"/>
              </w:rPr>
              <w:t>MA</w:t>
            </w:r>
          </w:p>
        </w:tc>
        <w:tc>
          <w:tcPr>
            <w:tcW w:w="1560" w:type="dxa"/>
            <w:vAlign w:val="bottom"/>
          </w:tcPr>
          <w:p>
            <w:pPr>
              <w:ind w:left="220"/>
              <w:spacing w:after="0"/>
              <w:rPr>
                <w:sz w:val="20"/>
                <w:szCs w:val="20"/>
                <w:color w:val="auto"/>
              </w:rPr>
            </w:pPr>
            <w:r>
              <w:rPr>
                <w:rFonts w:ascii="Arial" w:cs="Arial" w:eastAsia="Arial" w:hAnsi="Arial"/>
                <w:sz w:val="20"/>
                <w:szCs w:val="20"/>
                <w:color w:val="0000FF"/>
              </w:rPr>
              <w:t>02116</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460" w:type="dxa"/>
            <w:vAlign w:val="bottom"/>
          </w:tcPr>
          <w:p>
            <w:pPr>
              <w:ind w:left="300"/>
              <w:spacing w:after="0"/>
              <w:rPr>
                <w:sz w:val="20"/>
                <w:szCs w:val="20"/>
                <w:color w:val="auto"/>
              </w:rPr>
            </w:pPr>
            <w:r>
              <w:rPr>
                <w:rFonts w:ascii="Arial" w:cs="Arial" w:eastAsia="Arial" w:hAnsi="Arial"/>
                <w:sz w:val="15"/>
                <w:szCs w:val="15"/>
                <w:color w:val="auto"/>
              </w:rPr>
              <w:t>(State)</w:t>
            </w:r>
          </w:p>
        </w:tc>
        <w:tc>
          <w:tcPr>
            <w:tcW w:w="1560" w:type="dxa"/>
            <w:vAlign w:val="bottom"/>
          </w:tcPr>
          <w:p>
            <w:pPr>
              <w:ind w:left="22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40"/>
        <w:spacing w:after="0"/>
        <w:rPr>
          <w:rFonts w:ascii="Arial" w:cs="Arial" w:eastAsia="Arial" w:hAnsi="Arial"/>
          <w:sz w:val="24"/>
          <w:szCs w:val="24"/>
          <w:u w:val="single" w:color="auto"/>
          <w:color w:val="0000EE"/>
        </w:rPr>
      </w:pPr>
      <w:hyperlink r:id="rId18">
        <w:r>
          <w:rPr>
            <w:rFonts w:ascii="Arial" w:cs="Arial" w:eastAsia="Arial" w:hAnsi="Arial"/>
            <w:sz w:val="24"/>
            <w:szCs w:val="24"/>
            <w:u w:val="single" w:color="auto"/>
            <w:color w:val="0000EE"/>
          </w:rPr>
          <w:t>Bain Capital Venture Fund 2016, L.P.</w:t>
        </w:r>
      </w:hyperlink>
    </w:p>
    <w:p>
      <w:pPr>
        <w:sectPr>
          <w:pgSz w:w="11900" w:h="16839" w:orient="portrait"/>
          <w:cols w:equalWidth="0" w:num="1">
            <w:col w:w="9879"/>
          </w:cols>
          <w:pgMar w:left="580" w:top="103" w:right="1440" w:bottom="0" w:gutter="0" w:footer="0" w:header="0"/>
        </w:sectPr>
      </w:pPr>
    </w:p>
    <w:p>
      <w:pPr>
        <w:spacing w:after="0" w:line="357" w:lineRule="exact"/>
        <w:rPr>
          <w:sz w:val="20"/>
          <w:szCs w:val="20"/>
          <w:color w:val="auto"/>
        </w:rPr>
      </w:pPr>
    </w:p>
    <w:p>
      <w:pPr>
        <w:ind w:left="40"/>
        <w:spacing w:after="0"/>
        <w:tabs>
          <w:tab w:leader="none" w:pos="1400" w:val="left"/>
          <w:tab w:leader="none" w:pos="27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ectPr>
          <w:pgSz w:w="11900" w:h="16839" w:orient="portrait"/>
          <w:cols w:equalWidth="0" w:num="1">
            <w:col w:w="9879"/>
          </w:cols>
          <w:pgMar w:left="580" w:top="103" w:right="1440" w:bottom="0" w:gutter="0" w:footer="0" w:header="0"/>
          <w:type w:val="continuous"/>
        </w:sectPr>
      </w:pPr>
    </w:p>
    <w:bookmarkStart w:id="2" w:name="page3"/>
    <w:bookmarkEnd w:id="2"/>
    <w:p>
      <w:pPr>
        <w:ind w:left="120"/>
        <w:spacing w:after="0"/>
        <w:rPr>
          <w:sz w:val="20"/>
          <w:szCs w:val="20"/>
          <w:color w:val="auto"/>
        </w:rPr>
      </w:pPr>
      <w:r>
        <w:rPr>
          <w:rFonts w:ascii="Arial" w:cs="Arial" w:eastAsia="Arial" w:hAnsi="Arial"/>
          <w:sz w:val="20"/>
          <w:szCs w:val="20"/>
          <w:color w:val="0000FF"/>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6692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extLst>
                    </a:blip>
                    <a:srcRect/>
                    <a:stretch>
                      <a:fillRect/>
                    </a:stretch>
                  </pic:blipFill>
                  <pic:spPr bwMode="auto">
                    <a:xfrm>
                      <a:off x="0" y="0"/>
                      <a:ext cx="2798445" cy="6692900"/>
                    </a:xfrm>
                    <a:prstGeom prst="rect">
                      <a:avLst/>
                    </a:prstGeom>
                    <a:noFill/>
                  </pic:spPr>
                </pic:pic>
              </a:graphicData>
            </a:graphic>
          </wp:anchor>
        </w:drawing>
        <w:t>200 CLARENDON STREET</w:t>
      </w:r>
    </w:p>
    <w:p>
      <w:pPr>
        <w:spacing w:after="0" w:line="394"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BOSTON</w:t>
            </w:r>
          </w:p>
        </w:tc>
        <w:tc>
          <w:tcPr>
            <w:tcW w:w="1220" w:type="dxa"/>
            <w:vAlign w:val="bottom"/>
          </w:tcPr>
          <w:p>
            <w:pPr>
              <w:ind w:left="300"/>
              <w:spacing w:after="0"/>
              <w:rPr>
                <w:sz w:val="20"/>
                <w:szCs w:val="20"/>
                <w:color w:val="auto"/>
              </w:rPr>
            </w:pPr>
            <w:r>
              <w:rPr>
                <w:rFonts w:ascii="Arial" w:cs="Arial" w:eastAsia="Arial" w:hAnsi="Arial"/>
                <w:sz w:val="20"/>
                <w:szCs w:val="20"/>
                <w:color w:val="0000FF"/>
              </w:rPr>
              <w:t>MA</w:t>
            </w:r>
          </w:p>
        </w:tc>
        <w:tc>
          <w:tcPr>
            <w:tcW w:w="1800" w:type="dxa"/>
            <w:vAlign w:val="bottom"/>
          </w:tcPr>
          <w:p>
            <w:pPr>
              <w:ind w:left="460"/>
              <w:spacing w:after="0"/>
              <w:rPr>
                <w:sz w:val="20"/>
                <w:szCs w:val="20"/>
                <w:color w:val="auto"/>
              </w:rPr>
            </w:pPr>
            <w:r>
              <w:rPr>
                <w:rFonts w:ascii="Arial" w:cs="Arial" w:eastAsia="Arial" w:hAnsi="Arial"/>
                <w:sz w:val="20"/>
                <w:szCs w:val="20"/>
                <w:color w:val="0000FF"/>
              </w:rPr>
              <w:t>02116</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220" w:type="dxa"/>
            <w:vAlign w:val="bottom"/>
          </w:tcPr>
          <w:p>
            <w:pPr>
              <w:ind w:left="30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Arial" w:cs="Arial" w:eastAsia="Arial" w:hAnsi="Arial"/>
          <w:sz w:val="24"/>
          <w:szCs w:val="24"/>
          <w:u w:val="single" w:color="auto"/>
          <w:color w:val="0000EE"/>
        </w:rPr>
      </w:pPr>
      <w:hyperlink r:id="rId20">
        <w:r>
          <w:rPr>
            <w:rFonts w:ascii="Arial" w:cs="Arial" w:eastAsia="Arial" w:hAnsi="Arial"/>
            <w:sz w:val="24"/>
            <w:szCs w:val="24"/>
            <w:u w:val="single" w:color="auto"/>
            <w:color w:val="0000EE"/>
          </w:rPr>
          <w:t>Bain Capital Venture Partners 2016, L.P.</w:t>
        </w:r>
      </w:hyperlink>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(Last)</w:t>
            </w:r>
          </w:p>
        </w:tc>
        <w:tc>
          <w:tcPr>
            <w:tcW w:w="1500" w:type="dxa"/>
            <w:vAlign w:val="bottom"/>
            <w:gridSpan w:val="2"/>
          </w:tcPr>
          <w:p>
            <w:pPr>
              <w:ind w:left="300"/>
              <w:spacing w:after="0"/>
              <w:rPr>
                <w:sz w:val="20"/>
                <w:szCs w:val="20"/>
                <w:color w:val="auto"/>
              </w:rPr>
            </w:pPr>
            <w:r>
              <w:rPr>
                <w:rFonts w:ascii="Arial" w:cs="Arial" w:eastAsia="Arial" w:hAnsi="Arial"/>
                <w:sz w:val="15"/>
                <w:szCs w:val="15"/>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gridSpan w:val="3"/>
          </w:tcPr>
          <w:p>
            <w:pPr>
              <w:spacing w:after="0"/>
              <w:rPr>
                <w:sz w:val="20"/>
                <w:szCs w:val="20"/>
                <w:color w:val="auto"/>
              </w:rPr>
            </w:pPr>
            <w:r>
              <w:rPr>
                <w:rFonts w:ascii="Arial" w:cs="Arial" w:eastAsia="Arial" w:hAnsi="Arial"/>
                <w:sz w:val="20"/>
                <w:szCs w:val="20"/>
                <w:color w:val="0000FF"/>
              </w:rPr>
              <w:t>200 CLARENDON STREET</w:t>
            </w: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08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15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299"/>
        </w:trPr>
        <w:tc>
          <w:tcPr>
            <w:tcW w:w="12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80" w:type="dxa"/>
            <w:vAlign w:val="bottom"/>
          </w:tcPr>
          <w:p>
            <w:pPr>
              <w:spacing w:after="0"/>
              <w:rPr>
                <w:sz w:val="20"/>
                <w:szCs w:val="20"/>
                <w:color w:val="auto"/>
              </w:rPr>
            </w:pPr>
            <w:r>
              <w:rPr>
                <w:rFonts w:ascii="Arial" w:cs="Arial" w:eastAsia="Arial" w:hAnsi="Arial"/>
                <w:sz w:val="20"/>
                <w:szCs w:val="20"/>
                <w:color w:val="0000FF"/>
              </w:rPr>
              <w:t>BOSTON</w:t>
            </w:r>
          </w:p>
        </w:tc>
        <w:tc>
          <w:tcPr>
            <w:tcW w:w="1500" w:type="dxa"/>
            <w:vAlign w:val="bottom"/>
            <w:gridSpan w:val="2"/>
          </w:tcPr>
          <w:p>
            <w:pPr>
              <w:ind w:left="300"/>
              <w:spacing w:after="0"/>
              <w:rPr>
                <w:sz w:val="20"/>
                <w:szCs w:val="20"/>
                <w:color w:val="auto"/>
              </w:rPr>
            </w:pPr>
            <w:r>
              <w:rPr>
                <w:rFonts w:ascii="Arial" w:cs="Arial" w:eastAsia="Arial" w:hAnsi="Arial"/>
                <w:sz w:val="20"/>
                <w:szCs w:val="20"/>
                <w:color w:val="0000FF"/>
              </w:rPr>
              <w:t>MA</w:t>
            </w:r>
          </w:p>
        </w:tc>
        <w:tc>
          <w:tcPr>
            <w:tcW w:w="1520" w:type="dxa"/>
            <w:vAlign w:val="bottom"/>
          </w:tcPr>
          <w:p>
            <w:pPr>
              <w:ind w:left="180"/>
              <w:spacing w:after="0"/>
              <w:rPr>
                <w:sz w:val="20"/>
                <w:szCs w:val="20"/>
                <w:color w:val="auto"/>
              </w:rPr>
            </w:pPr>
            <w:r>
              <w:rPr>
                <w:rFonts w:ascii="Arial" w:cs="Arial" w:eastAsia="Arial" w:hAnsi="Arial"/>
                <w:sz w:val="20"/>
                <w:szCs w:val="20"/>
                <w:color w:val="0000FF"/>
              </w:rPr>
              <w:t>02116</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(City)</w:t>
            </w:r>
          </w:p>
        </w:tc>
        <w:tc>
          <w:tcPr>
            <w:tcW w:w="1500" w:type="dxa"/>
            <w:vAlign w:val="bottom"/>
            <w:gridSpan w:val="2"/>
          </w:tcPr>
          <w:p>
            <w:pPr>
              <w:ind w:left="300"/>
              <w:spacing w:after="0"/>
              <w:rPr>
                <w:sz w:val="20"/>
                <w:szCs w:val="20"/>
                <w:color w:val="auto"/>
              </w:rPr>
            </w:pPr>
            <w:r>
              <w:rPr>
                <w:rFonts w:ascii="Arial" w:cs="Arial" w:eastAsia="Arial" w:hAnsi="Arial"/>
                <w:sz w:val="15"/>
                <w:szCs w:val="15"/>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420" w:type="dxa"/>
            <w:vAlign w:val="bottom"/>
            <w:tcBorders>
              <w:bottom w:val="single" w:sz="8" w:color="2C2C2C"/>
            </w:tcBorders>
            <w:gridSpan w:val="2"/>
          </w:tcPr>
          <w:p>
            <w:pPr>
              <w:spacing w:after="0"/>
              <w:rPr>
                <w:sz w:val="8"/>
                <w:szCs w:val="8"/>
                <w:color w:val="auto"/>
              </w:rPr>
            </w:pPr>
          </w:p>
        </w:tc>
        <w:tc>
          <w:tcPr>
            <w:tcW w:w="168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7"/>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gridSpan w:val="3"/>
          </w:tcPr>
          <w:p>
            <w:pPr>
              <w:spacing w:after="0" w:line="249" w:lineRule="exact"/>
              <w:rPr>
                <w:rFonts w:ascii="Arial" w:cs="Arial" w:eastAsia="Arial" w:hAnsi="Arial"/>
                <w:sz w:val="24"/>
                <w:szCs w:val="24"/>
                <w:color w:val="0000EE"/>
                <w:w w:val="94"/>
              </w:rPr>
            </w:pPr>
            <w:hyperlink r:id="rId21">
              <w:r>
                <w:rPr>
                  <w:rFonts w:ascii="Arial" w:cs="Arial" w:eastAsia="Arial" w:hAnsi="Arial"/>
                  <w:sz w:val="24"/>
                  <w:szCs w:val="24"/>
                  <w:color w:val="0000EE"/>
                  <w:w w:val="94"/>
                </w:rPr>
                <w:t>BCIP Venture Associates</w:t>
              </w:r>
            </w:hyperlink>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80" w:type="dxa"/>
            <w:vAlign w:val="bottom"/>
            <w:tcBorders>
              <w:top w:val="single" w:sz="8" w:color="0000EE"/>
              <w:bottom w:val="single" w:sz="8" w:color="9A9A9A"/>
            </w:tcBorders>
          </w:tcPr>
          <w:p>
            <w:pPr>
              <w:spacing w:after="0"/>
              <w:rPr>
                <w:sz w:val="17"/>
                <w:szCs w:val="17"/>
                <w:color w:val="auto"/>
              </w:rPr>
            </w:pPr>
          </w:p>
        </w:tc>
        <w:tc>
          <w:tcPr>
            <w:tcW w:w="1340" w:type="dxa"/>
            <w:vAlign w:val="bottom"/>
            <w:tcBorders>
              <w:top w:val="single" w:sz="8" w:color="0000EE"/>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(Last)</w:t>
            </w:r>
          </w:p>
        </w:tc>
        <w:tc>
          <w:tcPr>
            <w:tcW w:w="1500" w:type="dxa"/>
            <w:vAlign w:val="bottom"/>
            <w:gridSpan w:val="2"/>
          </w:tcPr>
          <w:p>
            <w:pPr>
              <w:ind w:left="300"/>
              <w:spacing w:after="0"/>
              <w:rPr>
                <w:sz w:val="20"/>
                <w:szCs w:val="20"/>
                <w:color w:val="auto"/>
              </w:rPr>
            </w:pPr>
            <w:r>
              <w:rPr>
                <w:rFonts w:ascii="Arial" w:cs="Arial" w:eastAsia="Arial" w:hAnsi="Arial"/>
                <w:sz w:val="15"/>
                <w:szCs w:val="15"/>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gridSpan w:val="3"/>
          </w:tcPr>
          <w:p>
            <w:pPr>
              <w:spacing w:after="0"/>
              <w:rPr>
                <w:sz w:val="20"/>
                <w:szCs w:val="20"/>
                <w:color w:val="auto"/>
              </w:rPr>
            </w:pPr>
            <w:r>
              <w:rPr>
                <w:rFonts w:ascii="Arial" w:cs="Arial" w:eastAsia="Arial" w:hAnsi="Arial"/>
                <w:sz w:val="20"/>
                <w:szCs w:val="20"/>
                <w:color w:val="0000FF"/>
              </w:rPr>
              <w:t>200 CLARENDON STREET</w:t>
            </w: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08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15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299"/>
        </w:trPr>
        <w:tc>
          <w:tcPr>
            <w:tcW w:w="12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80" w:type="dxa"/>
            <w:vAlign w:val="bottom"/>
          </w:tcPr>
          <w:p>
            <w:pPr>
              <w:spacing w:after="0"/>
              <w:rPr>
                <w:sz w:val="20"/>
                <w:szCs w:val="20"/>
                <w:color w:val="auto"/>
              </w:rPr>
            </w:pPr>
            <w:r>
              <w:rPr>
                <w:rFonts w:ascii="Arial" w:cs="Arial" w:eastAsia="Arial" w:hAnsi="Arial"/>
                <w:sz w:val="20"/>
                <w:szCs w:val="20"/>
                <w:color w:val="0000FF"/>
              </w:rPr>
              <w:t>BOSTON</w:t>
            </w:r>
          </w:p>
        </w:tc>
        <w:tc>
          <w:tcPr>
            <w:tcW w:w="1500" w:type="dxa"/>
            <w:vAlign w:val="bottom"/>
            <w:gridSpan w:val="2"/>
          </w:tcPr>
          <w:p>
            <w:pPr>
              <w:ind w:left="300"/>
              <w:spacing w:after="0"/>
              <w:rPr>
                <w:sz w:val="20"/>
                <w:szCs w:val="20"/>
                <w:color w:val="auto"/>
              </w:rPr>
            </w:pPr>
            <w:r>
              <w:rPr>
                <w:rFonts w:ascii="Arial" w:cs="Arial" w:eastAsia="Arial" w:hAnsi="Arial"/>
                <w:sz w:val="20"/>
                <w:szCs w:val="20"/>
                <w:color w:val="0000FF"/>
              </w:rPr>
              <w:t>MA</w:t>
            </w:r>
          </w:p>
        </w:tc>
        <w:tc>
          <w:tcPr>
            <w:tcW w:w="1520" w:type="dxa"/>
            <w:vAlign w:val="bottom"/>
          </w:tcPr>
          <w:p>
            <w:pPr>
              <w:ind w:left="180"/>
              <w:spacing w:after="0"/>
              <w:rPr>
                <w:sz w:val="20"/>
                <w:szCs w:val="20"/>
                <w:color w:val="auto"/>
              </w:rPr>
            </w:pPr>
            <w:r>
              <w:rPr>
                <w:rFonts w:ascii="Arial" w:cs="Arial" w:eastAsia="Arial" w:hAnsi="Arial"/>
                <w:sz w:val="20"/>
                <w:szCs w:val="20"/>
                <w:color w:val="0000FF"/>
              </w:rPr>
              <w:t>02116</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(City)</w:t>
            </w:r>
          </w:p>
        </w:tc>
        <w:tc>
          <w:tcPr>
            <w:tcW w:w="1500" w:type="dxa"/>
            <w:vAlign w:val="bottom"/>
            <w:gridSpan w:val="2"/>
          </w:tcPr>
          <w:p>
            <w:pPr>
              <w:ind w:left="300"/>
              <w:spacing w:after="0"/>
              <w:rPr>
                <w:sz w:val="20"/>
                <w:szCs w:val="20"/>
                <w:color w:val="auto"/>
              </w:rPr>
            </w:pPr>
            <w:r>
              <w:rPr>
                <w:rFonts w:ascii="Arial" w:cs="Arial" w:eastAsia="Arial" w:hAnsi="Arial"/>
                <w:sz w:val="15"/>
                <w:szCs w:val="15"/>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Arial" w:cs="Arial" w:eastAsia="Arial" w:hAnsi="Arial"/>
          <w:sz w:val="24"/>
          <w:szCs w:val="24"/>
          <w:u w:val="single" w:color="auto"/>
          <w:color w:val="0000EE"/>
        </w:rPr>
      </w:pPr>
      <w:hyperlink r:id="rId22">
        <w:r>
          <w:rPr>
            <w:rFonts w:ascii="Arial" w:cs="Arial" w:eastAsia="Arial" w:hAnsi="Arial"/>
            <w:sz w:val="24"/>
            <w:szCs w:val="24"/>
            <w:u w:val="single" w:color="auto"/>
            <w:color w:val="0000EE"/>
          </w:rPr>
          <w:t>BCIP VENTURE ASSOCIATES-B</w:t>
        </w:r>
      </w:hyperlink>
    </w:p>
    <w:p>
      <w:pPr>
        <w:spacing w:after="0" w:line="357"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(Last)</w:t>
            </w:r>
          </w:p>
        </w:tc>
        <w:tc>
          <w:tcPr>
            <w:tcW w:w="1460" w:type="dxa"/>
            <w:vAlign w:val="bottom"/>
          </w:tcPr>
          <w:p>
            <w:pPr>
              <w:ind w:left="300"/>
              <w:spacing w:after="0"/>
              <w:rPr>
                <w:sz w:val="20"/>
                <w:szCs w:val="20"/>
                <w:color w:val="auto"/>
              </w:rPr>
            </w:pPr>
            <w:r>
              <w:rPr>
                <w:rFonts w:ascii="Arial" w:cs="Arial" w:eastAsia="Arial" w:hAnsi="Arial"/>
                <w:sz w:val="15"/>
                <w:szCs w:val="15"/>
                <w:color w:val="auto"/>
              </w:rPr>
              <w:t>(First)</w:t>
            </w:r>
          </w:p>
        </w:tc>
        <w:tc>
          <w:tcPr>
            <w:tcW w:w="1560" w:type="dxa"/>
            <w:vAlign w:val="bottom"/>
          </w:tcPr>
          <w:p>
            <w:pPr>
              <w:ind w:left="22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560" w:type="dxa"/>
            <w:vAlign w:val="bottom"/>
            <w:gridSpan w:val="2"/>
          </w:tcPr>
          <w:p>
            <w:pPr>
              <w:ind w:left="20"/>
              <w:spacing w:after="0"/>
              <w:rPr>
                <w:sz w:val="20"/>
                <w:szCs w:val="20"/>
                <w:color w:val="auto"/>
              </w:rPr>
            </w:pPr>
            <w:r>
              <w:rPr>
                <w:rFonts w:ascii="Arial" w:cs="Arial" w:eastAsia="Arial" w:hAnsi="Arial"/>
                <w:sz w:val="20"/>
                <w:szCs w:val="20"/>
                <w:color w:val="0000FF"/>
              </w:rPr>
              <w:t>200 CLARENDON STREET</w:t>
            </w:r>
          </w:p>
        </w:tc>
        <w:tc>
          <w:tcPr>
            <w:tcW w:w="156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460" w:type="dxa"/>
            <w:vAlign w:val="bottom"/>
            <w:tcBorders>
              <w:bottom w:val="single" w:sz="8" w:color="9A9A9A"/>
            </w:tcBorders>
          </w:tcPr>
          <w:p>
            <w:pPr>
              <w:spacing w:after="0"/>
              <w:rPr>
                <w:sz w:val="20"/>
                <w:szCs w:val="20"/>
                <w:color w:val="auto"/>
              </w:rPr>
            </w:pPr>
          </w:p>
        </w:tc>
        <w:tc>
          <w:tcPr>
            <w:tcW w:w="1560" w:type="dxa"/>
            <w:vAlign w:val="bottom"/>
            <w:tcBorders>
              <w:bottom w:val="single" w:sz="8" w:color="9A9A9A"/>
            </w:tcBorders>
          </w:tcPr>
          <w:p>
            <w:pPr>
              <w:spacing w:after="0"/>
              <w:rPr>
                <w:sz w:val="20"/>
                <w:szCs w:val="20"/>
                <w:color w:val="auto"/>
              </w:rPr>
            </w:pPr>
          </w:p>
        </w:tc>
      </w:tr>
      <w:tr>
        <w:trPr>
          <w:trHeight w:val="299"/>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4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BOSTON</w:t>
            </w:r>
          </w:p>
        </w:tc>
        <w:tc>
          <w:tcPr>
            <w:tcW w:w="1460" w:type="dxa"/>
            <w:vAlign w:val="bottom"/>
          </w:tcPr>
          <w:p>
            <w:pPr>
              <w:ind w:left="300"/>
              <w:spacing w:after="0"/>
              <w:rPr>
                <w:sz w:val="20"/>
                <w:szCs w:val="20"/>
                <w:color w:val="auto"/>
              </w:rPr>
            </w:pPr>
            <w:r>
              <w:rPr>
                <w:rFonts w:ascii="Arial" w:cs="Arial" w:eastAsia="Arial" w:hAnsi="Arial"/>
                <w:sz w:val="20"/>
                <w:szCs w:val="20"/>
                <w:color w:val="0000FF"/>
              </w:rPr>
              <w:t>MA</w:t>
            </w:r>
          </w:p>
        </w:tc>
        <w:tc>
          <w:tcPr>
            <w:tcW w:w="1560" w:type="dxa"/>
            <w:vAlign w:val="bottom"/>
          </w:tcPr>
          <w:p>
            <w:pPr>
              <w:ind w:left="220"/>
              <w:spacing w:after="0"/>
              <w:rPr>
                <w:sz w:val="20"/>
                <w:szCs w:val="20"/>
                <w:color w:val="auto"/>
              </w:rPr>
            </w:pPr>
            <w:r>
              <w:rPr>
                <w:rFonts w:ascii="Arial" w:cs="Arial" w:eastAsia="Arial" w:hAnsi="Arial"/>
                <w:sz w:val="20"/>
                <w:szCs w:val="20"/>
                <w:color w:val="0000FF"/>
              </w:rPr>
              <w:t>02116</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460" w:type="dxa"/>
            <w:vAlign w:val="bottom"/>
          </w:tcPr>
          <w:p>
            <w:pPr>
              <w:ind w:left="300"/>
              <w:spacing w:after="0"/>
              <w:rPr>
                <w:sz w:val="20"/>
                <w:szCs w:val="20"/>
                <w:color w:val="auto"/>
              </w:rPr>
            </w:pPr>
            <w:r>
              <w:rPr>
                <w:rFonts w:ascii="Arial" w:cs="Arial" w:eastAsia="Arial" w:hAnsi="Arial"/>
                <w:sz w:val="15"/>
                <w:szCs w:val="15"/>
                <w:color w:val="auto"/>
              </w:rPr>
              <w:t>(State)</w:t>
            </w:r>
          </w:p>
        </w:tc>
        <w:tc>
          <w:tcPr>
            <w:tcW w:w="1560" w:type="dxa"/>
            <w:vAlign w:val="bottom"/>
          </w:tcPr>
          <w:p>
            <w:pPr>
              <w:ind w:left="22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180" w:hanging="155"/>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Immediately prior to the closing of the Issuer's initial public offering, each share of Class A Common Stock will be reclassified into one share of Voting Common Stock.</w:t>
      </w:r>
    </w:p>
    <w:p>
      <w:pPr>
        <w:spacing w:after="0" w:line="64" w:lineRule="exact"/>
        <w:rPr>
          <w:rFonts w:ascii="Arial" w:cs="Arial" w:eastAsia="Arial" w:hAnsi="Arial"/>
          <w:sz w:val="14"/>
          <w:szCs w:val="14"/>
          <w:color w:val="008000"/>
        </w:rPr>
      </w:pPr>
    </w:p>
    <w:p>
      <w:pPr>
        <w:ind w:left="20" w:right="320" w:firstLine="5"/>
        <w:spacing w:after="0" w:line="288" w:lineRule="auto"/>
        <w:tabs>
          <w:tab w:leader="none" w:pos="17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Each share of the Issuer's Series A, Series B, Series B-1 and Series C Preferred Stock is convertible into the Issuer's Class A Common Stock on a 1-for-1 basis at the holder's election and will automatically convert immediately prior to the closing of the Issuer's initial public offering. These shares have no expiration date.</w:t>
      </w:r>
    </w:p>
    <w:p>
      <w:pPr>
        <w:spacing w:after="0" w:line="3" w:lineRule="exact"/>
        <w:rPr>
          <w:rFonts w:ascii="Arial" w:cs="Arial" w:eastAsia="Arial" w:hAnsi="Arial"/>
          <w:sz w:val="14"/>
          <w:szCs w:val="14"/>
          <w:color w:val="008000"/>
        </w:rPr>
      </w:pPr>
    </w:p>
    <w:p>
      <w:pPr>
        <w:ind w:left="20" w:right="20" w:firstLine="5"/>
        <w:spacing w:after="0" w:line="241"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Each warrant is exercisable by the holder in whole or in part at any time and from time to time on or before August 22, 2022 (the "Common Stock Warrant Expiration Date"). In the event that, upon the Common Stock Warrant Expiration Date, the fair market value of one share of the Issuer's Class A Common Stock is greater than the exercise price in effect on such date, then the warrant will be automatically exercised on a cashless basis.</w:t>
      </w:r>
    </w:p>
    <w:p>
      <w:pPr>
        <w:spacing w:after="0" w:line="35" w:lineRule="exact"/>
        <w:rPr>
          <w:rFonts w:ascii="Arial" w:cs="Arial" w:eastAsia="Arial" w:hAnsi="Arial"/>
          <w:sz w:val="15"/>
          <w:szCs w:val="15"/>
          <w:color w:val="008000"/>
        </w:rPr>
      </w:pPr>
    </w:p>
    <w:p>
      <w:pPr>
        <w:ind w:left="20" w:right="60" w:firstLine="5"/>
        <w:spacing w:after="0" w:line="260" w:lineRule="auto"/>
        <w:tabs>
          <w:tab w:leader="none" w:pos="17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Each warrant is exercisable by the holder in whole or in part at any time and from time to time on or before January 15, 2025 (the "Preferred Stock Warrant Expiration Date"). In the event that, upon the Preferred Stock Warrant Expiration Date, the fair market value of one share of the Issuer's Series C Preferred Stock is greater than the exercise price in effect on such date, then the warrant will be automatically exercised on a cashless basis. Immediately prior to the closing of the Issuer's initial public offering, each warrant will automatically become a warrant to acquire an equivalent number of shares of the Issuer's Voting Common Stock at an exercise price of $1.48 per share.</w:t>
      </w:r>
    </w:p>
    <w:p>
      <w:pPr>
        <w:spacing w:after="0" w:line="22" w:lineRule="exact"/>
        <w:rPr>
          <w:rFonts w:ascii="Arial" w:cs="Arial" w:eastAsia="Arial" w:hAnsi="Arial"/>
          <w:sz w:val="14"/>
          <w:szCs w:val="14"/>
          <w:color w:val="008000"/>
        </w:rPr>
      </w:pPr>
    </w:p>
    <w:p>
      <w:pPr>
        <w:ind w:left="20" w:firstLine="5"/>
        <w:spacing w:after="0" w:line="236"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Includes (i) 5,349,132 shares of Class A Common Stock held directly by Bain Capital Venture Fund 2014, L.P. ("Venture Fund 2014"), (ii) 343,947 shares of Class A Common Stock held directly by Bain Capital Venture Fund 2016, L.P. ("Venture Fund 2016"), (iii) 545,340 shares of Class A Common Stock held directly by BCIP Venture Associates ("BCIP Venture"), (iv) 36,687 shares of Class A Common Stock held directly by BCIP Venture Associates-B ("BCIP Venture-B"), (v) 34,395 shares of Class A Common Stock held directly by BCIP Venture Associates II, LP ("BCIP Venture II") and (vi) 2,865 shares of Class A Common Stock held directly by BCIP Venture Associates II-B, LP ("BCIP Venture II-B").</w:t>
      </w:r>
    </w:p>
    <w:p>
      <w:pPr>
        <w:spacing w:after="0" w:line="37" w:lineRule="exact"/>
        <w:rPr>
          <w:rFonts w:ascii="Arial" w:cs="Arial" w:eastAsia="Arial" w:hAnsi="Arial"/>
          <w:sz w:val="15"/>
          <w:szCs w:val="15"/>
          <w:color w:val="008000"/>
        </w:rPr>
      </w:pPr>
    </w:p>
    <w:p>
      <w:pPr>
        <w:jc w:val="both"/>
        <w:ind w:left="20" w:right="220" w:firstLine="5"/>
        <w:spacing w:after="0" w:line="267" w:lineRule="auto"/>
        <w:tabs>
          <w:tab w:leader="none" w:pos="17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Includes (i) 488,607 shares of Series A Preferred Stock held directly by Venture Fund 2014, (ii) 11,376 shares of Series A Preferred Stock held directly by Venture Fund 2016, (iii) 49,803 shares of Series A Preferred Stock held directly by BCIP Venture, (iv) 3,357 shares of Series A Preferred Stock held directly by BCIP Venture-B, (v) 1,137 shares of Series A Preferred Stock held directly by BCIP Venture II and (vi) 96 shares of Series A Preferred Stock held directly by BCIP Venture II-B.</w:t>
      </w:r>
    </w:p>
    <w:p>
      <w:pPr>
        <w:spacing w:after="0" w:line="17" w:lineRule="exact"/>
        <w:rPr>
          <w:rFonts w:ascii="Arial" w:cs="Arial" w:eastAsia="Arial" w:hAnsi="Arial"/>
          <w:sz w:val="14"/>
          <w:szCs w:val="14"/>
          <w:color w:val="008000"/>
        </w:rPr>
      </w:pPr>
    </w:p>
    <w:p>
      <w:pPr>
        <w:ind w:left="20" w:right="40" w:firstLine="5"/>
        <w:spacing w:after="0" w:line="254" w:lineRule="auto"/>
        <w:tabs>
          <w:tab w:leader="none" w:pos="17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Includes (i) 915,603 shares of Series B Preferred Stock held directly by Venture Fund 2014, (ii) 245,901 shares of Series B Preferred Stock held directly by Venture Fund 2016, (iii) 93,345 shares of Series B Preferred Stock held directly by BCIP Venture, (iv) 6,279 shares of Series B Preferred Stock held directly by BCIP Venture-B, (v) 47,454 shares of Series B Preferred Stock held directly by BCIP Venture II, (vi) 3,402 shares of Series B Preferred Stock held directly by BCIP Venture II-B, (vii) 220,146 shares of Series B Preferred Stock held directly by Bain Capital Venture Coinvestment Fund II, L.P. ("Venture Coinvestment Fund II") and (viii) 8,805 shares of Series B Preferred Stock held directly by BCV 2019-MD Coinvestment II, L.P. ("2019-MD Coinvestment II" and, together with Venture Fund 2014, Venture Fund 2016, BCIP Venture, BCIP Venture-B, BCIP Venture II, BCIP Venture II-B and Venture Coinvestment Fund II, the "Bain Capital Venture Entities").</w:t>
      </w:r>
    </w:p>
    <w:p>
      <w:pPr>
        <w:spacing w:after="0" w:line="28" w:lineRule="exact"/>
        <w:rPr>
          <w:rFonts w:ascii="Arial" w:cs="Arial" w:eastAsia="Arial" w:hAnsi="Arial"/>
          <w:sz w:val="14"/>
          <w:szCs w:val="14"/>
          <w:color w:val="008000"/>
        </w:rPr>
      </w:pPr>
    </w:p>
    <w:p>
      <w:pPr>
        <w:ind w:left="20" w:right="220" w:firstLine="5"/>
        <w:spacing w:after="0" w:line="241"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Includes (i) 144,729 shares of Series B-1 Preferred Stock held directly by Venture Coinvestment Fund II, (ii) 5,790 shares of Series B-1 Preferred Stock held directly by 2019-MD Coinvestment II, (iii) 15,030 shares of Series B-1 Preferred Stock held directly by BCIP Venture II and (iv) 888 shares of Series B-1 Preferred Stock held directly by BCIP Venture II-B.</w:t>
      </w:r>
    </w:p>
    <w:p>
      <w:pPr>
        <w:spacing w:after="0" w:line="35" w:lineRule="exact"/>
        <w:rPr>
          <w:rFonts w:ascii="Arial" w:cs="Arial" w:eastAsia="Arial" w:hAnsi="Arial"/>
          <w:sz w:val="15"/>
          <w:szCs w:val="15"/>
          <w:color w:val="008000"/>
        </w:rPr>
      </w:pPr>
    </w:p>
    <w:p>
      <w:pPr>
        <w:ind w:left="20" w:right="40" w:firstLine="5"/>
        <w:spacing w:after="0" w:line="260" w:lineRule="auto"/>
        <w:tabs>
          <w:tab w:leader="none" w:pos="17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Includes (i) 6,819,693 shares of Series C Preferred Stock held directly by Venture Fund 2014, (ii) 64,047 shares of Series C Preferred Stock held directly by Venture Fund 2016, (iii) 695,265 shares of Series C Preferred Stock held directly by BCIP Venture, (iv) 46,773 shares of Series C Preferred Stock held directly by BCIP Venture-B, (v) 12,504 shares of Series C Preferred Stock held directly by BCIP Venture II, (vi) 894 shares of Series C Preferred Stock held directly by BCIP Venture II-B, (vii) 58,725 shares of Series C Preferred Stock held directly by Venture Coinvestment Fund II and (viii) 2,349 shares of Series C Preferred Stock held directly by 2019-MD Coinvestment II.</w:t>
      </w:r>
    </w:p>
    <w:p>
      <w:pPr>
        <w:sectPr>
          <w:pgSz w:w="11900" w:h="16838" w:orient="portrait"/>
          <w:cols w:equalWidth="0" w:num="1">
            <w:col w:w="10880"/>
          </w:cols>
          <w:pgMar w:left="500" w:top="145" w:right="519" w:bottom="0" w:gutter="0" w:footer="0" w:header="0"/>
        </w:sectPr>
      </w:pPr>
    </w:p>
    <w:bookmarkStart w:id="3" w:name="page4"/>
    <w:bookmarkEnd w:id="3"/>
    <w:p>
      <w:pPr>
        <w:ind w:firstLine="5"/>
        <w:spacing w:after="0" w:line="253" w:lineRule="auto"/>
        <w:tabs>
          <w:tab w:leader="none" w:pos="225"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Includes (i) warrants to purchase 67,668 shares of Class A Common Stock held directly by Venture Fund 2016, (ii) warrants to purchase 6,768 shares of Class A Common Stock held directly by BCIP Venture II and (iii) warrants to purchase 564 shares of Class A Common Stock held directly by BCIP Venture II-B.</w:t>
      </w:r>
    </w:p>
    <w:p>
      <w:pPr>
        <w:spacing w:after="0" w:line="26" w:lineRule="exact"/>
        <w:rPr>
          <w:rFonts w:ascii="Arial" w:cs="Arial" w:eastAsia="Arial" w:hAnsi="Arial"/>
          <w:sz w:val="15"/>
          <w:szCs w:val="15"/>
          <w:color w:val="008000"/>
        </w:rPr>
      </w:pPr>
    </w:p>
    <w:p>
      <w:pPr>
        <w:ind w:right="160" w:firstLine="5"/>
        <w:spacing w:after="0" w:line="288" w:lineRule="auto"/>
        <w:tabs>
          <w:tab w:leader="none" w:pos="22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Includes (i) warrants to purchase 171,882 shares of Series C Preferred Stock held directly by Venture Fund 2016, (ii) warrants to purchase 17,187 shares of Series C Preferred Stock held directly by BCIP Venture II and (iii) warrants to purchase 1,431 shares of Series C Preferred Stock held directly by BCIP Venture II-B.</w:t>
      </w:r>
    </w:p>
    <w:p>
      <w:pPr>
        <w:spacing w:after="0" w:line="3" w:lineRule="exact"/>
        <w:rPr>
          <w:rFonts w:ascii="Arial" w:cs="Arial" w:eastAsia="Arial" w:hAnsi="Arial"/>
          <w:sz w:val="14"/>
          <w:szCs w:val="14"/>
          <w:color w:val="008000"/>
        </w:rPr>
      </w:pPr>
    </w:p>
    <w:p>
      <w:pPr>
        <w:ind w:right="80" w:firstLine="5"/>
        <w:spacing w:after="0" w:line="236" w:lineRule="auto"/>
        <w:tabs>
          <w:tab w:leader="none" w:pos="225"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Bain Capital Venture Investors, LLC ("BCVI") is (i) the general partner of Bain Capital Venture Partners 2014, L.P. ("Venture Partners 2014"), which is the general partner of Venture Fund 2014, (ii) the general partner of Bain Capital Venture Partners 2016, L.P. ("Venture Partners 2016"), which is the general partner of Venture Fund 2016 and (iii) the manager of Bain Capital Venture Coinvestment II Investors, LLC ("Venture Coinvestment II Investors"), which is the general partner of each of Venture Coinvestment Fund II and 2019-MD Coinvestment II. Boylston Coinvestors, LLC is (i) the managing partner of each of BCIP Venture and BCIP Venture-B and (ii) the general partner of each of BCIP Venture II and BCIP Venture II-B.</w:t>
      </w:r>
    </w:p>
    <w:p>
      <w:pPr>
        <w:spacing w:after="0" w:line="37" w:lineRule="exact"/>
        <w:rPr>
          <w:rFonts w:ascii="Arial" w:cs="Arial" w:eastAsia="Arial" w:hAnsi="Arial"/>
          <w:sz w:val="15"/>
          <w:szCs w:val="15"/>
          <w:color w:val="008000"/>
        </w:rPr>
      </w:pPr>
    </w:p>
    <w:p>
      <w:pPr>
        <w:ind w:right="240" w:firstLine="5"/>
        <w:spacing w:after="0" w:line="256" w:lineRule="auto"/>
        <w:tabs>
          <w:tab w:leader="none" w:pos="22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(Continued from Footnote 12) The governance, investment strategy and decision-making process with respect to the investments held by the Bain Capital Venture Entities is directed by the Executive Committee of BCVI, which consists of Enrique Salem and Ajay Agarwal. As a result, each of BCVI, Venture Partners 2014, Venture Partners 2016, Venture Coinvestment II Investors and Messrs. Salem and Agarwal may be deemed to share voting and dispositive power with respect to all of the securities held by the Bain Capital Venture Entities. Each of BCVI, Venture Partners 2014, Venture Partners 2016, Venture Coinvestment II Investors and Messrs. Salem and Agarwal disclaims beneficial ownership of such securities except to the extent of its or his pecuniary interest therein.</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color w:val="008000"/>
        </w:rPr>
        <w:t>Form 1 of 2.</w:t>
      </w:r>
    </w:p>
    <w:p>
      <w:pPr>
        <w:sectPr>
          <w:pgSz w:w="11900" w:h="16838" w:orient="portrait"/>
          <w:cols w:equalWidth="0" w:num="1">
            <w:col w:w="10840"/>
          </w:cols>
          <w:pgMar w:left="520" w:top="129" w:right="539" w:bottom="0" w:gutter="0" w:footer="0" w:header="0"/>
        </w:sectPr>
      </w:pPr>
    </w:p>
    <w:p>
      <w:pPr>
        <w:spacing w:after="0" w:line="84"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Bain Capital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03886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extLst>
                    </a:blip>
                    <a:srcRect/>
                    <a:stretch>
                      <a:fillRect/>
                    </a:stretch>
                  </pic:blipFill>
                  <pic:spPr bwMode="auto">
                    <a:xfrm>
                      <a:off x="0" y="0"/>
                      <a:ext cx="103886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Investors,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919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extLst>
                    </a:blip>
                    <a:srcRect/>
                    <a:stretch>
                      <a:fillRect/>
                    </a:stretch>
                  </pic:blipFill>
                  <pic:spPr bwMode="auto">
                    <a:xfrm>
                      <a:off x="0" y="0"/>
                      <a:ext cx="113919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Matthew C. Harris,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5158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extLst>
                    </a:blip>
                    <a:srcRect/>
                    <a:stretch>
                      <a:fillRect/>
                    </a:stretch>
                  </pic:blipFill>
                  <pic:spPr bwMode="auto">
                    <a:xfrm>
                      <a:off x="0" y="0"/>
                      <a:ext cx="125158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4615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Bain Capital Venture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32461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324610"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2014, L.P., By: Bain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0838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00838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Capital Venture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1094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21094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2014,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76960"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07696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partner, By: Bain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4015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124015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Venture Investors,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34556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345565"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030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13030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Matthew C. Harris,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5158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25158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46150"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Bain Capital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038860"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03886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Partners 2014,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18046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18046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Bain Capital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38860"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03886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Investors,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4610"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32461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partner, By: /s/ Matthew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350645"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350645"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Harris, Title: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68400"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16840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12750"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Bain Capital Venture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324610"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324610"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2016, L.P., By: Bain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08380"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00838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Capital Venture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10945"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21094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2016,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76960"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07696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partner, By: Bain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40155"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24015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Venture Investors,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345565"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345565"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0300"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13030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Matthew C. Harris,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51585"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25158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46150"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Bain Capital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038860"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03886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Partners 2016,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180465"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18046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Bain Capital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38860"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03886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Investors,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4610"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32461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partner, By: /s/ Matthew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350645"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350645"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Harris, Title: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68400"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16840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12750"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Bain Capital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038860" cy="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03886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Coinvestment Fund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18235" cy="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11823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L.P., By: Bain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87120" cy="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08712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Venture Coinvestment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17930" cy="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21793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Investors,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4610" cy="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32461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partner, By: Bain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40155" cy="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24015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Venture Investors,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345565" cy="9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345565"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manager, By: /s/ Matthew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81430" cy="9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28143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C. Harris, Title: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13180" cy="9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31318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12750" cy="9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BCV 2019-MD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774065" cy="9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77406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Coinvestment 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97305" cy="9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29730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Bain Capital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38860" cy="9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03886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Coinvestment II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17625" cy="95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31762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16025" cy="95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21602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By: Bain Capital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49045" cy="95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24904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Investors,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29005" cy="9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92900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manager, By: /s/ Matthew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81430" cy="95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28143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0000FF"/>
        </w:rPr>
        <w:t>05/25/2021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0000FF"/>
        </w:rPr>
        <w:t>05/25/2021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0000FF"/>
        </w:rPr>
        <w:t>05/25/2021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0000FF"/>
        </w:rPr>
        <w:t>05/25/2021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0000FF"/>
        </w:rPr>
        <w:t>05/25/2021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0000FF"/>
        </w:rPr>
        <w:t>05/25/2021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0000FF"/>
        </w:rPr>
        <w:t>05/25/2021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ectPr>
          <w:pgSz w:w="11900" w:h="16838" w:orient="portrait"/>
          <w:cols w:equalWidth="0" w:num="2">
            <w:col w:w="8660" w:space="60"/>
            <w:col w:w="2120"/>
          </w:cols>
          <w:pgMar w:left="520" w:top="129" w:right="539" w:bottom="0" w:gutter="0" w:footer="0" w:header="0"/>
          <w:type w:val="continuous"/>
        </w:sectPr>
      </w:pPr>
    </w:p>
    <w:bookmarkStart w:id="4" w:name="page5"/>
    <w:bookmarkEnd w:id="4"/>
    <w:p>
      <w:pPr>
        <w:ind w:left="6540"/>
        <w:spacing w:after="0"/>
        <w:rPr>
          <w:sz w:val="20"/>
          <w:szCs w:val="20"/>
          <w:color w:val="auto"/>
        </w:rPr>
      </w:pPr>
      <w:r>
        <w:rPr>
          <w:rFonts w:ascii="Arial" w:cs="Arial" w:eastAsia="Arial" w:hAnsi="Arial"/>
          <w:sz w:val="18"/>
          <w:szCs w:val="18"/>
          <w:color w:val="0000FF"/>
        </w:rPr>
        <w:t>C. Harris, Title: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313180" cy="95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313180"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12750" cy="95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Bain Capital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038860" cy="95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03886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Coinvestment II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17625" cy="95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131762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LLC, By: Bain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28395" cy="95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112839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Venture Investors,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345565" cy="95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1345565"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manager, By: /s/ Matthew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81430" cy="95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128143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C. Harris, Title: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13180" cy="95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131318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12750" cy="95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BCIP 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283335" cy="95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1283335"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By: Boylston Coinvestors,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11275" cy="95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131127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LLC, its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339850" cy="95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1339850"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By: /s/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14450" cy="95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131445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Title: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52170" cy="95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85217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81965" cy="95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48196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BCIP 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293495" cy="95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1293495"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B, By: Boylston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02005" cy="95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80200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Coinvestors,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66800" cy="95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106680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managing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54125" cy="95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125412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Matthew C. Harris,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51585" cy="95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125158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69975" cy="95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106997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0000FF"/>
        </w:rPr>
        <w:t>05/25/2021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0000FF"/>
        </w:rPr>
        <w:t>05/25/2021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0000FF"/>
        </w:rPr>
        <w:t>05/25/2021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706" w:lineRule="exact"/>
        <w:rPr>
          <w:sz w:val="20"/>
          <w:szCs w:val="20"/>
          <w:color w:val="auto"/>
        </w:rPr>
      </w:pPr>
    </w:p>
    <w:p>
      <w:pPr>
        <w:sectPr>
          <w:pgSz w:w="11900" w:h="16838" w:orient="portrait"/>
          <w:cols w:equalWidth="0" w:num="2">
            <w:col w:w="8660" w:space="60"/>
            <w:col w:w="2100"/>
          </w:cols>
          <w:pgMar w:left="520" w:top="130" w:right="559" w:bottom="1440" w:gutter="0" w:footer="0" w:header="0"/>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30"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0"/>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9" Type="http://schemas.openxmlformats.org/officeDocument/2006/relationships/image" Target="media/image4.png"/><Relationship Id="rId23" Type="http://schemas.openxmlformats.org/officeDocument/2006/relationships/image" Target="media/image5.png"/><Relationship Id="rId24"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 Type="http://schemas.openxmlformats.org/officeDocument/2006/relationships/hyperlink" Target="http://www.sec.gov/cgi-bin/browse-edgar?action=getcompany&amp;CIK=0001309469" TargetMode="External"/><Relationship Id="rId11" Type="http://schemas.openxmlformats.org/officeDocument/2006/relationships/hyperlink" Target="http://www.sec.gov/cgi-bin/browse-edgar?action=getcompany&amp;CIK=0001580560" TargetMode="External"/><Relationship Id="rId13" Type="http://schemas.openxmlformats.org/officeDocument/2006/relationships/hyperlink" Target="http://www.sec.gov/cgi-bin/browse-edgar?action=getcompany&amp;CIK=0001756820" TargetMode="External"/><Relationship Id="rId14" Type="http://schemas.openxmlformats.org/officeDocument/2006/relationships/hyperlink" Target="http://www.sec.gov/cgi-bin/browse-edgar?action=getcompany&amp;CIK=0001758683" TargetMode="External"/><Relationship Id="rId15" Type="http://schemas.openxmlformats.org/officeDocument/2006/relationships/hyperlink" Target="http://www.sec.gov/cgi-bin/browse-edgar?action=getcompany&amp;CIK=0001862142" TargetMode="External"/><Relationship Id="rId16" Type="http://schemas.openxmlformats.org/officeDocument/2006/relationships/hyperlink" Target="http://www.sec.gov/cgi-bin/browse-edgar?action=getcompany&amp;CIK=0001609330" TargetMode="External"/><Relationship Id="rId17" Type="http://schemas.openxmlformats.org/officeDocument/2006/relationships/hyperlink" Target="http://www.sec.gov/cgi-bin/browse-edgar?action=getcompany&amp;CIK=0001767194" TargetMode="External"/><Relationship Id="rId18" Type="http://schemas.openxmlformats.org/officeDocument/2006/relationships/hyperlink" Target="http://www.sec.gov/cgi-bin/browse-edgar?action=getcompany&amp;CIK=0001678394" TargetMode="External"/><Relationship Id="rId20" Type="http://schemas.openxmlformats.org/officeDocument/2006/relationships/hyperlink" Target="http://www.sec.gov/cgi-bin/browse-edgar?action=getcompany&amp;CIK=0001862138" TargetMode="External"/><Relationship Id="rId21" Type="http://schemas.openxmlformats.org/officeDocument/2006/relationships/hyperlink" Target="http://www.sec.gov/cgi-bin/browse-edgar?action=getcompany&amp;CIK=0001408649" TargetMode="External"/><Relationship Id="rId22" Type="http://schemas.openxmlformats.org/officeDocument/2006/relationships/hyperlink" Target="http://www.sec.gov/cgi-bin/browse-edgar?action=getcompany&amp;CIK=00014086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2021-05-25T19:29:38Z</dcterms:created>
  <dcterms:modified xsi:type="dcterms:W3CDTF">2021-05-25T19:29:38Z</dcterms:modified>
</cp:coreProperties>
</file>