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6447d8k.htm"/>
      <w:bookmarkStart w:id="1" w:name="ksd83644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May 7,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141 Tremont St #10</w:t>
            </w:r>
          </w:p>
        </w:tc>
      </w:tr>
      <w:tr>
        <w:trPr/>
        <w:tc>
          <w:tcPr>
            <w:tcW w:w="5285" w:type="dxa"/>
            <w:tcBorders/>
            <w:vAlign w:val="center"/>
          </w:tcPr>
          <w:p>
            <w:pPr>
              <w:pStyle w:val="TableContents"/>
              <w:bidi w:val="0"/>
              <w:spacing w:before="0" w:after="283"/>
              <w:jc w:val="center"/>
              <w:rPr>
                <w:b/>
              </w:rPr>
            </w:pPr>
            <w:r>
              <w:rPr>
                <w:b/>
              </w:rPr>
              <w:t>Boston, MA 02111</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95" w:type="dxa"/>
        <w:jc w:val="left"/>
        <w:tblInd w:w="0" w:type="dxa"/>
        <w:tblLayout w:type="fixed"/>
        <w:tblCellMar>
          <w:top w:w="0" w:type="dxa"/>
          <w:left w:w="0" w:type="dxa"/>
          <w:bottom w:w="0" w:type="dxa"/>
          <w:right w:w="0" w:type="dxa"/>
        </w:tblCellMar>
      </w:tblPr>
      <w:tblGrid>
        <w:gridCol w:w="4985"/>
        <w:gridCol w:w="60"/>
        <w:gridCol w:w="740"/>
        <w:gridCol w:w="60"/>
        <w:gridCol w:w="3050"/>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7, 2024, Flywire Corporation (“Flywire” or the “Company”) issued a press release (the “Press Release”) and is holding a conference call regarding its preliminary and unaudited financial results for the quarter ended March 31, 2024.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Additional factors may be described in those sections of Flywire’s Quarterly Report on Form 10-Q for the quarter ended March 31, 2024, expected to be filed with the SEC in the second quarter of 2024.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 </w:t>
      </w:r>
    </w:p>
    <w:p>
      <w:pPr>
        <w:pStyle w:val="TextBody"/>
        <w:bidi w:val="0"/>
        <w:spacing w:before="0" w:after="0"/>
        <w:jc w:val="left"/>
        <w:rPr/>
      </w:pPr>
      <w:r>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7, 2024,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36447dex991.htm">
              <w:r>
                <w:rPr>
                  <w:rStyle w:val="InternetLink"/>
                </w:rPr>
                <w:t xml:space="preserve">Flywire Corporation Press Release dated May 7,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36447dex992.htm">
              <w:r>
                <w:rPr>
                  <w:rStyle w:val="InternetLink"/>
                </w:rPr>
                <w:t xml:space="preserve">Flywire Corporation Investor Presentation dated May 7,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Cosmin Pitigoi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Cosmin Pitigoi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May 7, 2024 </w:t>
      </w:r>
    </w:p>
    <w:p>
      <w:pPr>
        <w:pStyle w:val="TextBody"/>
        <w:bidi w:val="0"/>
        <w:spacing w:before="0" w:after="0"/>
        <w:jc w:val="right"/>
        <w:rPr>
          <w:rFonts w:ascii="Times New Roman" w:hAnsi="Times New Roman"/>
          <w:b/>
          <w:sz w:val="20"/>
        </w:rPr>
      </w:pPr>
      <w:bookmarkStart w:id="2" w:name="d836447dex991.htm"/>
      <w:bookmarkStart w:id="3" w:name="ksd83644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Flywire Reports First Quarter 2024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First Quarter Revenue Increased 21%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First Quarter Revenue Less Ancillary Services Increased 24%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Provides Second Quarter and Fiscal-Year 2024 Outlook </w:t>
      </w:r>
    </w:p>
    <w:p>
      <w:pPr>
        <w:pStyle w:val="TextBody"/>
        <w:bidi w:val="0"/>
        <w:spacing w:before="240" w:after="0"/>
        <w:jc w:val="left"/>
        <w:rPr>
          <w:rFonts w:ascii="Times New Roman" w:hAnsi="Times New Roman"/>
          <w:sz w:val="20"/>
        </w:rPr>
      </w:pPr>
      <w:r>
        <w:rPr>
          <w:rFonts w:ascii="Times New Roman" w:hAnsi="Times New Roman"/>
          <w:b/>
          <w:sz w:val="20"/>
        </w:rPr>
        <w:t>Boston, MA  May</w:t>
      </w:r>
      <w:r>
        <w:rPr>
          <w:rFonts w:ascii="Times New Roman" w:hAnsi="Times New Roman"/>
          <w:sz w:val="20"/>
        </w:rPr>
        <w:t> </w:t>
      </w:r>
      <w:r>
        <w:rPr>
          <w:rFonts w:ascii="Times New Roman" w:hAnsi="Times New Roman"/>
          <w:b/>
          <w:sz w:val="20"/>
        </w:rPr>
        <w:t>7, 2024:</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first quarter ended March 31, 2024.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with our 2024 first quarter results, where we signed more than 200 new clients, the highest the company has signed in a quarter, said Mike Massaro, CEO of Flywire. This solid start to our year reflects the strength and resilience of our global and diversified business and underscores the penetration opportunity we have in the end markets we serve. Looking ahead, I remain confident that our focus on optimizing our Go-To-Market capabilities, expanding our Flywire Advantage and strengthening our FlyMate community will position us well for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First Quarter 2024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21% to $114.1 million in the first quarter of 2024, compared to $94.4 million in the first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$70.4 million, resulting in Gross Margin of 61.7%, for the first quarter of 2024, compared to Gross Profit of $58.3 million and Gross Margin of 61.8% in the first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$6.2 million in the first quarter of 2024, compared to net loss of $3.7 million in the first quarter of 2023.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23% to $7.0 billion in the first quarter of 2024, compared to $5.7 billion in the first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24% to $110.2 million in the first quarter of 2024, compared to $89.1 million in the first quarter of 2023. Revenue Less Ancillary Services in the first quarter of 2024 was estimated to be unfavorably impacted by changes in foreign exchange rates between December 31, 2023 and March 31, 2024 by approximately $1.2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$71.9 million, resulting in Adjusted Gross Margin of 65.2% in the first quarter of 2024, compared to Adjusted Gross Profit of $59.9 million and Adjusted Gross Margin of 67.2% in the first quarter of 2023.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$13.2 million in the first quarter of 2024, compared to $7.0 million in the first quarter of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First Quarter 2024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more than 200 new clients, the highest the company has signed in a quarter, and Flywire now supports more than 4,000 clients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companys travel vertical, signed a historical high of projected ARR in a single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Strengthened management team with appointment of Cosmin Pitigoi as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with State Bank of India (SBI), Indias largest public sector bank, to digitize education payments from the region.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partnership with VTEX, a digital commerce platform in Latin America, to deliver an integrated digital payment experience to higher education institutions across Latin America.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and Fiscal-Year 2024 Outlook: </w:t>
      </w:r>
    </w:p>
    <w:p>
      <w:pPr>
        <w:pStyle w:val="TextBody"/>
        <w:bidi w:val="0"/>
        <w:spacing w:before="120" w:after="0"/>
        <w:jc w:val="left"/>
        <w:rPr>
          <w:rFonts w:ascii="Times New Roman" w:hAnsi="Times New Roman"/>
          <w:sz w:val="20"/>
        </w:rPr>
      </w:pPr>
      <w:r>
        <w:rPr>
          <w:rFonts w:ascii="Times New Roman" w:hAnsi="Times New Roman"/>
          <w:sz w:val="20"/>
        </w:rPr>
        <w:t xml:space="preserve">I am excited by the culture and the long term growth opportunity at Flywire. Its clear that our four verticals are at a very early stage in truly automating their payments capabilities, and we are uniquely positioned to capture share with our software drives value in payments approach, said Cosmin Pitigoi, CFO of Flywire. For Fiscal-Year 2024 we are maintaining our top line growth expectations on a constant currency basis and our Adjusted EBITDA margin expansion expectations remain in line with prior guidance at approximately 320 basis points. Second quarter guidance is adjusted for foreign exchange impacts and a shift in expectations related to our Canadian education business.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May 7, 2024, Flywire anticipates the following results for the second quarter and Fiscal-Year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97"/>
        <w:gridCol w:w="221"/>
        <w:gridCol w:w="2021"/>
      </w:tblGrid>
      <w:tr>
        <w:trPr/>
        <w:tc>
          <w:tcPr>
            <w:tcW w:w="469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469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b/>
              </w:rPr>
            </w:pPr>
            <w:r>
              <w:rPr>
                <w:b/>
              </w:rPr>
              <w:t>Fiscal-Year 2024*</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$491 to $519 million</w:t>
            </w:r>
          </w:p>
        </w:tc>
      </w:tr>
      <w:tr>
        <w:trPr/>
        <w:tc>
          <w:tcPr>
            <w:tcW w:w="4697"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1"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$478 to $498 million</w:t>
            </w:r>
          </w:p>
        </w:tc>
      </w:tr>
      <w:tr>
        <w:trPr/>
        <w:tc>
          <w:tcPr>
            <w:tcW w:w="46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1"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$64 to $75 million</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450"/>
        <w:gridCol w:w="275"/>
        <w:gridCol w:w="2214"/>
      </w:tblGrid>
      <w:tr>
        <w:trPr/>
        <w:tc>
          <w:tcPr>
            <w:tcW w:w="445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14" w:type="dxa"/>
            <w:tcBorders>
              <w:bottom w:val="single" w:sz="8" w:space="0" w:color="000000"/>
            </w:tcBorders>
            <w:tcMar>
              <w:bottom w:w="28" w:type="dxa"/>
            </w:tcMar>
            <w:vAlign w:val="bottom"/>
          </w:tcPr>
          <w:p>
            <w:pPr>
              <w:pStyle w:val="TableContents"/>
              <w:bidi w:val="0"/>
              <w:spacing w:before="0" w:after="283"/>
              <w:jc w:val="center"/>
              <w:rPr>
                <w:b/>
              </w:rPr>
            </w:pPr>
            <w:r>
              <w:rPr>
                <w:b/>
              </w:rPr>
              <w:t>Second Quarter 2024*</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75"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center"/>
              <w:rPr/>
            </w:pPr>
            <w:r>
              <w:rPr/>
              <w:t>$99 to $108 million</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75" w:type="dxa"/>
            <w:tcBorders/>
            <w:vAlign w:val="bottom"/>
          </w:tcPr>
          <w:p>
            <w:pPr>
              <w:pStyle w:val="TableContents"/>
              <w:bidi w:val="0"/>
              <w:spacing w:before="0" w:after="283"/>
              <w:jc w:val="left"/>
              <w:rPr/>
            </w:pPr>
            <w:r>
              <w:rPr/>
              <w:t>  </w:t>
            </w:r>
          </w:p>
        </w:tc>
        <w:tc>
          <w:tcPr>
            <w:tcW w:w="2214" w:type="dxa"/>
            <w:tcBorders/>
            <w:vAlign w:val="bottom"/>
          </w:tcPr>
          <w:p>
            <w:pPr>
              <w:pStyle w:val="TableContents"/>
              <w:bidi w:val="0"/>
              <w:spacing w:before="0" w:after="283"/>
              <w:jc w:val="center"/>
              <w:rPr/>
            </w:pPr>
            <w:r>
              <w:rPr/>
              <w:t>$96 to $104 million</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75" w:type="dxa"/>
            <w:tcBorders/>
            <w:shd w:fill="CCEEFF" w:val="clear"/>
            <w:vAlign w:val="bottom"/>
          </w:tcPr>
          <w:p>
            <w:pPr>
              <w:pStyle w:val="TableContents"/>
              <w:bidi w:val="0"/>
              <w:spacing w:before="0" w:after="283"/>
              <w:jc w:val="left"/>
              <w:rPr/>
            </w:pPr>
            <w:r>
              <w:rPr/>
              <w:t>  </w:t>
            </w:r>
          </w:p>
        </w:tc>
        <w:tc>
          <w:tcPr>
            <w:tcW w:w="2214" w:type="dxa"/>
            <w:tcBorders/>
            <w:shd w:fill="CCEEFF" w:val="clear"/>
            <w:vAlign w:val="bottom"/>
          </w:tcPr>
          <w:p>
            <w:pPr>
              <w:pStyle w:val="TableContents"/>
              <w:bidi w:val="0"/>
              <w:spacing w:before="0" w:after="283"/>
              <w:jc w:val="center"/>
              <w:rPr/>
            </w:pPr>
            <w:r>
              <w:rPr/>
              <w:t>$1 to $4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assumed foreign exchange rates prevailing as of March 31,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first quarter 2024 financial results today at 5:00 pm ET. Hosting the call will be Mike Massaro, CEO, Rob Orgel, President and COO, and Cosmin Pitigoi,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acquisitions,(iii) gain (loss) from the remeasurement of foreign currency, (iv) indirect taxes related to intercompany activity, (v) acquisition related transaction costs, if applicable, and (vi) employee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costs, such as incentive compensation, associated with acquisition activities. Management believes that the exclusion of these amounts to calculate Adjusted EBITDA provides useful measures for period-to-period comparisons of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and (v) the impact from the change in fair value measurement for contingent consideration associated with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for the Companys revenue, gross profit, gross margin, net income (loss) or operating expenses prepared in accordance with GAAP and should be read only in conjunction with financial information presented on a GAAP basis. Reconciliations of Revenue Less Ancillary Services, Revenue Less Ancillary Services at Constant Currency, Adjusted Gross Profit, Adjusted Gross Margin, Adjusted EBITDA and Non-GAAP Operating Expenses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Flywire combines its proprietary global payments network, next-gen payments platform and vertical-specific software to deliver the most important and complex payments for its clients and their customers.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 </w:t>
      </w:r>
    </w:p>
    <w:p>
      <w:pPr>
        <w:pStyle w:val="TextBody"/>
        <w:bidi w:val="0"/>
        <w:spacing w:before="240" w:after="0"/>
        <w:jc w:val="left"/>
        <w:rPr>
          <w:rFonts w:ascii="Times New Roman" w:hAnsi="Times New Roman"/>
          <w:sz w:val="20"/>
        </w:rPr>
      </w:pPr>
      <w:r>
        <w:rPr>
          <w:rFonts w:ascii="Times New Roman" w:hAnsi="Times New Roman"/>
          <w:sz w:val="20"/>
        </w:rPr>
        <w:t xml:space="preserve">Flywire supports more than 4,000 clients with diverse payment methods in more than 140 currencies across 240 countries and territories around the world. Flywire is headquartered in Boston, MA, USA with additional offices around the globe. For more information, visit </w:t>
      </w:r>
      <w:r>
        <w:rPr>
          <w:rFonts w:ascii="Times New Roman" w:hAnsi="Times New Roman"/>
          <w:b/>
          <w:sz w:val="20"/>
          <w:u w:val="single"/>
        </w:rPr>
        <w:t>www.flywire.com</w:t>
      </w:r>
      <w:r>
        <w:rPr>
          <w:rFonts w:ascii="Times New Roman" w:hAnsi="Times New Roman"/>
          <w:sz w:val="20"/>
        </w:rPr>
        <w:t xml:space="preserve">. Follow Flywire on </w:t>
      </w:r>
      <w:r>
        <w:rPr>
          <w:rFonts w:ascii="Times New Roman" w:hAnsi="Times New Roman"/>
          <w:sz w:val="20"/>
          <w:u w:val="single"/>
        </w:rPr>
        <w:t>X</w:t>
      </w:r>
      <w:r>
        <w:rPr>
          <w:rFonts w:ascii="Times New Roman" w:hAnsi="Times New Roman"/>
          <w:sz w:val="20"/>
        </w:rPr>
        <w:t xml:space="preserve"> (formerly known as Twitter), </w:t>
      </w:r>
      <w:r>
        <w:rPr>
          <w:rFonts w:ascii="Times New Roman" w:hAnsi="Times New Roman"/>
          <w:b/>
          <w:sz w:val="20"/>
          <w:u w:val="single"/>
        </w:rPr>
        <w:t>LinkedIn</w:t>
      </w:r>
      <w:r>
        <w:rPr>
          <w:rFonts w:ascii="Times New Roman" w:hAnsi="Times New Roman"/>
          <w:sz w:val="20"/>
        </w:rPr>
        <w:t xml:space="preserve"> and</w:t>
      </w:r>
      <w:r>
        <w:rPr>
          <w:rFonts w:ascii="Times New Roman" w:hAnsi="Times New Roman"/>
          <w:sz w:val="20"/>
          <w:u w:val="single"/>
        </w:rPr>
        <w:t xml:space="preserve"> </w:t>
      </w:r>
      <w:r>
        <w:rPr>
          <w:rFonts w:ascii="Times New Roman" w:hAnsi="Times New Roman"/>
          <w:b/>
          <w:sz w:val="20"/>
          <w:u w:val="single"/>
        </w:rPr>
        <w:t>Facebook</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2023, which is on file with the Securities and Exchange Commission (SEC) and available on the SECs website at </w:t>
      </w:r>
      <w:r>
        <w:rPr>
          <w:rFonts w:ascii="Times New Roman" w:hAnsi="Times New Roman"/>
          <w:sz w:val="20"/>
          <w:u w:val="single"/>
        </w:rPr>
        <w:t>https://www.sec.gov/</w:t>
      </w:r>
      <w:r>
        <w:rPr>
          <w:rFonts w:ascii="Times New Roman" w:hAnsi="Times New Roman"/>
          <w:sz w:val="20"/>
        </w:rPr>
        <w:t xml:space="preserve">. Additional factors may be described in those sections of Flywires Quarterly Report on Form 10-Q for the quarter ended March 31, 2024, expected to be filed with the SEC in the second quarter of 2024. The information in this release is provided only as of the date of this release, and Flywire undertakes no obligation to update any forward-looking statements contained in this release on account of new information, future events, or otherwise, except as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24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Akil Hollis </w:t>
      </w:r>
    </w:p>
    <w:p>
      <w:pPr>
        <w:pStyle w:val="TextBody"/>
        <w:bidi w:val="0"/>
        <w:spacing w:before="0" w:after="0"/>
        <w:jc w:val="left"/>
        <w:rPr>
          <w:rFonts w:ascii="Times New Roman" w:hAnsi="Times New Roman"/>
          <w:b/>
          <w:sz w:val="20"/>
        </w:rPr>
      </w:pPr>
      <w:r>
        <w:rPr>
          <w:rFonts w:ascii="Times New Roman" w:hAnsi="Times New Roman"/>
          <w:b/>
          <w:sz w:val="20"/>
        </w:rPr>
        <w:t xml:space="preserve">ir@Flywire.com </w:t>
      </w:r>
    </w:p>
    <w:p>
      <w:pPr>
        <w:pStyle w:val="TextBody"/>
        <w:bidi w:val="0"/>
        <w:spacing w:before="24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rPr>
      </w:pPr>
      <w:r>
        <w:rPr>
          <w:rFonts w:ascii="Times New Roman" w:hAnsi="Times New Roman"/>
          <w:b/>
          <w:sz w:val="20"/>
        </w:rPr>
        <w:t xml:space="preserve">Sarah.King@Flywire.com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Prosek Partners </w:t>
      </w:r>
    </w:p>
    <w:p>
      <w:pPr>
        <w:pStyle w:val="TextBody"/>
        <w:bidi w:val="0"/>
        <w:spacing w:before="0" w:after="0"/>
        <w:jc w:val="left"/>
        <w:rPr>
          <w:rFonts w:ascii="Times New Roman" w:hAnsi="Times New Roman"/>
          <w:b/>
          <w:sz w:val="20"/>
        </w:rPr>
      </w:pPr>
      <w:r>
        <w:rPr>
          <w:rFonts w:ascii="Times New Roman" w:hAnsi="Times New Roman"/>
          <w:b/>
          <w:sz w:val="20"/>
        </w:rPr>
        <w:t xml:space="preserve">pro-flywire@prosek.com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3"/>
        <w:gridCol w:w="433"/>
        <w:gridCol w:w="141"/>
        <w:gridCol w:w="1243"/>
        <w:gridCol w:w="156"/>
        <w:gridCol w:w="385"/>
        <w:gridCol w:w="141"/>
        <w:gridCol w:w="1244"/>
        <w:gridCol w:w="159"/>
      </w:tblGrid>
      <w:tr>
        <w:trPr/>
        <w:tc>
          <w:tcPr>
            <w:tcW w:w="6303"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0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33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114,103</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94,357</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41,650</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33,855</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16,737</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14,523</w:t>
            </w:r>
          </w:p>
        </w:tc>
        <w:tc>
          <w:tcPr>
            <w:tcW w:w="159" w:type="dxa"/>
            <w:tcBorders/>
            <w:vAlign w:val="bottom"/>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30,083</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24,434</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31,596</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28,113</w:t>
            </w:r>
          </w:p>
        </w:tc>
        <w:tc>
          <w:tcPr>
            <w:tcW w:w="159" w:type="dxa"/>
            <w:tcBorders/>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120,066</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100,925</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(5,963</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(6,568</w:t>
            </w:r>
          </w:p>
        </w:tc>
        <w:tc>
          <w:tcPr>
            <w:tcW w:w="159" w:type="dxa"/>
            <w:tcBorders/>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(142</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(103</w:t>
            </w:r>
          </w:p>
        </w:tc>
        <w:tc>
          <w:tcPr>
            <w:tcW w:w="159" w:type="dxa"/>
            <w:tcBorders/>
            <w:vAlign w:val="bottom"/>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5,879</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1,935</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(4,376</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1,470</w:t>
            </w:r>
          </w:p>
        </w:tc>
        <w:tc>
          <w:tcPr>
            <w:tcW w:w="159" w:type="dxa"/>
            <w:tcBorders/>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1,361</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3,302</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(4,602</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(3,266</w:t>
            </w:r>
          </w:p>
        </w:tc>
        <w:tc>
          <w:tcPr>
            <w:tcW w:w="159" w:type="dxa"/>
            <w:tcBorders/>
            <w:vAlign w:val="bottom"/>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1,615</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417</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(6,217</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(3,683</w:t>
            </w:r>
          </w:p>
        </w:tc>
        <w:tc>
          <w:tcPr>
            <w:tcW w:w="159" w:type="dxa"/>
            <w:tcBorders/>
            <w:vAlign w:val="bottom"/>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(1,361</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(367</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2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(7,578</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(4,050</w:t>
            </w:r>
          </w:p>
        </w:tc>
        <w:tc>
          <w:tcPr>
            <w:tcW w:w="159" w:type="dxa"/>
            <w:tcBorders/>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 basic and diluted</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(6,217</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(3,683</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 and diluted</w:t>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(0.05</w:t>
            </w:r>
          </w:p>
        </w:tc>
        <w:tc>
          <w:tcPr>
            <w:tcW w:w="156"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44" w:type="dxa"/>
            <w:tcBorders/>
            <w:vAlign w:val="bottom"/>
          </w:tcPr>
          <w:p>
            <w:pPr>
              <w:pStyle w:val="TableContents"/>
              <w:bidi w:val="0"/>
              <w:spacing w:before="0" w:after="283"/>
              <w:jc w:val="right"/>
              <w:rPr/>
            </w:pPr>
            <w:r>
              <w:rPr/>
              <w:t>(0.03</w:t>
            </w:r>
          </w:p>
        </w:tc>
        <w:tc>
          <w:tcPr>
            <w:tcW w:w="159" w:type="dxa"/>
            <w:tcBorders/>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 and diluted</w:t>
            </w:r>
          </w:p>
        </w:tc>
        <w:tc>
          <w:tcPr>
            <w:tcW w:w="4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123,143,343</w:t>
            </w:r>
          </w:p>
        </w:tc>
        <w:tc>
          <w:tcPr>
            <w:tcW w:w="15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109,787,528</w:t>
            </w:r>
          </w:p>
        </w:tc>
        <w:tc>
          <w:tcPr>
            <w:tcW w:w="159" w:type="dxa"/>
            <w:tcBorders/>
            <w:shd w:fill="CCEEFF" w:val="clear"/>
            <w:vAlign w:val="bottom"/>
          </w:tcPr>
          <w:p>
            <w:pPr>
              <w:pStyle w:val="TableContents"/>
              <w:bidi w:val="0"/>
              <w:spacing w:before="0" w:after="283"/>
              <w:jc w:val="left"/>
              <w:rPr/>
            </w:pPr>
            <w:r>
              <w:rPr/>
              <w:t> </w:t>
            </w:r>
          </w:p>
        </w:tc>
      </w:tr>
      <w:tr>
        <w:trPr/>
        <w:tc>
          <w:tcPr>
            <w:tcW w:w="6303"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2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7"/>
        <w:gridCol w:w="226"/>
        <w:gridCol w:w="147"/>
        <w:gridCol w:w="934"/>
        <w:gridCol w:w="155"/>
        <w:gridCol w:w="183"/>
        <w:gridCol w:w="176"/>
        <w:gridCol w:w="1299"/>
        <w:gridCol w:w="158"/>
      </w:tblGrid>
      <w:tr>
        <w:trPr/>
        <w:tc>
          <w:tcPr>
            <w:tcW w:w="6927"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2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619,014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654,608</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19,688</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18,215</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7,995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10,689</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76,231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113,945</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16,222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18,227</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739,150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815,684</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15,588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15,134</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103,421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108,178</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119,720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121,646</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20,836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19,089</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998,715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99" w:type="dxa"/>
            <w:tcBorders/>
            <w:shd w:fill="CCEEFF" w:val="clear"/>
            <w:vAlign w:val="bottom"/>
          </w:tcPr>
          <w:p>
            <w:pPr>
              <w:pStyle w:val="TableContents"/>
              <w:bidi w:val="0"/>
              <w:spacing w:before="0" w:after="283"/>
              <w:jc w:val="right"/>
              <w:rPr/>
            </w:pPr>
            <w:r>
              <w:rPr/>
              <w:t>1,079,731</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15,385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12,587</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124,111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210,922</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37,385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43,315</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5,619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6,968</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182,500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273,792</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14,587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15,391</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4,643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4,431</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201,730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293,614</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March 31, 2024 and December 31, 2023; and no shares issued and outstanding as or March 31, 2024 and December 31, 2023</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March 31, 2024 and December 31, 2023; 124,555,591 shares issued and 122,255,050 shares outstanding as of March 31, 2024; 123,010,207 shares issued and 120,695,162 shares outstanding as of December 31, 2023</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March 31, 2024 and December 31, 2023; 1,873,320 shares issued and outstanding as of March 31, 2024 and December 31, 2023</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voting common stock, 2,300,541 and 2,315,045 shares as of March 31, 2024 and December 31, 2023, respectively, held at cost</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(742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(747</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977,743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959,302</w:t>
            </w:r>
          </w:p>
        </w:tc>
        <w:tc>
          <w:tcPr>
            <w:tcW w:w="158" w:type="dxa"/>
            <w:tcBorders/>
            <w:vAlign w:val="bottom"/>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1,320</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(179,987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(173,770</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2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796,985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786,117</w:t>
            </w:r>
          </w:p>
        </w:tc>
        <w:tc>
          <w:tcPr>
            <w:tcW w:w="158" w:type="dxa"/>
            <w:tcBorders/>
            <w:shd w:fill="CCEEFF" w:val="clear"/>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2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998,715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99" w:type="dxa"/>
            <w:tcBorders/>
            <w:vAlign w:val="bottom"/>
          </w:tcPr>
          <w:p>
            <w:pPr>
              <w:pStyle w:val="TableContents"/>
              <w:bidi w:val="0"/>
              <w:spacing w:before="0" w:after="283"/>
              <w:jc w:val="right"/>
              <w:rPr/>
            </w:pPr>
            <w:r>
              <w:rPr/>
              <w:t>1,079,731</w:t>
            </w:r>
          </w:p>
        </w:tc>
        <w:tc>
          <w:tcPr>
            <w:tcW w:w="158" w:type="dxa"/>
            <w:tcBorders/>
            <w:vAlign w:val="bottom"/>
          </w:tcPr>
          <w:p>
            <w:pPr>
              <w:pStyle w:val="TableContents"/>
              <w:bidi w:val="0"/>
              <w:spacing w:before="0" w:after="283"/>
              <w:jc w:val="left"/>
              <w:rPr/>
            </w:pPr>
            <w:r>
              <w:rPr/>
              <w:t> </w:t>
            </w:r>
          </w:p>
        </w:tc>
      </w:tr>
      <w:tr>
        <w:trPr/>
        <w:tc>
          <w:tcPr>
            <w:tcW w:w="6927"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45"/>
        <w:gridCol w:w="226"/>
        <w:gridCol w:w="217"/>
        <w:gridCol w:w="1247"/>
        <w:gridCol w:w="241"/>
        <w:gridCol w:w="204"/>
        <w:gridCol w:w="217"/>
        <w:gridCol w:w="1250"/>
        <w:gridCol w:w="158"/>
      </w:tblGrid>
      <w:tr>
        <w:trPr/>
        <w:tc>
          <w:tcPr>
            <w:tcW w:w="644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4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33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(6,217</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(3,683</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4,259</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3,731</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14,842</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8,603</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242</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109</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(478</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410</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provision (benefit)</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(643</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(620</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uncollectible accounts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(16</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92</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72</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5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(1,457</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(4,324</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2,694</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1,247</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37,714</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34,323</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1,863</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(828</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(86,810</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(60,343</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(2,489</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2,780</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(467</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(340</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(413</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(1,349</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(1,526</w:t>
            </w:r>
          </w:p>
        </w:tc>
        <w:tc>
          <w:tcPr>
            <w:tcW w:w="158" w:type="dxa"/>
            <w:tcBorders/>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(38,093</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(20,846</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(1,259</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(1,368</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(255</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(481</w:t>
            </w:r>
          </w:p>
        </w:tc>
        <w:tc>
          <w:tcPr>
            <w:tcW w:w="158" w:type="dxa"/>
            <w:tcBorders/>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(1,514</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(1,849</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5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debt issuance costs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(783</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(1,207</w:t>
            </w:r>
          </w:p>
        </w:tc>
        <w:tc>
          <w:tcPr>
            <w:tcW w:w="158" w:type="dxa"/>
            <w:tcBorders/>
            <w:vAlign w:val="bottom"/>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 Purchase Plan</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1,415</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864</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1,617</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2,144</w:t>
            </w:r>
          </w:p>
        </w:tc>
        <w:tc>
          <w:tcPr>
            <w:tcW w:w="158" w:type="dxa"/>
            <w:tcBorders/>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2,249</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1,801</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1,764</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(1,202</w:t>
            </w:r>
          </w:p>
        </w:tc>
        <w:tc>
          <w:tcPr>
            <w:tcW w:w="158" w:type="dxa"/>
            <w:tcBorders/>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(35,594</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(22,096</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beginning of year</w:t>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654,608</w:t>
            </w:r>
          </w:p>
        </w:tc>
        <w:tc>
          <w:tcPr>
            <w:tcW w:w="2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250" w:type="dxa"/>
            <w:tcBorders/>
            <w:vAlign w:val="bottom"/>
          </w:tcPr>
          <w:p>
            <w:pPr>
              <w:pStyle w:val="TableContents"/>
              <w:bidi w:val="0"/>
              <w:spacing w:before="0" w:after="283"/>
              <w:jc w:val="right"/>
              <w:rPr/>
            </w:pPr>
            <w:r>
              <w:rPr/>
              <w:t>351,177</w:t>
            </w:r>
          </w:p>
        </w:tc>
        <w:tc>
          <w:tcPr>
            <w:tcW w:w="158" w:type="dxa"/>
            <w:tcBorders/>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year</w:t>
            </w:r>
          </w:p>
        </w:tc>
        <w:tc>
          <w:tcPr>
            <w:tcW w:w="22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619,014</w:t>
            </w:r>
          </w:p>
        </w:tc>
        <w:tc>
          <w:tcPr>
            <w:tcW w:w="24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329,081</w:t>
            </w:r>
          </w:p>
        </w:tc>
        <w:tc>
          <w:tcPr>
            <w:tcW w:w="158" w:type="dxa"/>
            <w:tcBorders/>
            <w:shd w:fill="CCEEFF" w:val="clear"/>
            <w:vAlign w:val="bottom"/>
          </w:tcPr>
          <w:p>
            <w:pPr>
              <w:pStyle w:val="TableContents"/>
              <w:bidi w:val="0"/>
              <w:spacing w:before="0" w:after="283"/>
              <w:jc w:val="left"/>
              <w:rPr/>
            </w:pPr>
            <w:r>
              <w:rPr/>
              <w:t> </w:t>
            </w:r>
          </w:p>
        </w:tc>
      </w:tr>
      <w:tr>
        <w:trPr/>
        <w:tc>
          <w:tcPr>
            <w:tcW w:w="6445"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241"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7"/>
        <w:gridCol w:w="247"/>
        <w:gridCol w:w="191"/>
        <w:gridCol w:w="819"/>
        <w:gridCol w:w="403"/>
        <w:gridCol w:w="214"/>
        <w:gridCol w:w="191"/>
        <w:gridCol w:w="605"/>
        <w:gridCol w:w="278"/>
      </w:tblGrid>
      <w:tr>
        <w:trPr/>
        <w:tc>
          <w:tcPr>
            <w:tcW w:w="7257"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25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4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278" w:type="dxa"/>
            <w:tcBorders/>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8" w:type="dxa"/>
            <w:tcBorders/>
            <w:vAlign w:val="bottom"/>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114.1</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94.4</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(3.6</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(0.3</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(0.4</w:t>
            </w:r>
          </w:p>
        </w:tc>
        <w:tc>
          <w:tcPr>
            <w:tcW w:w="278" w:type="dxa"/>
            <w:tcBorders/>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110.2</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89.1</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41.7</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33.9</w:t>
            </w:r>
          </w:p>
        </w:tc>
        <w:tc>
          <w:tcPr>
            <w:tcW w:w="278" w:type="dxa"/>
            <w:tcBorders/>
            <w:vAlign w:val="bottom"/>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2.0</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2.2</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43.7</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36.1</w:t>
            </w:r>
          </w:p>
        </w:tc>
        <w:tc>
          <w:tcPr>
            <w:tcW w:w="278" w:type="dxa"/>
            <w:tcBorders/>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(3.6</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(4.9</w:t>
            </w:r>
          </w:p>
        </w:tc>
        <w:tc>
          <w:tcPr>
            <w:tcW w:w="278" w:type="dxa"/>
            <w:tcBorders/>
            <w:vAlign w:val="bottom"/>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(0.3</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(0.4</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(1.5</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(1.6</w:t>
            </w:r>
          </w:p>
        </w:tc>
        <w:tc>
          <w:tcPr>
            <w:tcW w:w="278" w:type="dxa"/>
            <w:tcBorders/>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38.3</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29.2</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70.4</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58.3</w:t>
            </w:r>
          </w:p>
        </w:tc>
        <w:tc>
          <w:tcPr>
            <w:tcW w:w="278" w:type="dxa"/>
            <w:tcBorders/>
            <w:vAlign w:val="bottom"/>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61.7</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61.8</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7257"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71.9</w:t>
            </w:r>
          </w:p>
        </w:tc>
        <w:tc>
          <w:tcPr>
            <w:tcW w:w="403"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59.9</w:t>
            </w:r>
          </w:p>
        </w:tc>
        <w:tc>
          <w:tcPr>
            <w:tcW w:w="278" w:type="dxa"/>
            <w:tcBorders/>
            <w:vAlign w:val="bottom"/>
          </w:tcPr>
          <w:p>
            <w:pPr>
              <w:pStyle w:val="TableContents"/>
              <w:bidi w:val="0"/>
              <w:spacing w:before="0" w:after="283"/>
              <w:jc w:val="left"/>
              <w:rPr/>
            </w:pPr>
            <w:r>
              <w:rPr/>
              <w:t> </w:t>
            </w:r>
          </w:p>
        </w:tc>
      </w:tr>
      <w:tr>
        <w:trPr/>
        <w:tc>
          <w:tcPr>
            <w:tcW w:w="72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4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65.2</w:t>
            </w:r>
          </w:p>
        </w:tc>
        <w:tc>
          <w:tcPr>
            <w:tcW w:w="403"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67.2</w:t>
            </w:r>
          </w:p>
        </w:tc>
        <w:tc>
          <w:tcPr>
            <w:tcW w:w="278" w:type="dxa"/>
            <w:tcBorders/>
            <w:shd w:fill="CCEEFF" w:val="clear"/>
            <w:vAlign w:val="bottom"/>
          </w:tcPr>
          <w:p>
            <w:pPr>
              <w:pStyle w:val="TableContents"/>
              <w:bidi w:val="0"/>
              <w:spacing w:before="0" w:after="283"/>
              <w:jc w:val="left"/>
              <w:rPr/>
            </w:pPr>
            <w:r>
              <w:rPr/>
              <w:t>% </w:t>
            </w:r>
          </w:p>
        </w:tc>
      </w:tr>
      <w:tr>
        <w:trPr/>
        <w:tc>
          <w:tcPr>
            <w:tcW w:w="725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3800" w:type="pct"/>
        <w:jc w:val="center"/>
        <w:tblInd w:w="0" w:type="dxa"/>
        <w:tblLayout w:type="fixed"/>
        <w:tblCellMar>
          <w:top w:w="0" w:type="dxa"/>
          <w:left w:w="0" w:type="dxa"/>
          <w:bottom w:w="0" w:type="dxa"/>
          <w:right w:w="0" w:type="dxa"/>
        </w:tblCellMar>
      </w:tblPr>
      <w:tblGrid>
        <w:gridCol w:w="4967"/>
        <w:gridCol w:w="288"/>
        <w:gridCol w:w="222"/>
        <w:gridCol w:w="704"/>
        <w:gridCol w:w="246"/>
        <w:gridCol w:w="303"/>
        <w:gridCol w:w="222"/>
        <w:gridCol w:w="644"/>
        <w:gridCol w:w="159"/>
      </w:tblGrid>
      <w:tr>
        <w:trPr/>
        <w:tc>
          <w:tcPr>
            <w:tcW w:w="496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9" w:type="dxa"/>
            <w:tcBorders/>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8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(6.2</w:t>
            </w:r>
          </w:p>
        </w:tc>
        <w:tc>
          <w:tcPr>
            <w:tcW w:w="2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644" w:type="dxa"/>
            <w:tcBorders/>
            <w:shd w:fill="CCEEFF" w:val="clear"/>
            <w:vAlign w:val="bottom"/>
          </w:tcPr>
          <w:p>
            <w:pPr>
              <w:pStyle w:val="TableContents"/>
              <w:bidi w:val="0"/>
              <w:spacing w:before="0" w:after="283"/>
              <w:jc w:val="right"/>
              <w:rPr/>
            </w:pPr>
            <w:r>
              <w:rPr/>
              <w:t>(3.7</w:t>
            </w:r>
          </w:p>
        </w:tc>
        <w:tc>
          <w:tcPr>
            <w:tcW w:w="159" w:type="dxa"/>
            <w:tcBorders/>
            <w:shd w:fill="CCEEFF" w:val="clear"/>
            <w:vAlign w:val="bottom"/>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0.1</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0.1</w:t>
            </w:r>
          </w:p>
        </w:tc>
        <w:tc>
          <w:tcPr>
            <w:tcW w:w="159"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8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(5.9</w:t>
            </w:r>
          </w:p>
        </w:tc>
        <w:tc>
          <w:tcPr>
            <w:tcW w:w="2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(1.9</w:t>
            </w:r>
          </w:p>
        </w:tc>
        <w:tc>
          <w:tcPr>
            <w:tcW w:w="159" w:type="dxa"/>
            <w:tcBorders/>
            <w:shd w:fill="CCEEFF" w:val="clear"/>
            <w:vAlign w:val="bottom"/>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1.6</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8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4.5</w:t>
            </w:r>
          </w:p>
        </w:tc>
        <w:tc>
          <w:tcPr>
            <w:tcW w:w="2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3.8</w:t>
            </w:r>
          </w:p>
        </w:tc>
        <w:tc>
          <w:tcPr>
            <w:tcW w:w="159" w:type="dxa"/>
            <w:tcBorders/>
            <w:shd w:fill="CCEEFF" w:val="clear"/>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(5.9</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28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15.1</w:t>
            </w:r>
          </w:p>
        </w:tc>
        <w:tc>
          <w:tcPr>
            <w:tcW w:w="2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9.0</w:t>
            </w:r>
          </w:p>
        </w:tc>
        <w:tc>
          <w:tcPr>
            <w:tcW w:w="159" w:type="dxa"/>
            <w:tcBorders/>
            <w:shd w:fill="CCEEFF" w:val="clear"/>
            <w:vAlign w:val="bottom"/>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(0.5</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8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4.4</w:t>
            </w:r>
          </w:p>
        </w:tc>
        <w:tc>
          <w:tcPr>
            <w:tcW w:w="2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0.1</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644" w:type="dxa"/>
            <w:tcBorders/>
            <w:vAlign w:val="bottom"/>
          </w:tcPr>
          <w:p>
            <w:pPr>
              <w:pStyle w:val="TableContents"/>
              <w:bidi w:val="0"/>
              <w:spacing w:before="0" w:after="283"/>
              <w:jc w:val="right"/>
              <w:rPr/>
            </w:pPr>
            <w:r>
              <w:rPr/>
              <w:t>0.1</w:t>
            </w:r>
          </w:p>
        </w:tc>
        <w:tc>
          <w:tcPr>
            <w:tcW w:w="159"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28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0.0</w:t>
            </w:r>
          </w:p>
        </w:tc>
        <w:tc>
          <w:tcPr>
            <w:tcW w:w="2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644" w:type="dxa"/>
            <w:tcBorders/>
            <w:shd w:fill="CCEEFF" w:val="clear"/>
            <w:vAlign w:val="bottom"/>
          </w:tcPr>
          <w:p>
            <w:pPr>
              <w:pStyle w:val="TableContents"/>
              <w:bidi w:val="0"/>
              <w:spacing w:before="0" w:after="283"/>
              <w:jc w:val="right"/>
              <w:rPr/>
            </w:pPr>
            <w:r>
              <w:rPr/>
              <w:t>0.3</w:t>
            </w:r>
          </w:p>
        </w:tc>
        <w:tc>
          <w:tcPr>
            <w:tcW w:w="159" w:type="dxa"/>
            <w:tcBorders/>
            <w:shd w:fill="CCEEFF" w:val="clear"/>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64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13.2</w:t>
            </w:r>
          </w:p>
        </w:tc>
        <w:tc>
          <w:tcPr>
            <w:tcW w:w="246"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644"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64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47"/>
        <w:gridCol w:w="296"/>
        <w:gridCol w:w="198"/>
        <w:gridCol w:w="818"/>
        <w:gridCol w:w="220"/>
        <w:gridCol w:w="290"/>
        <w:gridCol w:w="198"/>
        <w:gridCol w:w="629"/>
        <w:gridCol w:w="159"/>
      </w:tblGrid>
      <w:tr>
        <w:trPr/>
        <w:tc>
          <w:tcPr>
            <w:tcW w:w="4947"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4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23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59" w:type="dxa"/>
            <w:tcBorders/>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9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114.1</w:t>
            </w:r>
          </w:p>
        </w:tc>
        <w:tc>
          <w:tcPr>
            <w:tcW w:w="2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94.4</w:t>
            </w:r>
          </w:p>
        </w:tc>
        <w:tc>
          <w:tcPr>
            <w:tcW w:w="159" w:type="dxa"/>
            <w:tcBorders/>
            <w:shd w:fill="CCEEFF" w:val="clear"/>
            <w:vAlign w:val="bottom"/>
          </w:tcPr>
          <w:p>
            <w:pPr>
              <w:pStyle w:val="TableContents"/>
              <w:bidi w:val="0"/>
              <w:spacing w:before="0" w:after="283"/>
              <w:jc w:val="left"/>
              <w:rPr/>
            </w:pPr>
            <w:r>
              <w:rPr/>
              <w:t> </w:t>
            </w:r>
          </w:p>
        </w:tc>
      </w:tr>
      <w:tr>
        <w:trPr/>
        <w:tc>
          <w:tcPr>
            <w:tcW w:w="4947"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29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(3.9</w:t>
            </w:r>
          </w:p>
        </w:tc>
        <w:tc>
          <w:tcPr>
            <w:tcW w:w="2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(5.3</w:t>
            </w:r>
          </w:p>
        </w:tc>
        <w:tc>
          <w:tcPr>
            <w:tcW w:w="159" w:type="dxa"/>
            <w:tcBorders/>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9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110.2</w:t>
            </w:r>
          </w:p>
        </w:tc>
        <w:tc>
          <w:tcPr>
            <w:tcW w:w="2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89.1</w:t>
            </w:r>
          </w:p>
        </w:tc>
        <w:tc>
          <w:tcPr>
            <w:tcW w:w="159" w:type="dxa"/>
            <w:tcBorders/>
            <w:shd w:fill="CCEEFF" w:val="clear"/>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7"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29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(0.2</w:t>
            </w:r>
          </w:p>
        </w:tc>
        <w:tc>
          <w:tcPr>
            <w:tcW w:w="2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18"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at Constant Currency</w:t>
            </w:r>
          </w:p>
        </w:tc>
        <w:tc>
          <w:tcPr>
            <w:tcW w:w="29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18" w:type="dxa"/>
            <w:tcBorders/>
            <w:shd w:fill="CCEEFF" w:val="clear"/>
            <w:vAlign w:val="bottom"/>
          </w:tcPr>
          <w:p>
            <w:pPr>
              <w:pStyle w:val="TableContents"/>
              <w:bidi w:val="0"/>
              <w:spacing w:before="0" w:after="283"/>
              <w:jc w:val="right"/>
              <w:rPr/>
            </w:pPr>
            <w:r>
              <w:rPr/>
              <w:t>110.0</w:t>
            </w:r>
          </w:p>
        </w:tc>
        <w:tc>
          <w:tcPr>
            <w:tcW w:w="2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89.1</w:t>
            </w:r>
          </w:p>
        </w:tc>
        <w:tc>
          <w:tcPr>
            <w:tcW w:w="159" w:type="dxa"/>
            <w:tcBorders/>
            <w:shd w:fill="CCEEFF" w:val="clear"/>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818"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3800" w:type="pct"/>
        <w:jc w:val="center"/>
        <w:tblInd w:w="0" w:type="dxa"/>
        <w:tblLayout w:type="fixed"/>
        <w:tblCellMar>
          <w:top w:w="0" w:type="dxa"/>
          <w:left w:w="0" w:type="dxa"/>
          <w:bottom w:w="0" w:type="dxa"/>
          <w:right w:w="0" w:type="dxa"/>
        </w:tblCellMar>
      </w:tblPr>
      <w:tblGrid>
        <w:gridCol w:w="3676"/>
        <w:gridCol w:w="408"/>
        <w:gridCol w:w="318"/>
        <w:gridCol w:w="1003"/>
        <w:gridCol w:w="352"/>
        <w:gridCol w:w="517"/>
        <w:gridCol w:w="318"/>
        <w:gridCol w:w="1005"/>
        <w:gridCol w:w="158"/>
      </w:tblGrid>
      <w:tr>
        <w:trPr/>
        <w:tc>
          <w:tcPr>
            <w:tcW w:w="3676"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35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36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millions)</w:t>
            </w:r>
          </w:p>
        </w:tc>
        <w:tc>
          <w:tcPr>
            <w:tcW w:w="408"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Technology and development</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16.7</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14.5</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(2.6</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(1.9</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(1.7</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(0.1</w:t>
            </w:r>
          </w:p>
        </w:tc>
        <w:tc>
          <w:tcPr>
            <w:tcW w:w="158" w:type="dxa"/>
            <w:tcBorders/>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Technology and development</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12.2</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11.1</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GAAP Selling and marketing</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30.1</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24.4</w:t>
            </w:r>
          </w:p>
        </w:tc>
        <w:tc>
          <w:tcPr>
            <w:tcW w:w="158"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(4.1</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(2.6</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(1.9</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employee retention costs</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(0.2</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Non-GAAP Selling and marketing</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24.1</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20.3</w:t>
            </w:r>
          </w:p>
        </w:tc>
        <w:tc>
          <w:tcPr>
            <w:tcW w:w="158" w:type="dxa"/>
            <w:tcBorders/>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General and administrative</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31.6</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28.1</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(8.4</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(4.8</w:t>
            </w:r>
          </w:p>
        </w:tc>
        <w:tc>
          <w:tcPr>
            <w:tcW w:w="158" w:type="dxa"/>
            <w:tcBorders/>
            <w:vAlign w:val="bottom"/>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(0.7</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(0.7</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of contingent consideration</w:t>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0.5</w:t>
            </w:r>
          </w:p>
        </w:tc>
        <w:tc>
          <w:tcPr>
            <w:tcW w:w="352"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(0.4</w:t>
            </w:r>
          </w:p>
        </w:tc>
        <w:tc>
          <w:tcPr>
            <w:tcW w:w="158" w:type="dxa"/>
            <w:tcBorders/>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General and administrative</w:t>
            </w:r>
          </w:p>
        </w:tc>
        <w:tc>
          <w:tcPr>
            <w:tcW w:w="408"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23.0</w:t>
            </w:r>
          </w:p>
        </w:tc>
        <w:tc>
          <w:tcPr>
            <w:tcW w:w="352"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22.2</w:t>
            </w:r>
          </w:p>
        </w:tc>
        <w:tc>
          <w:tcPr>
            <w:tcW w:w="158" w:type="dxa"/>
            <w:tcBorders/>
            <w:shd w:fill="CCEEFF" w:val="clear"/>
            <w:vAlign w:val="bottom"/>
          </w:tcPr>
          <w:p>
            <w:pPr>
              <w:pStyle w:val="TableContents"/>
              <w:bidi w:val="0"/>
              <w:spacing w:before="0" w:after="283"/>
              <w:jc w:val="left"/>
              <w:rPr/>
            </w:pPr>
            <w:r>
              <w:rPr/>
              <w:t> </w:t>
            </w:r>
          </w:p>
        </w:tc>
      </w:tr>
      <w:tr>
        <w:trPr/>
        <w:tc>
          <w:tcPr>
            <w:tcW w:w="3676"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  </w:t>
            </w:r>
          </w:p>
        </w:tc>
        <w:tc>
          <w:tcPr>
            <w:tcW w:w="318"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Guidance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81"/>
        <w:gridCol w:w="257"/>
        <w:gridCol w:w="198"/>
        <w:gridCol w:w="630"/>
        <w:gridCol w:w="237"/>
        <w:gridCol w:w="247"/>
        <w:gridCol w:w="198"/>
        <w:gridCol w:w="829"/>
        <w:gridCol w:w="155"/>
        <w:gridCol w:w="205"/>
        <w:gridCol w:w="140"/>
        <w:gridCol w:w="575"/>
        <w:gridCol w:w="155"/>
        <w:gridCol w:w="205"/>
        <w:gridCol w:w="140"/>
        <w:gridCol w:w="576"/>
        <w:gridCol w:w="160"/>
      </w:tblGrid>
      <w:tr>
        <w:trPr/>
        <w:tc>
          <w:tcPr>
            <w:tcW w:w="4481"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8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3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2024</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1"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2024</w:t>
            </w:r>
          </w:p>
        </w:tc>
        <w:tc>
          <w:tcPr>
            <w:tcW w:w="160" w:type="dxa"/>
            <w:tcBorders/>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60"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5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99.0</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108.0</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491.0</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519.0</w:t>
            </w:r>
          </w:p>
        </w:tc>
        <w:tc>
          <w:tcPr>
            <w:tcW w:w="160"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5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 through cost for printing and mailing</w:t>
            </w:r>
          </w:p>
        </w:tc>
        <w:tc>
          <w:tcPr>
            <w:tcW w:w="25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(2.9</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(10.8</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(18.1</w:t>
            </w:r>
          </w:p>
        </w:tc>
        <w:tc>
          <w:tcPr>
            <w:tcW w:w="160"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5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(0.1</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(2.9</w:t>
            </w:r>
          </w:p>
        </w:tc>
        <w:tc>
          <w:tcPr>
            <w:tcW w:w="160" w:type="dxa"/>
            <w:tcBorders/>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5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96.0</w:t>
            </w:r>
          </w:p>
        </w:tc>
        <w:tc>
          <w:tcPr>
            <w:tcW w:w="2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104.0</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478.0</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6" w:type="dxa"/>
            <w:tcBorders/>
            <w:shd w:fill="CCEEFF" w:val="clear"/>
            <w:vAlign w:val="bottom"/>
          </w:tcPr>
          <w:p>
            <w:pPr>
              <w:pStyle w:val="TableContents"/>
              <w:bidi w:val="0"/>
              <w:spacing w:before="0" w:after="283"/>
              <w:jc w:val="right"/>
              <w:rPr/>
            </w:pPr>
            <w:r>
              <w:rPr/>
              <w:t>498.0</w:t>
            </w:r>
          </w:p>
        </w:tc>
        <w:tc>
          <w:tcPr>
            <w:tcW w:w="160" w:type="dxa"/>
            <w:tcBorders/>
            <w:shd w:fill="CCEEFF" w:val="clear"/>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5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1.0</w:t>
            </w:r>
          </w:p>
        </w:tc>
        <w:tc>
          <w:tcPr>
            <w:tcW w:w="2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64.0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6" w:type="dxa"/>
            <w:tcBorders/>
            <w:vAlign w:val="bottom"/>
          </w:tcPr>
          <w:p>
            <w:pPr>
              <w:pStyle w:val="TableContents"/>
              <w:bidi w:val="0"/>
              <w:spacing w:before="0" w:after="283"/>
              <w:jc w:val="right"/>
              <w:rPr/>
            </w:pPr>
            <w:r>
              <w:rPr/>
              <w:t>75.0</w:t>
            </w:r>
          </w:p>
        </w:tc>
        <w:tc>
          <w:tcPr>
            <w:tcW w:w="160" w:type="dxa"/>
            <w:tcBorders/>
            <w:vAlign w:val="bottom"/>
          </w:tcPr>
          <w:p>
            <w:pPr>
              <w:pStyle w:val="TableContents"/>
              <w:bidi w:val="0"/>
              <w:spacing w:before="0" w:after="283"/>
              <w:jc w:val="left"/>
              <w:rPr/>
            </w:pPr>
            <w:r>
              <w:rPr/>
              <w:t> </w:t>
            </w:r>
          </w:p>
        </w:tc>
      </w:tr>
    </w:tbl>
    <w:p>
      <w:pPr>
        <w:pStyle w:val="TextBody"/>
        <w:bidi w:val="0"/>
        <w:jc w:val="center"/>
        <w:rPr/>
      </w:pPr>
      <w:bookmarkStart w:id="4" w:name="d836447dex992.htm"/>
      <w:bookmarkStart w:id="5" w:name="ksd836447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Q1 2024 Earnings supplement May 7,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Flywire’s ability to successfully implement Flywire’s business plan, future results of operations and financial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 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2023, which is on file with the Securities and Exchange Commission (SEC) and available on the SEC's website at www.sec.gov. Additional factors may be described in those sections of Flywire's Quarterly Report on Form 10-Q for the quarter ended March 31, 2024 is expected to be filed with the SEC in the second quarter of 2024.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 Certain information contained in this presentation, including Flywire’s estimated TAM, relates to or is based on studies, publications, surveys and other data obtained from third-party sources and Flywire’s own internal estimates and research. While Flywire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Flywire believes its own internal research is reliable, such research has not been verified by any independent source. The information in this presentation is provided only as of May 7, 2024,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not provided a quantitative reconciliation from forecasted adjusted EBITDA to forecasted GAAP net income (loss) or to forecasted GAAP income (loss) before income taxes, because it is unable without making unreasonable efforts, to calculate certain reconciling items with confidence. These items include but are not limited to income taxes which are directly impacted by unpredictable fluctuations in the market price of the company's stock.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Fulfillment Our mission is to deliver the most important and complex payments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Q1 2024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financial highlights Q1 2024 $114.1M 61.7% $(6.2M) Revenue Gross Margin Net Loss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Q1 2024 $7.0B $110.2M $71.9M $13.2M 1 1 1 1 +22.7% +23.7% + 20.0% + 88.1% Total Revenue Less Adjusted Adjusted payment Ancillary Gross Profit EBITDA volume Services 1. Represents Y-o-Y Growth as compared to Q1 2023. See Appendix for reconciliation to GAAP amounts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Growth strategies Grow with Grow with Expand our Expand to Pursue strategic existing new ecosystem new industries, &amp; value- clients clients through channel geographies &amp; enhancing partnerships products acquisitions 125% 200+ 2023 average New clients in Q1 annual dollar-based 2024 net retention rate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Healthcare spotlight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HEALTHCARE Mission Deliver affordable healthcare solutions for patients and superior provider yield, through the power of digital experiences. Opportunity $500BN &lt;10% &lt;10% Penetration of Penetration of (1) TAM 7K+ US hospitals 600+ US healthcare (2) (3) systems Adoption &amp; coverage is as of March, 2024 For citations please refer to the appendix at the end of the presentation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Healthcare overview What we solve Why We Win +29% increase in Patient Centricity Fragmented net collections ● Increased patient marketplace (1) for our clients costs ● Legacy vendors and new ● Affordability entrants What we ● Digital engagement ● Health system consolidation solve for ● Largely paper-based 20+ deep integrations with EHRs to augment workflows ● Powering a connected ecosystem of patients, partners, 269% ROI with health systems, EHRs &amp; more Flywire (1) over 3 years ● Modern software that integrates into existing workflows How ● Increasing patient affordability through data-driven we do it Trusted by 1,800+ payment options provider facilities in the U.S. 1. June 2022 Forrester Total Economic Impact Study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innovation and opportunity in healthcare Continued investments in GTM for acute, non-acute market &amp; strategic partnerships Acute Market Non-acute Market Strategic Partnerships ● Specialties in ambulatory space ● Large, multi-specialty health ● Established end-to-end RCM with large (Ortho, DME, ASC) systems existing client base ● Leveraging our acute market ● Consolidation within the market● Reputable financial institution to experience to penetrate the ● Requires deep healthcare penetrate Epic market specialty sub-industry expertise &amp; a robust platform to ● Cash lift with financing partner to ● Require simplicity and competitive support complex health systems underwrite &amp; service loans pricing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Flywire Client Spotlight KEY FOCUS AREAS ● Increase collections and payment plan enrollment with improved patient experience ● Empower patients and reduce staff burden with self service payment channels FLYWIRE IMPACT OSF Healthcare is a not-for-profit Catholic health care organization 92% $1.6M based in the midwest. It operates multiple medical centers and OF PAYMENTS MADE IN STAFF SERVICING SAVINGS facilities, providing a wide range of WITHOUT STAFF ASSISTANCE SINCE 2019 healthcare services to communities across Illinois and Michigan, with a strong emphasis on patient-centered care and community outreach ↑18% 4.3/5 INCREASE IN NET BILLING SATISFACTION COLLECTIONS YEAR OVER YEAR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Integrated Financing solution &amp; case study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Integrated Financing Flywire has partnered with a third party to extend affordability options through a non-recourse patient financing model ● Patient tailored payment options with zero interest and no surprise fees ● Analytics identifies options for how we can engage the patient ● Risk modelling analytics used to balance cost to hospital with increased collections ● Patient engagement and payment experience stays the same ● Servicing all financed accounts via integrated workflows through a third-party that is providing financing to these patients ● Reconciliation managed daily directly by Flywire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Fully integrated &amp; automated experience Enrollment &amp; third- Funding &amp; Servicing party underwriting Patient Information Engagement Posting Takes &lt;1 min, customizes a Prices the risk and plugs in Optimizes both Easily connects with Targets the right patients payment plan that fits each different funding sources repayment and customer provider or partner with the right message patient experience systems around affordability ● Patient enrolls within ● Immediate payment status ● Self-service within ● Automated through Flywire update Flywire Flywire channels ● Pre-funding to provider ● No aggressive ● Terms tailored to each patient’s unique financial after 1st payment collections tactics ● No recourse of 3rd party situation back to provider ● Uses 3rd party partner’s balance sheet and capital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CASE STUDY KEY FOCUS AREAS ● Increase patient cash while significantly lowering self pay plan A/R ● Reduce staff burden in servicing long term payment plans in house ● Empower patients with a unified payment experience with ability to enroll in a financed plan in minutes within provider’s payment experience Increasing collectability and patient affordability at FLYWIRE IMPACT one of the largest health systems in the US 20%↓ 16%↑ In 2023, Flywire introduced DECREASE IN SELF-PAY INCREASE IN CASH FROM Integrated Financing in PLAN A/R PAYMENT PLANS collaboration with one of the largest nonprofit health systems in the U.S., spanning over 1,000 care sites across 21 states and catering to 20 million patients nationwide. 90% 172K↓ OF PATIENT PAYMENTS ARE FEWER INSTALLMENTS FOR COMPLETELY SELF-SERVICE STAFF TO MANAGE (FINANCED &amp; IN-HOUSE)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2024 outlook* $96 – $104M $1 – $4M Revenue Less Ancillary Adjusted 1 Services EBITDA 1. Flywire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18 18 *Assumes foreign exchange rates prevailing as of March 31,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2024 outlook* $478 – 498M $64 – 75M Revenue Less Ancillary Adjusted 1 Services EBITDA 1. Flywire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19 19 *Assumes foreign exchange rates prevailing as of March 31,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Canada Update Expectations Recent events Q2 2024 2H 2024 Jan 2024 Mid/late March 2024 Pause on new Canada clarifies Begin ramping &amp; Policies Continued ramping &amp; study permits policies &amp; sets resumption of Announced resumption of admissions slows admissions allocations admissions Fall intake starts in Canada Inaugural ESG report Student recapture outside of Factors Canada (Revenue benefit: mid single digit $M) Flywire schools in Canada well diversified across premier Colleges, + Universities, K-12 and others Clarity on study permit allocations allows schools to plan and proceed + with resuming admissions Winning new schools and using agents to access more students (payers) + Watching: additional macro, country &amp; recapture choices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at constant currency* $USD in Millions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$USD in Millions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24 $USD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Income (Loss) to Adjusted EBITDA reconciliation $USD in Millions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Non-GAAP Operating Expenses $USD in Millions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Revenue to Revenue Less Ancillary Services Guidance $USD in Millions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Source appendix Slide 9 1. Healthcare TAM: Based on U.S. out of pocket healthcare spending in 2019 according to the Centers for Medicare &amp; Medicaid Services and cross-border healthcare payments in 2020 according to Patients Without Borders. 2. Definitive Healthcare HospitalView, March 2022 3. Agency for Healthcare Research and Quality, Compendium of U.S. Health Systems Report, 2018 Slide 10 1. Flywire’s Total Economic Impact study; June 2022: Achieve 269% ROI with Flywire’s Digital Healthcare Payment and Engagement Solution 28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7201</Words>
  <Characters>40635</Characters>
  <CharactersWithSpaces>48643</CharactersWithSpaces>
  <Paragraphs>2112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