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466384.xml.htm"/>
      <w:bookmarkStart w:id="1" w:name="kswkform4_178846638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Kansal Mohit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FLYWIRE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141 TREMONT STREET, SUITE 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Flywire Corp</w:t>
              </w:r>
            </w:hyperlink>
            <w:r>
              <w:rPr/>
              <w:t xml:space="preserve"> [ </w:t>
            </w:r>
            <w:r>
              <w:rPr>
                <w:rFonts w:ascii="Times;serif" w:hAnsi="Times;serif"/>
                <w:color w:val="0000FF"/>
                <w:sz w:val="24"/>
                <w:shd w:fill="FFFFFF" w:val="clear"/>
              </w:rPr>
              <w:t>FLYW</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Payments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9,923</w:t>
            </w:r>
            <w:r>
              <w:rPr>
                <w:rFonts w:ascii="Times;serif" w:hAnsi="Times;serif"/>
                <w:color w:val="008000"/>
                <w:position w:val="7"/>
                <w:sz w:val="16"/>
                <w:sz w:val="20"/>
                <w:shd w:fill="FFFFFF" w:val="clear"/>
              </w:rPr>
              <w:t>(1)</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18.185</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490,747</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12,423</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18.6945</w:t>
            </w:r>
            <w:r>
              <w:rPr>
                <w:rFonts w:ascii="Times;serif" w:hAnsi="Times;serif"/>
                <w:color w:val="008000"/>
                <w:position w:val="7"/>
                <w:sz w:val="16"/>
                <w:sz w:val="20"/>
                <w:shd w:fill="FFFFFF" w:val="clear"/>
              </w:rPr>
              <w:t>(3)</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478,324</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of common stock that have been withheld by the Issuer to satisfy its income tax withholding and remittance obligations in connection with the net settlement of certain time-based restricted stock unit awards and does not represent an open market sale.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were sold pursuant to a previously adopted Rule 10b5-1 trading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$18.04 to $19.04, inclusive. The Reporting Person has provided to the Issuer and undertakes to provide to the staff of the Securities and Exchange Commission or any security holder of the Issuer, upon request, full information regarding the number of shares sold at each separate price within the range.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Mohit Kansal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116833" TargetMode="External"/><Relationship Id="rId5" Type="http://schemas.openxmlformats.org/officeDocument/2006/relationships/hyperlink" Target="http://www.sec.gov/cgi-bin/browse-edgar?action=getcompany&amp;CIK=00015805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707</Words>
  <Characters>3815</Characters>
  <CharactersWithSpaces>4443</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