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943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3610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08/29/2022</w:t>
      </w:r>
    </w:p>
    <w:p>
      <w:pPr>
        <w:spacing w:after="0" w:line="20" w:lineRule="exact"/>
        <w:rPr>
          <w:sz w:val="24"/>
          <w:szCs w:val="24"/>
          <w:color w:val="auto"/>
        </w:rPr>
      </w:pPr>
      <w:r>
        <w:rPr>
          <w:sz w:val="24"/>
          <w:szCs w:val="24"/>
          <w:color w:val="auto"/>
        </w:rPr>
        <w:br w:type="column"/>
      </w:r>
    </w:p>
    <w:p>
      <w:pPr>
        <w:ind w:left="-3" w:right="720" w:firstLine="3"/>
        <w:spacing w:after="0" w:line="270"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2076"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2" w:lineRule="exact"/>
        <w:rPr>
          <w:sz w:val="24"/>
          <w:szCs w:val="24"/>
          <w:color w:val="auto"/>
        </w:rPr>
      </w:pPr>
    </w:p>
    <w:p>
      <w:pPr>
        <w:sectPr>
          <w:pgSz w:w="11900" w:h="16838" w:orient="portrait"/>
          <w:cols w:equalWidth="0" w:num="3">
            <w:col w:w="3180" w:space="720"/>
            <w:col w:w="3123" w:space="720"/>
            <w:col w:w="3337"/>
          </w:cols>
          <w:pgMar w:left="460" w:top="214" w:right="359" w:bottom="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1" w:lineRule="exact"/>
        <w:rPr>
          <w:sz w:val="24"/>
          <w:szCs w:val="24"/>
          <w:color w:val="auto"/>
        </w:rPr>
      </w:pPr>
    </w:p>
    <w:p>
      <w:pPr>
        <w:ind w:left="3840"/>
        <w:spacing w:after="0"/>
        <w:rPr>
          <w:sz w:val="20"/>
          <w:szCs w:val="20"/>
          <w:color w:val="auto"/>
        </w:rPr>
      </w:pPr>
      <w:r>
        <w:rPr>
          <w:rFonts w:ascii="Arial" w:cs="Arial" w:eastAsia="Arial" w:hAnsi="Arial"/>
          <w:sz w:val="12"/>
          <w:szCs w:val="12"/>
          <w:color w:val="auto"/>
        </w:rPr>
        <w:t>Line)</w:t>
      </w:r>
    </w:p>
    <w:p>
      <w:pPr>
        <w:spacing w:after="0" w:line="24" w:lineRule="exact"/>
        <w:rPr>
          <w:sz w:val="24"/>
          <w:szCs w:val="24"/>
          <w:color w:val="auto"/>
        </w:rPr>
      </w:pPr>
    </w:p>
    <w:p>
      <w:pPr>
        <w:ind w:left="4380"/>
        <w:spacing w:after="0"/>
        <w:rPr>
          <w:sz w:val="20"/>
          <w:szCs w:val="20"/>
          <w:color w:val="auto"/>
        </w:rPr>
      </w:pPr>
      <w:r>
        <w:rPr>
          <w:rFonts w:ascii="Arial" w:cs="Arial" w:eastAsia="Arial" w:hAnsi="Arial"/>
          <w:sz w:val="12"/>
          <w:szCs w:val="12"/>
          <w:color w:val="auto"/>
        </w:rPr>
        <w:t>Form filed by One Reporting Person</w:t>
      </w:r>
    </w:p>
    <w:p>
      <w:pPr>
        <w:spacing w:after="0" w:line="29" w:lineRule="exact"/>
        <w:rPr>
          <w:sz w:val="24"/>
          <w:szCs w:val="24"/>
          <w:color w:val="auto"/>
        </w:rPr>
      </w:pPr>
    </w:p>
    <w:p>
      <w:pPr>
        <w:jc w:val="both"/>
        <w:ind w:left="4040"/>
        <w:spacing w:after="0"/>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457" w:lineRule="exact"/>
        <w:rPr>
          <w:sz w:val="24"/>
          <w:szCs w:val="24"/>
          <w:color w:val="auto"/>
        </w:rPr>
      </w:pPr>
    </w:p>
    <w:p>
      <w:pPr>
        <w:sectPr>
          <w:pgSz w:w="11900" w:h="16838"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23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280" w:type="dxa"/>
            <w:vAlign w:val="bottom"/>
          </w:tcPr>
          <w:p>
            <w:pPr>
              <w:ind w:left="10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2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2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80" w:type="dxa"/>
            <w:vAlign w:val="bottom"/>
            <w:gridSpan w:val="4"/>
          </w:tcPr>
          <w:p>
            <w:pPr>
              <w:jc w:val="right"/>
              <w:ind w:right="382"/>
              <w:spacing w:after="0"/>
              <w:rPr>
                <w:sz w:val="20"/>
                <w:szCs w:val="20"/>
                <w:color w:val="auto"/>
              </w:rPr>
            </w:pPr>
            <w:r>
              <w:rPr>
                <w:rFonts w:ascii="Times New Roman" w:cs="Times New Roman" w:eastAsia="Times New Roman" w:hAnsi="Times New Roman"/>
                <w:sz w:val="16"/>
                <w:szCs w:val="16"/>
                <w:color w:val="0000FF"/>
              </w:rPr>
              <w:t>08/29/2022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0000FF"/>
              </w:rPr>
              <w:t>31,735</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520" w:type="dxa"/>
            <w:vAlign w:val="bottom"/>
            <w:gridSpan w:val="2"/>
          </w:tcPr>
          <w:p>
            <w:pPr>
              <w:jc w:val="right"/>
              <w:ind w:right="623"/>
              <w:spacing w:after="0"/>
              <w:rPr>
                <w:sz w:val="20"/>
                <w:szCs w:val="20"/>
                <w:color w:val="auto"/>
              </w:rPr>
            </w:pPr>
            <w:r>
              <w:rPr>
                <w:rFonts w:ascii="Times New Roman" w:cs="Times New Roman" w:eastAsia="Times New Roman" w:hAnsi="Times New Roman"/>
                <w:sz w:val="16"/>
                <w:szCs w:val="16"/>
                <w:color w:val="0000FF"/>
              </w:rPr>
              <w:t>518,504</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80" w:type="dxa"/>
            <w:vAlign w:val="bottom"/>
            <w:gridSpan w:val="4"/>
            <w:vMerge w:val="restart"/>
          </w:tcPr>
          <w:p>
            <w:pPr>
              <w:jc w:val="right"/>
              <w:ind w:right="382"/>
              <w:spacing w:after="0"/>
              <w:rPr>
                <w:sz w:val="20"/>
                <w:szCs w:val="20"/>
                <w:color w:val="auto"/>
              </w:rPr>
            </w:pPr>
            <w:r>
              <w:rPr>
                <w:rFonts w:ascii="Times New Roman" w:cs="Times New Roman" w:eastAsia="Times New Roman" w:hAnsi="Times New Roman"/>
                <w:sz w:val="16"/>
                <w:szCs w:val="16"/>
                <w:color w:val="0000FF"/>
              </w:rPr>
              <w:t>08/29/2022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0000FF"/>
              </w:rPr>
              <w:t>31,735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25.09</w:t>
            </w:r>
          </w:p>
        </w:tc>
        <w:tc>
          <w:tcPr>
            <w:tcW w:w="1520" w:type="dxa"/>
            <w:vAlign w:val="bottom"/>
            <w:gridSpan w:val="2"/>
            <w:vMerge w:val="restart"/>
          </w:tcPr>
          <w:p>
            <w:pPr>
              <w:jc w:val="right"/>
              <w:ind w:right="623"/>
              <w:spacing w:after="0"/>
              <w:rPr>
                <w:sz w:val="20"/>
                <w:szCs w:val="20"/>
                <w:color w:val="auto"/>
              </w:rPr>
            </w:pPr>
            <w:r>
              <w:rPr>
                <w:rFonts w:ascii="Times New Roman" w:cs="Times New Roman" w:eastAsia="Times New Roman" w:hAnsi="Times New Roman"/>
                <w:sz w:val="16"/>
                <w:szCs w:val="16"/>
                <w:color w:val="0000FF"/>
              </w:rPr>
              <w:t>486,769</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480" w:type="dxa"/>
            <w:vAlign w:val="bottom"/>
            <w:gridSpan w:val="5"/>
            <w:vMerge w:val="continue"/>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80" w:type="dxa"/>
            <w:vAlign w:val="bottom"/>
            <w:gridSpan w:val="4"/>
          </w:tcPr>
          <w:p>
            <w:pPr>
              <w:jc w:val="right"/>
              <w:ind w:right="382"/>
              <w:spacing w:after="0"/>
              <w:rPr>
                <w:sz w:val="20"/>
                <w:szCs w:val="20"/>
                <w:color w:val="auto"/>
              </w:rPr>
            </w:pPr>
            <w:r>
              <w:rPr>
                <w:rFonts w:ascii="Times New Roman" w:cs="Times New Roman" w:eastAsia="Times New Roman" w:hAnsi="Times New Roman"/>
                <w:sz w:val="16"/>
                <w:szCs w:val="16"/>
                <w:color w:val="0000FF"/>
              </w:rPr>
              <w:t>08/30/2022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0000FF"/>
              </w:rPr>
              <w:t>58,851</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520" w:type="dxa"/>
            <w:vAlign w:val="bottom"/>
            <w:gridSpan w:val="2"/>
          </w:tcPr>
          <w:p>
            <w:pPr>
              <w:jc w:val="right"/>
              <w:ind w:right="623"/>
              <w:spacing w:after="0"/>
              <w:rPr>
                <w:sz w:val="20"/>
                <w:szCs w:val="20"/>
                <w:color w:val="auto"/>
              </w:rPr>
            </w:pPr>
            <w:r>
              <w:rPr>
                <w:rFonts w:ascii="Times New Roman" w:cs="Times New Roman" w:eastAsia="Times New Roman" w:hAnsi="Times New Roman"/>
                <w:sz w:val="16"/>
                <w:szCs w:val="16"/>
                <w:color w:val="0000FF"/>
              </w:rPr>
              <w:t>639,362</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80" w:type="dxa"/>
            <w:vAlign w:val="bottom"/>
            <w:gridSpan w:val="4"/>
            <w:vMerge w:val="restart"/>
          </w:tcPr>
          <w:p>
            <w:pPr>
              <w:jc w:val="right"/>
              <w:ind w:right="382"/>
              <w:spacing w:after="0"/>
              <w:rPr>
                <w:sz w:val="20"/>
                <w:szCs w:val="20"/>
                <w:color w:val="auto"/>
              </w:rPr>
            </w:pPr>
            <w:r>
              <w:rPr>
                <w:rFonts w:ascii="Times New Roman" w:cs="Times New Roman" w:eastAsia="Times New Roman" w:hAnsi="Times New Roman"/>
                <w:sz w:val="16"/>
                <w:szCs w:val="16"/>
                <w:color w:val="0000FF"/>
              </w:rPr>
              <w:t>08/30/2022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0000FF"/>
              </w:rPr>
              <w:t>58,851</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24.91</w:t>
            </w:r>
          </w:p>
        </w:tc>
        <w:tc>
          <w:tcPr>
            <w:tcW w:w="1520" w:type="dxa"/>
            <w:vAlign w:val="bottom"/>
            <w:gridSpan w:val="2"/>
            <w:vMerge w:val="restart"/>
          </w:tcPr>
          <w:p>
            <w:pPr>
              <w:jc w:val="right"/>
              <w:ind w:right="643"/>
              <w:spacing w:after="0"/>
              <w:rPr>
                <w:sz w:val="20"/>
                <w:szCs w:val="20"/>
                <w:color w:val="auto"/>
              </w:rPr>
            </w:pPr>
            <w:r>
              <w:rPr>
                <w:rFonts w:ascii="Times New Roman" w:cs="Times New Roman" w:eastAsia="Times New Roman" w:hAnsi="Times New Roman"/>
                <w:sz w:val="16"/>
                <w:szCs w:val="16"/>
                <w:color w:val="0000FF"/>
              </w:rPr>
              <w:t>580,511</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480" w:type="dxa"/>
            <w:vAlign w:val="bottom"/>
            <w:gridSpan w:val="5"/>
            <w:vMerge w:val="continue"/>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4820" w:type="dxa"/>
            <w:vAlign w:val="bottom"/>
            <w:tcBorders>
              <w:bottom w:val="single" w:sz="8" w:color="2C2C2C"/>
            </w:tcBorders>
            <w:gridSpan w:val="7"/>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3"/>
          </w:tcPr>
          <w:p>
            <w:pPr>
              <w:jc w:val="center"/>
              <w:ind w:right="5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10"/>
          </w:tcPr>
          <w:p>
            <w:pPr>
              <w:jc w:val="center"/>
              <w:ind w:right="1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11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11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11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Voting</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ind w:left="76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31,735</w:t>
            </w: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08/29/2022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700" w:type="dxa"/>
            <w:vAlign w:val="bottom"/>
            <w:gridSpan w:val="2"/>
            <w:vMerge w:val="restart"/>
          </w:tcPr>
          <w:p>
            <w:pPr>
              <w:ind w:left="300"/>
              <w:spacing w:after="0" w:line="125" w:lineRule="exact"/>
              <w:rPr>
                <w:sz w:val="20"/>
                <w:szCs w:val="20"/>
                <w:color w:val="auto"/>
              </w:rPr>
            </w:pPr>
            <w:r>
              <w:rPr>
                <w:rFonts w:ascii="Times New Roman" w:cs="Times New Roman" w:eastAsia="Times New Roman" w:hAnsi="Times New Roman"/>
                <w:sz w:val="12"/>
                <w:szCs w:val="12"/>
                <w:color w:val="0000FF"/>
              </w:rPr>
              <w:t>31,735</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continue"/>
          </w:tcPr>
          <w:p>
            <w:pPr>
              <w:spacing w:after="0"/>
              <w:rPr>
                <w:sz w:val="5"/>
                <w:szCs w:val="5"/>
                <w:color w:val="auto"/>
              </w:rPr>
            </w:pPr>
          </w:p>
        </w:tc>
        <w:tc>
          <w:tcPr>
            <w:tcW w:w="660" w:type="dxa"/>
            <w:vAlign w:val="bottom"/>
            <w:vMerge w:val="restart"/>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vMerge w:val="restart"/>
          </w:tcPr>
          <w:p>
            <w:pPr>
              <w:ind w:left="220"/>
              <w:spacing w:after="0" w:line="125" w:lineRule="exact"/>
              <w:rPr>
                <w:sz w:val="20"/>
                <w:szCs w:val="20"/>
                <w:color w:val="auto"/>
              </w:rPr>
            </w:pPr>
            <w:r>
              <w:rPr>
                <w:rFonts w:ascii="Times New Roman" w:cs="Times New Roman" w:eastAsia="Times New Roman" w:hAnsi="Times New Roman"/>
                <w:sz w:val="12"/>
                <w:szCs w:val="12"/>
                <w:color w:val="0000FF"/>
              </w:rPr>
              <w:t>3,577,727</w:t>
            </w:r>
          </w:p>
        </w:tc>
        <w:tc>
          <w:tcPr>
            <w:tcW w:w="500" w:type="dxa"/>
            <w:vAlign w:val="bottom"/>
            <w:vMerge w:val="restart"/>
          </w:tcPr>
          <w:p>
            <w:pPr>
              <w:ind w:left="38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Borders>
              <w:right w:val="single" w:sz="8" w:color="2C2C2C"/>
            </w:tcBorders>
            <w:gridSpan w:val="3"/>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Voting</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ind w:left="76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58,851</w:t>
            </w: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08/30/2022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700" w:type="dxa"/>
            <w:vAlign w:val="bottom"/>
            <w:gridSpan w:val="2"/>
            <w:vMerge w:val="restart"/>
          </w:tcPr>
          <w:p>
            <w:pPr>
              <w:ind w:left="300"/>
              <w:spacing w:after="0" w:line="125" w:lineRule="exact"/>
              <w:rPr>
                <w:sz w:val="20"/>
                <w:szCs w:val="20"/>
                <w:color w:val="auto"/>
              </w:rPr>
            </w:pPr>
            <w:r>
              <w:rPr>
                <w:rFonts w:ascii="Times New Roman" w:cs="Times New Roman" w:eastAsia="Times New Roman" w:hAnsi="Times New Roman"/>
                <w:sz w:val="12"/>
                <w:szCs w:val="12"/>
                <w:color w:val="0000FF"/>
              </w:rPr>
              <w:t>58,851</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continue"/>
          </w:tcPr>
          <w:p>
            <w:pPr>
              <w:spacing w:after="0"/>
              <w:rPr>
                <w:sz w:val="5"/>
                <w:szCs w:val="5"/>
                <w:color w:val="auto"/>
              </w:rPr>
            </w:pPr>
          </w:p>
        </w:tc>
        <w:tc>
          <w:tcPr>
            <w:tcW w:w="660" w:type="dxa"/>
            <w:vAlign w:val="bottom"/>
            <w:vMerge w:val="restart"/>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vMerge w:val="restart"/>
          </w:tcPr>
          <w:p>
            <w:pPr>
              <w:ind w:left="220"/>
              <w:spacing w:after="0" w:line="125" w:lineRule="exact"/>
              <w:rPr>
                <w:sz w:val="20"/>
                <w:szCs w:val="20"/>
                <w:color w:val="auto"/>
              </w:rPr>
            </w:pPr>
            <w:r>
              <w:rPr>
                <w:rFonts w:ascii="Times New Roman" w:cs="Times New Roman" w:eastAsia="Times New Roman" w:hAnsi="Times New Roman"/>
                <w:sz w:val="12"/>
                <w:szCs w:val="12"/>
                <w:color w:val="0000FF"/>
              </w:rPr>
              <w:t>3,518,876</w:t>
            </w:r>
          </w:p>
        </w:tc>
        <w:tc>
          <w:tcPr>
            <w:tcW w:w="500" w:type="dxa"/>
            <w:vAlign w:val="bottom"/>
            <w:vMerge w:val="restart"/>
          </w:tcPr>
          <w:p>
            <w:pPr>
              <w:ind w:left="38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Borders>
              <w:right w:val="single" w:sz="8" w:color="2C2C2C"/>
            </w:tcBorders>
            <w:gridSpan w:val="3"/>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10282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10282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-5492115</wp:posOffset>
            </wp:positionV>
            <wp:extent cx="28575" cy="2460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60625"/>
                    </a:xfrm>
                    <a:prstGeom prst="rect">
                      <a:avLst/>
                    </a:prstGeom>
                    <a:noFill/>
                  </pic:spPr>
                </pic:pic>
              </a:graphicData>
            </a:graphic>
          </wp:anchor>
        </w:drawing>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83"/>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StoneBridge 2020,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-128905</wp:posOffset>
            </wp:positionV>
            <wp:extent cx="2807970" cy="6012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970" cy="6012815"/>
                    </a:xfrm>
                    <a:prstGeom prst="rect">
                      <a:avLst/>
                    </a:prstGeom>
                    <a:noFill/>
                  </pic:spPr>
                </pic:pic>
              </a:graphicData>
            </a:graphic>
          </wp:anchor>
        </w:drawing>
      </w:r>
    </w:p>
    <w:p>
      <w:pPr>
        <w:spacing w:after="0" w:line="286" w:lineRule="exact"/>
        <w:rPr>
          <w:sz w:val="20"/>
          <w:szCs w:val="20"/>
          <w:color w:val="auto"/>
        </w:rPr>
      </w:pPr>
    </w:p>
    <w:tbl>
      <w:tblPr>
        <w:tblLayout w:type="fixed"/>
        <w:tblInd w:w="4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10282-2198</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3"/>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3"/>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Goldman Sachs PSI Global Holdings, LLC</w:t>
        </w:r>
      </w:hyperlink>
    </w:p>
    <w:p>
      <w:pPr>
        <w:spacing w:after="0" w:line="283" w:lineRule="exact"/>
        <w:rPr>
          <w:sz w:val="20"/>
          <w:szCs w:val="20"/>
          <w:color w:val="auto"/>
        </w:rPr>
      </w:pPr>
    </w:p>
    <w:tbl>
      <w:tblPr>
        <w:tblLayout w:type="fixed"/>
        <w:tblInd w:w="4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3"/>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3"/>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3" w:lineRule="exact"/>
        <w:rPr>
          <w:sz w:val="20"/>
          <w:szCs w:val="20"/>
          <w:color w:val="auto"/>
        </w:rPr>
      </w:pPr>
    </w:p>
    <w:tbl>
      <w:tblPr>
        <w:tblLayout w:type="fixed"/>
        <w:tblInd w:w="4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3"/>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3"/>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3" w:lineRule="exact"/>
        <w:rPr>
          <w:sz w:val="20"/>
          <w:szCs w:val="20"/>
          <w:color w:val="auto"/>
        </w:rPr>
      </w:pPr>
    </w:p>
    <w:tbl>
      <w:tblPr>
        <w:tblLayout w:type="fixed"/>
        <w:tblInd w:w="4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3" w:hanging="3"/>
        <w:spacing w:after="0" w:line="259"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August 29, 2022, the reporting person consummated the sale of all 31,735 shares of Non-Voting Common Stock, resulting in the automatic conversion of such shares into Voting Common Stock upon the execution of the sale of such shares as reported in Table I.</w:t>
      </w:r>
    </w:p>
    <w:p>
      <w:pPr>
        <w:spacing w:after="0" w:line="13" w:lineRule="exact"/>
        <w:rPr>
          <w:rFonts w:ascii="Times New Roman" w:cs="Times New Roman" w:eastAsia="Times New Roman" w:hAnsi="Times New Roman"/>
          <w:sz w:val="12"/>
          <w:szCs w:val="12"/>
          <w:color w:val="008000"/>
        </w:rPr>
      </w:pPr>
    </w:p>
    <w:p>
      <w:pPr>
        <w:ind w:left="3" w:right="60" w:hanging="3"/>
        <w:spacing w:after="0" w:line="249"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18" w:lineRule="exact"/>
        <w:rPr>
          <w:rFonts w:ascii="Times New Roman" w:cs="Times New Roman" w:eastAsia="Times New Roman" w:hAnsi="Times New Roman"/>
          <w:sz w:val="12"/>
          <w:szCs w:val="12"/>
          <w:color w:val="008000"/>
        </w:rPr>
      </w:pPr>
    </w:p>
    <w:p>
      <w:pPr>
        <w:ind w:left="3" w:right="32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ind w:left="3" w:right="6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ind w:left="3" w:right="2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ind w:left="3" w:hanging="3"/>
        <w:spacing w:after="0" w:line="259"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August 30, 2022, the reporting person consummated the sale of all 58,851 shares of Non-Voting Common Stock, resulting in the automatic conversion of such shares into Voting Common Stock upon the execution of the sale of such shares as reported in Table I.</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ind w:left="6563"/>
        <w:spacing w:after="0" w:line="224"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2"/>
          <w:szCs w:val="32"/>
          <w:color w:val="0000FF"/>
          <w:vertAlign w:val="subscript"/>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646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ind w:left="6563"/>
        <w:spacing w:after="0" w:line="183"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0"/>
          <w:szCs w:val="30"/>
          <w:color w:val="0000FF"/>
          <w:vertAlign w:val="subscript"/>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646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ind w:left="6563"/>
        <w:spacing w:after="0" w:line="183"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0"/>
          <w:szCs w:val="30"/>
          <w:color w:val="0000FF"/>
          <w:vertAlign w:val="subscript"/>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646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ind w:left="6563"/>
        <w:spacing w:after="0" w:line="183"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0"/>
          <w:szCs w:val="30"/>
          <w:color w:val="0000FF"/>
          <w:vertAlign w:val="subscript"/>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646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ind w:left="6563"/>
        <w:spacing w:after="0" w:line="183"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0"/>
          <w:szCs w:val="30"/>
          <w:color w:val="0000FF"/>
          <w:vertAlign w:val="subscript"/>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646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ind w:left="6563"/>
        <w:spacing w:after="0" w:line="183"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0"/>
          <w:szCs w:val="30"/>
          <w:color w:val="0000FF"/>
          <w:vertAlign w:val="subscript"/>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646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40"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3"/>
      </w:cols>
      <w:pgMar w:left="497" w:top="114" w:right="57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02332" TargetMode="External"/><Relationship Id="rId18" Type="http://schemas.openxmlformats.org/officeDocument/2006/relationships/hyperlink" Target="http://www.sec.gov/cgi-bin/browse-edgar?action=getcompany&amp;CIK=0001865223"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2022-08-31T17:57:02Z</dcterms:created>
  <dcterms:modified xsi:type="dcterms:W3CDTF">2022-08-31T17:57:02Z</dcterms:modified>
</cp:coreProperties>
</file>