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255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49"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280"/>
        <w:spacing w:after="0" w:line="369" w:lineRule="auto"/>
        <w:rPr>
          <w:sz w:val="20"/>
          <w:szCs w:val="20"/>
          <w:color w:val="auto"/>
        </w:rPr>
      </w:pPr>
      <w:r>
        <w:rPr>
          <w:rFonts w:ascii="Times New Roman" w:cs="Times New Roman" w:eastAsia="Times New Roman" w:hAnsi="Times New Roman"/>
          <w:sz w:val="16"/>
          <w:szCs w:val="16"/>
          <w:color w:val="0000FF"/>
        </w:rPr>
        <w:t>C/O GOLDMAN SACHS GROUP INC., 200 WEST STREET</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11/11/2022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57" w:lineRule="exact"/>
        <w:rPr>
          <w:sz w:val="24"/>
          <w:szCs w:val="24"/>
          <w:color w:val="auto"/>
        </w:rPr>
      </w:pPr>
    </w:p>
    <w:p>
      <w:pPr>
        <w:sectPr>
          <w:pgSz w:w="11900" w:h="16838" w:orient="portrait"/>
          <w:cols w:equalWidth="0" w:num="2">
            <w:col w:w="3120" w:space="720"/>
            <w:col w:w="7240"/>
          </w:cols>
          <w:pgMar w:left="460" w:top="215" w:right="359" w:bottom="4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2"/>
          </w:tcPr>
          <w:p>
            <w:pPr>
              <w:jc w:val="center"/>
              <w:ind w:left="491"/>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75"/>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11/11/2022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187,059</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326,405</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11/11/2022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187,059</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22.4</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139,346</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11/14/2022</w:t>
            </w:r>
          </w:p>
        </w:tc>
        <w:tc>
          <w:tcPr>
            <w:tcW w:w="1000" w:type="dxa"/>
            <w:vAlign w:val="bottom"/>
          </w:tcPr>
          <w:p>
            <w:pPr>
              <w:spacing w:after="0"/>
              <w:rPr>
                <w:sz w:val="20"/>
                <w:szCs w:val="20"/>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186,114</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304,630</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1"/>
                <w:szCs w:val="21"/>
                <w:color w:val="008000"/>
                <w:w w:val="97"/>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r>
              <w:rPr>
                <w:rFonts w:ascii="Times New Roman" w:cs="Times New Roman" w:eastAsia="Times New Roman" w:hAnsi="Times New Roman"/>
                <w:sz w:val="21"/>
                <w:szCs w:val="21"/>
                <w:color w:val="008000"/>
                <w:vertAlign w:val="superscript"/>
              </w:rPr>
              <w:t>(1)</w:t>
            </w:r>
          </w:p>
        </w:tc>
        <w:tc>
          <w:tcPr>
            <w:tcW w:w="176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6"/>
                <w:szCs w:val="16"/>
                <w:color w:val="0000FF"/>
              </w:rPr>
              <w:t>11/14/2022</w:t>
            </w:r>
          </w:p>
        </w:tc>
        <w:tc>
          <w:tcPr>
            <w:tcW w:w="100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186,114</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22.2</w:t>
            </w:r>
          </w:p>
        </w:tc>
        <w:tc>
          <w:tcPr>
            <w:tcW w:w="20" w:type="dxa"/>
            <w:vAlign w:val="bottom"/>
          </w:tcPr>
          <w:p>
            <w:pPr>
              <w:spacing w:after="0"/>
              <w:rPr>
                <w:sz w:val="20"/>
                <w:szCs w:val="20"/>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118,516</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1"/>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5"/>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jc w:val="right"/>
              <w:ind w:right="375"/>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color w:val="0000FF"/>
                <w:w w:val="88"/>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continue"/>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187,059</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11/11/2022</w:t>
            </w:r>
          </w:p>
        </w:tc>
        <w:tc>
          <w:tcPr>
            <w:tcW w:w="1060" w:type="dxa"/>
            <w:vAlign w:val="bottom"/>
          </w:tcPr>
          <w:p>
            <w:pPr>
              <w:spacing w:after="0"/>
              <w:rPr>
                <w:sz w:val="5"/>
                <w:szCs w:val="5"/>
                <w:color w:val="auto"/>
              </w:rPr>
            </w:pPr>
          </w:p>
        </w:tc>
        <w:tc>
          <w:tcPr>
            <w:tcW w:w="70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line="139" w:lineRule="exact"/>
              <w:rPr>
                <w:sz w:val="20"/>
                <w:szCs w:val="20"/>
                <w:color w:val="auto"/>
              </w:rPr>
            </w:pPr>
            <w:r>
              <w:rPr>
                <w:rFonts w:ascii="Times New Roman" w:cs="Times New Roman" w:eastAsia="Times New Roman" w:hAnsi="Times New Roman"/>
                <w:sz w:val="13"/>
                <w:szCs w:val="13"/>
                <w:color w:val="0000FF"/>
              </w:rPr>
              <w:t>187,059</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2,548,462</w:t>
            </w:r>
          </w:p>
        </w:tc>
        <w:tc>
          <w:tcPr>
            <w:tcW w:w="50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ind w:right="55"/>
              <w:spacing w:after="0"/>
              <w:rPr>
                <w:sz w:val="20"/>
                <w:szCs w:val="20"/>
                <w:color w:val="auto"/>
              </w:rPr>
            </w:pPr>
            <w:r>
              <w:rPr>
                <w:rFonts w:ascii="Times New Roman" w:cs="Times New Roman" w:eastAsia="Times New Roman" w:hAnsi="Times New Roman"/>
                <w:sz w:val="13"/>
                <w:szCs w:val="13"/>
                <w:color w:val="0000FF"/>
                <w:w w:val="88"/>
              </w:rPr>
              <w:t>Voting</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continue"/>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186,114</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11/14/2022</w:t>
            </w:r>
          </w:p>
        </w:tc>
        <w:tc>
          <w:tcPr>
            <w:tcW w:w="106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186,114</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2,362,348</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ind w:left="60"/>
              <w:spacing w:after="0" w:line="68" w:lineRule="exact"/>
              <w:rPr>
                <w:sz w:val="20"/>
                <w:szCs w:val="20"/>
                <w:color w:val="auto"/>
              </w:rPr>
            </w:pPr>
            <w:r>
              <w:rPr>
                <w:rFonts w:ascii="Times New Roman" w:cs="Times New Roman" w:eastAsia="Times New Roman" w:hAnsi="Times New Roman"/>
                <w:sz w:val="7"/>
                <w:szCs w:val="7"/>
                <w:color w:val="0000FF"/>
              </w:rPr>
              <w:t>Common</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3"/>
          </w:tcPr>
          <w:p>
            <w:pPr>
              <w:ind w:left="8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3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3460" w:type="dxa"/>
            <w:vAlign w:val="bottom"/>
          </w:tcPr>
          <w:p>
            <w:pPr>
              <w:ind w:left="3180"/>
              <w:spacing w:after="0"/>
              <w:rPr>
                <w:sz w:val="20"/>
                <w:szCs w:val="20"/>
                <w:color w:val="auto"/>
              </w:rPr>
            </w:pPr>
            <w:r>
              <w:rPr>
                <w:rFonts w:ascii="Times New Roman" w:cs="Times New Roman" w:eastAsia="Times New Roman" w:hAnsi="Times New Roman"/>
                <w:sz w:val="13"/>
                <w:szCs w:val="13"/>
                <w:color w:val="0000FF"/>
                <w:w w:val="87"/>
              </w:rPr>
              <w:t>Stock</w:t>
            </w:r>
          </w:p>
        </w:tc>
        <w:tc>
          <w:tcPr>
            <w:tcW w:w="0" w:type="dxa"/>
            <w:vAlign w:val="bottom"/>
          </w:tcPr>
          <w:p>
            <w:pPr>
              <w:spacing w:after="0"/>
              <w:rPr>
                <w:sz w:val="1"/>
                <w:szCs w:val="1"/>
                <w:color w:val="auto"/>
              </w:rPr>
            </w:pPr>
          </w:p>
        </w:tc>
      </w:tr>
      <w:tr>
        <w:trPr>
          <w:trHeight w:val="159"/>
        </w:trPr>
        <w:tc>
          <w:tcPr>
            <w:tcW w:w="358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11, 2022, the reporting person consummated the sale of all 187,059 shares of Non-Voting Common Stock, resulting in the automatic conversion of such shares into Voting Common Stock upon the execution of the sale of such shares as reported in Table I.</w:t>
      </w:r>
    </w:p>
    <w:p>
      <w:pPr>
        <w:spacing w:after="0" w:line="25"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22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jc w:val="both"/>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November 14, 2022, the reporting person consummated the sale of all 186,114 shares of Non-Voting Common Stock, resulting in the automatic conversion of such shares into Voting Common Stock upon the execution of the sale of such shares as reported in Table I.</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Jamison Yardley, Attorney-</w:t>
            </w:r>
          </w:p>
        </w:tc>
        <w:tc>
          <w:tcPr>
            <w:tcW w:w="10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11/15/2022</w:t>
            </w:r>
          </w:p>
        </w:tc>
        <w:tc>
          <w:tcPr>
            <w:tcW w:w="0" w:type="dxa"/>
            <w:vAlign w:val="bottom"/>
          </w:tcPr>
          <w:p>
            <w:pPr>
              <w:spacing w:after="0"/>
              <w:rPr>
                <w:sz w:val="1"/>
                <w:szCs w:val="1"/>
                <w:color w:val="auto"/>
              </w:rPr>
            </w:pPr>
          </w:p>
        </w:tc>
      </w:tr>
      <w:tr>
        <w:trPr>
          <w:trHeight w:val="81"/>
        </w:trPr>
        <w:tc>
          <w:tcPr>
            <w:tcW w:w="42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5"/>
              </w:rPr>
              <w:t>in-fact</w:t>
            </w:r>
          </w:p>
        </w:tc>
        <w:tc>
          <w:tcPr>
            <w:tcW w:w="168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2022-11-15T15:28:49Z</dcterms:created>
  <dcterms:modified xsi:type="dcterms:W3CDTF">2022-11-15T15:28:49Z</dcterms:modified>
</cp:coreProperties>
</file>