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333-273835</w:t>
      </w:r>
    </w:p>
    <w:p>
      <w:pPr>
        <w:spacing w:after="0" w:line="131" w:lineRule="exact"/>
        <w:rPr>
          <w:sz w:val="24"/>
          <w:szCs w:val="24"/>
          <w:color w:val="auto"/>
        </w:rPr>
      </w:pPr>
    </w:p>
    <w:p>
      <w:pPr>
        <w:ind w:left="120" w:right="280"/>
        <w:spacing w:after="0" w:line="275" w:lineRule="auto"/>
        <w:rPr>
          <w:sz w:val="20"/>
          <w:szCs w:val="20"/>
          <w:color w:val="auto"/>
        </w:rPr>
      </w:pPr>
      <w:r>
        <w:rPr>
          <w:rFonts w:ascii="Arial" w:cs="Arial" w:eastAsia="Arial" w:hAnsi="Arial"/>
          <w:sz w:val="16"/>
          <w:szCs w:val="16"/>
          <w:b w:val="1"/>
          <w:bCs w:val="1"/>
          <w:color w:val="EB0029"/>
        </w:rPr>
        <w:t>The information in this preliminary prospectus supplement and the accompanying base prospectus is not complete and may be changed. This preliminary prospectus supplement and the accompanying prospectus are part of an effective registration statement filed with the Securities and Exchange Commission. This preliminary prospectus supplement and the accompanying base prospectus are not an offer to sell these securities and are not soliciting an offer to buy these securities in any jurisdiction where the offer or sale is not permitted.</w:t>
      </w:r>
    </w:p>
    <w:p>
      <w:pPr>
        <w:spacing w:after="0" w:line="105" w:lineRule="exact"/>
        <w:rPr>
          <w:sz w:val="24"/>
          <w:szCs w:val="24"/>
          <w:color w:val="auto"/>
        </w:rPr>
      </w:pPr>
    </w:p>
    <w:p>
      <w:pPr>
        <w:ind w:left="3440"/>
        <w:spacing w:after="0"/>
        <w:rPr>
          <w:sz w:val="20"/>
          <w:szCs w:val="20"/>
          <w:color w:val="auto"/>
        </w:rPr>
      </w:pPr>
      <w:r>
        <w:rPr>
          <w:rFonts w:ascii="Arial" w:cs="Arial" w:eastAsia="Arial" w:hAnsi="Arial"/>
          <w:sz w:val="21"/>
          <w:szCs w:val="21"/>
          <w:b w:val="1"/>
          <w:bCs w:val="1"/>
          <w:color w:val="EB0029"/>
        </w:rPr>
        <w:t>Subject to Completion, dated August 9, 2023</w:t>
      </w:r>
    </w:p>
    <w:p>
      <w:pPr>
        <w:spacing w:after="0" w:line="110" w:lineRule="exact"/>
        <w:rPr>
          <w:sz w:val="24"/>
          <w:szCs w:val="24"/>
          <w:color w:val="auto"/>
        </w:rPr>
      </w:pPr>
    </w:p>
    <w:p>
      <w:pPr>
        <w:ind w:left="120"/>
        <w:spacing w:after="0"/>
        <w:rPr>
          <w:sz w:val="20"/>
          <w:szCs w:val="20"/>
          <w:color w:val="auto"/>
        </w:rPr>
      </w:pPr>
      <w:r>
        <w:rPr>
          <w:rFonts w:ascii="Arial" w:cs="Arial" w:eastAsia="Arial" w:hAnsi="Arial"/>
          <w:sz w:val="21"/>
          <w:szCs w:val="21"/>
          <w:b w:val="1"/>
          <w:bCs w:val="1"/>
          <w:color w:val="auto"/>
        </w:rPr>
        <w:t>Preliminary Prospectus Supplement</w:t>
      </w:r>
    </w:p>
    <w:p>
      <w:pPr>
        <w:spacing w:after="0" w:line="28" w:lineRule="exact"/>
        <w:rPr>
          <w:sz w:val="24"/>
          <w:szCs w:val="24"/>
          <w:color w:val="auto"/>
        </w:rPr>
      </w:pPr>
    </w:p>
    <w:p>
      <w:pPr>
        <w:ind w:left="120"/>
        <w:spacing w:after="0"/>
        <w:rPr>
          <w:sz w:val="20"/>
          <w:szCs w:val="20"/>
          <w:color w:val="auto"/>
        </w:rPr>
      </w:pPr>
      <w:r>
        <w:rPr>
          <w:rFonts w:ascii="Arial" w:cs="Arial" w:eastAsia="Arial" w:hAnsi="Arial"/>
          <w:sz w:val="21"/>
          <w:szCs w:val="21"/>
          <w:b w:val="1"/>
          <w:bCs w:val="1"/>
          <w:color w:val="auto"/>
        </w:rPr>
        <w:t>(To Prospectus dated August 9, 2023)</w:t>
      </w:r>
    </w:p>
    <w:p>
      <w:pPr>
        <w:spacing w:after="0" w:line="91"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93980</wp:posOffset>
            </wp:positionV>
            <wp:extent cx="136271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99"/>
        <w:spacing w:after="0"/>
        <w:rPr>
          <w:sz w:val="20"/>
          <w:szCs w:val="20"/>
          <w:color w:val="auto"/>
        </w:rPr>
      </w:pPr>
      <w:r>
        <w:rPr>
          <w:rFonts w:ascii="Arial" w:cs="Arial" w:eastAsia="Arial" w:hAnsi="Arial"/>
          <w:sz w:val="24"/>
          <w:szCs w:val="24"/>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147320</wp:posOffset>
            </wp:positionV>
            <wp:extent cx="1114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15" w:lineRule="exact"/>
        <w:rPr>
          <w:sz w:val="24"/>
          <w:szCs w:val="24"/>
          <w:color w:val="auto"/>
        </w:rPr>
      </w:pPr>
    </w:p>
    <w:p>
      <w:pPr>
        <w:ind w:left="120" w:right="580" w:firstLine="440"/>
        <w:spacing w:after="0" w:line="258" w:lineRule="auto"/>
        <w:rPr>
          <w:sz w:val="20"/>
          <w:szCs w:val="20"/>
          <w:color w:val="auto"/>
        </w:rPr>
      </w:pPr>
      <w:r>
        <w:rPr>
          <w:rFonts w:ascii="Arial" w:cs="Arial" w:eastAsia="Arial" w:hAnsi="Arial"/>
          <w:sz w:val="17"/>
          <w:szCs w:val="17"/>
          <w:color w:val="auto"/>
        </w:rPr>
        <w:t>This is a public offering of shares of voting common stock of Flywire Corporation. We are offering $250 million of shares of our voting common stock.</w:t>
      </w:r>
    </w:p>
    <w:p>
      <w:pPr>
        <w:spacing w:after="0" w:line="66" w:lineRule="exact"/>
        <w:rPr>
          <w:sz w:val="24"/>
          <w:szCs w:val="24"/>
          <w:color w:val="auto"/>
        </w:rPr>
      </w:pPr>
    </w:p>
    <w:p>
      <w:pPr>
        <w:ind w:left="120" w:right="60" w:firstLine="440"/>
        <w:spacing w:after="0" w:line="236" w:lineRule="auto"/>
        <w:rPr>
          <w:sz w:val="20"/>
          <w:szCs w:val="20"/>
          <w:color w:val="auto"/>
        </w:rPr>
      </w:pPr>
      <w:r>
        <w:rPr>
          <w:rFonts w:ascii="Arial" w:cs="Arial" w:eastAsia="Arial" w:hAnsi="Arial"/>
          <w:sz w:val="17"/>
          <w:szCs w:val="17"/>
          <w:color w:val="auto"/>
        </w:rPr>
        <w:t>We have two classes of common stock, voting common stock and non-voting common stock. The rights of the holders of voting common stock and non-voting common stock are identical, except for voting and conversion rights. Each share of voting common stock is entitled to one vote and is not convertible into another class or series of our securities. Non-voting common stock is not entitled to vote, except as required by law, and automatically converts without the payment of additional consideration into voting common stock upon transfer by holders of non-voting common stock in certain circumstances. As such, only holders of voting common stock are entitled to vote on the election of members of our board of directors. Unless otherwise noted or unless the context provides otherwise, all references in this prospectus supplement to our “common stock” refers to our voting common stock.</w:t>
      </w:r>
    </w:p>
    <w:p>
      <w:pPr>
        <w:spacing w:after="0" w:line="85" w:lineRule="exact"/>
        <w:rPr>
          <w:sz w:val="24"/>
          <w:szCs w:val="24"/>
          <w:color w:val="auto"/>
        </w:rPr>
      </w:pPr>
    </w:p>
    <w:p>
      <w:pPr>
        <w:ind w:left="120" w:right="20" w:firstLine="440"/>
        <w:spacing w:after="0" w:line="258" w:lineRule="auto"/>
        <w:rPr>
          <w:sz w:val="20"/>
          <w:szCs w:val="20"/>
          <w:color w:val="auto"/>
        </w:rPr>
      </w:pPr>
      <w:r>
        <w:rPr>
          <w:rFonts w:ascii="Arial" w:cs="Arial" w:eastAsia="Arial" w:hAnsi="Arial"/>
          <w:sz w:val="17"/>
          <w:szCs w:val="17"/>
          <w:color w:val="auto"/>
        </w:rPr>
        <w:t>Our common stock is listed on The Nasdaq Global Select Market (“Nasdaq”) under the symbol “FLYW.” On August 8, 2023, the last reported sale price of shares of our common stock on Nasdaq was $32.17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104775</wp:posOffset>
            </wp:positionV>
            <wp:extent cx="11144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82" w:lineRule="exact"/>
        <w:rPr>
          <w:sz w:val="24"/>
          <w:szCs w:val="24"/>
          <w:color w:val="auto"/>
        </w:rPr>
      </w:pPr>
    </w:p>
    <w:tbl>
      <w:tblPr>
        <w:tblLayout w:type="fixed"/>
        <w:tblInd w:w="12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4"/>
          </w:tcPr>
          <w:p>
            <w:pPr>
              <w:ind w:left="80"/>
              <w:spacing w:after="0"/>
              <w:rPr>
                <w:sz w:val="20"/>
                <w:szCs w:val="20"/>
                <w:color w:val="auto"/>
              </w:rPr>
            </w:pPr>
            <w:r>
              <w:rPr>
                <w:rFonts w:ascii="Arial" w:cs="Arial" w:eastAsia="Arial" w:hAnsi="Arial"/>
                <w:sz w:val="17"/>
                <w:szCs w:val="17"/>
                <w:color w:val="auto"/>
              </w:rPr>
              <w:t>Per</w:t>
            </w:r>
          </w:p>
        </w:tc>
      </w:tr>
      <w:tr>
        <w:trPr>
          <w:trHeight w:val="189"/>
        </w:trPr>
        <w:tc>
          <w:tcPr>
            <w:tcW w:w="42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4"/>
          </w:tcPr>
          <w:p>
            <w:pPr>
              <w:ind w:left="180"/>
              <w:spacing w:after="0" w:line="189" w:lineRule="exact"/>
              <w:rPr>
                <w:sz w:val="20"/>
                <w:szCs w:val="20"/>
                <w:color w:val="auto"/>
              </w:rPr>
            </w:pPr>
            <w:r>
              <w:rPr>
                <w:rFonts w:ascii="Arial" w:cs="Arial" w:eastAsia="Arial" w:hAnsi="Arial"/>
                <w:sz w:val="17"/>
                <w:szCs w:val="17"/>
                <w:color w:val="auto"/>
              </w:rPr>
              <w:t>Share</w:t>
            </w:r>
          </w:p>
        </w:tc>
      </w:tr>
      <w:tr>
        <w:trPr>
          <w:trHeight w:val="207"/>
        </w:trPr>
        <w:tc>
          <w:tcPr>
            <w:tcW w:w="4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8"/>
                <w:szCs w:val="18"/>
                <w:color w:val="auto"/>
              </w:rPr>
            </w:pPr>
          </w:p>
        </w:tc>
      </w:tr>
      <w:tr>
        <w:trPr>
          <w:trHeight w:val="183"/>
        </w:trPr>
        <w:tc>
          <w:tcPr>
            <w:tcW w:w="75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3160" w:type="dxa"/>
            <w:vAlign w:val="bottom"/>
            <w:gridSpan w:val="3"/>
            <w:shd w:val="clear" w:color="auto" w:fill="CCEEFF"/>
          </w:tcPr>
          <w:p>
            <w:pPr>
              <w:jc w:val="right"/>
              <w:ind w:right="1035"/>
              <w:spacing w:after="0" w:line="183"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r>
      <w:tr>
        <w:trPr>
          <w:trHeight w:val="189"/>
        </w:trPr>
        <w:tc>
          <w:tcPr>
            <w:tcW w:w="7500" w:type="dxa"/>
            <w:vAlign w:val="bottom"/>
            <w:gridSpan w:val="2"/>
          </w:tcPr>
          <w:p>
            <w:pPr>
              <w:spacing w:after="0" w:line="189"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12"/>
                <w:szCs w:val="12"/>
                <w:color w:val="auto"/>
              </w:rPr>
              <w:t>(1)</w:t>
            </w:r>
          </w:p>
        </w:tc>
        <w:tc>
          <w:tcPr>
            <w:tcW w:w="30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3160" w:type="dxa"/>
            <w:vAlign w:val="bottom"/>
            <w:gridSpan w:val="3"/>
          </w:tcPr>
          <w:p>
            <w:pPr>
              <w:jc w:val="right"/>
              <w:ind w:right="1035"/>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75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Proceeds, before expenses, to us</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3160" w:type="dxa"/>
            <w:vAlign w:val="bottom"/>
            <w:gridSpan w:val="3"/>
            <w:shd w:val="clear" w:color="auto" w:fill="CCEEFF"/>
          </w:tcPr>
          <w:p>
            <w:pPr>
              <w:jc w:val="right"/>
              <w:ind w:right="1035"/>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148"/>
        </w:trPr>
        <w:tc>
          <w:tcPr>
            <w:tcW w:w="4280" w:type="dxa"/>
            <w:vAlign w:val="bottom"/>
            <w:tcBorders>
              <w:bottom w:val="single" w:sz="8" w:color="auto"/>
            </w:tcBorders>
          </w:tcPr>
          <w:p>
            <w:pPr>
              <w:spacing w:after="0"/>
              <w:rPr>
                <w:sz w:val="12"/>
                <w:szCs w:val="12"/>
                <w:color w:val="auto"/>
              </w:rPr>
            </w:pPr>
          </w:p>
        </w:tc>
        <w:tc>
          <w:tcPr>
            <w:tcW w:w="3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184" w:lineRule="exact"/>
        <w:rPr>
          <w:sz w:val="24"/>
          <w:szCs w:val="24"/>
          <w:color w:val="auto"/>
        </w:rPr>
      </w:pPr>
    </w:p>
    <w:p>
      <w:pPr>
        <w:ind w:left="560" w:hanging="444"/>
        <w:spacing w:after="0"/>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for a description of the compensation payable to the underwriters.</w:t>
      </w:r>
    </w:p>
    <w:p>
      <w:pPr>
        <w:spacing w:after="0" w:line="96" w:lineRule="exact"/>
        <w:rPr>
          <w:sz w:val="24"/>
          <w:szCs w:val="24"/>
          <w:color w:val="auto"/>
        </w:rPr>
      </w:pPr>
    </w:p>
    <w:p>
      <w:pPr>
        <w:ind w:left="120" w:right="180" w:firstLine="440"/>
        <w:spacing w:after="0" w:line="245" w:lineRule="auto"/>
        <w:rPr>
          <w:sz w:val="20"/>
          <w:szCs w:val="20"/>
          <w:color w:val="auto"/>
        </w:rPr>
      </w:pPr>
      <w:r>
        <w:rPr>
          <w:rFonts w:ascii="Arial" w:cs="Arial" w:eastAsia="Arial" w:hAnsi="Arial"/>
          <w:sz w:val="17"/>
          <w:szCs w:val="17"/>
          <w:color w:val="auto"/>
        </w:rPr>
        <w:t>The underwriters have an option to purchase up to additional shares of our common stock from us at the public offering price, in each case less the underwriting discounts and commissions. The underwriters may exercise this right at any time within 30 days of the date of this prospectus supplement. See “Underwriting” for more information.</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Investing in our common stock involves risks.</w:t>
      </w:r>
    </w:p>
    <w:p>
      <w:pPr>
        <w:spacing w:after="0" w:line="104" w:lineRule="exact"/>
        <w:rPr>
          <w:sz w:val="24"/>
          <w:szCs w:val="24"/>
          <w:color w:val="auto"/>
        </w:rPr>
      </w:pPr>
    </w:p>
    <w:p>
      <w:pPr>
        <w:ind w:left="120" w:right="120" w:firstLine="440"/>
        <w:spacing w:after="0" w:line="265" w:lineRule="auto"/>
        <w:rPr>
          <w:sz w:val="20"/>
          <w:szCs w:val="20"/>
          <w:color w:val="auto"/>
        </w:rPr>
      </w:pPr>
      <w:r>
        <w:rPr>
          <w:rFonts w:ascii="Arial" w:cs="Arial" w:eastAsia="Arial" w:hAnsi="Arial"/>
          <w:sz w:val="17"/>
          <w:szCs w:val="17"/>
          <w:i w:val="1"/>
          <w:iCs w:val="1"/>
          <w:color w:val="auto"/>
        </w:rPr>
        <w:t>Please read “</w:t>
      </w:r>
      <w:r>
        <w:rPr>
          <w:rFonts w:ascii="Arial" w:cs="Arial" w:eastAsia="Arial" w:hAnsi="Arial"/>
          <w:sz w:val="17"/>
          <w:szCs w:val="17"/>
          <w:i w:val="1"/>
          <w:iCs w:val="1"/>
          <w:u w:val="single" w:color="auto"/>
          <w:color w:val="0000EE"/>
        </w:rPr>
        <w:t>Risk Factors</w:t>
      </w:r>
      <w:r>
        <w:rPr>
          <w:rFonts w:ascii="Arial" w:cs="Arial" w:eastAsia="Arial" w:hAnsi="Arial"/>
          <w:sz w:val="17"/>
          <w:szCs w:val="17"/>
          <w:i w:val="1"/>
          <w:iCs w:val="1"/>
          <w:color w:val="auto"/>
        </w:rPr>
        <w:t xml:space="preserve"> ” beginning on page S-9 of this prospectus supplement, and in the documents incorporated by reference into this prospectus supplement and the accompanying base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101600</wp:posOffset>
            </wp:positionV>
            <wp:extent cx="1114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5" w:lineRule="exact"/>
        <w:rPr>
          <w:sz w:val="24"/>
          <w:szCs w:val="24"/>
          <w:color w:val="auto"/>
        </w:rPr>
      </w:pPr>
    </w:p>
    <w:p>
      <w:pPr>
        <w:ind w:left="120" w:right="80" w:firstLine="440"/>
        <w:spacing w:after="0" w:line="285"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30" w:lineRule="exact"/>
        <w:rPr>
          <w:sz w:val="24"/>
          <w:szCs w:val="24"/>
          <w:color w:val="auto"/>
        </w:rPr>
      </w:pPr>
    </w:p>
    <w:p>
      <w:pPr>
        <w:ind w:left="560"/>
        <w:spacing w:after="0"/>
        <w:tabs>
          <w:tab w:leader="none" w:pos="8780" w:val="left"/>
        </w:tabs>
        <w:rPr>
          <w:sz w:val="20"/>
          <w:szCs w:val="20"/>
          <w:color w:val="auto"/>
        </w:rPr>
      </w:pPr>
      <w:r>
        <w:rPr>
          <w:rFonts w:ascii="Arial" w:cs="Arial" w:eastAsia="Arial" w:hAnsi="Arial"/>
          <w:sz w:val="17"/>
          <w:szCs w:val="17"/>
          <w:color w:val="auto"/>
        </w:rPr>
        <w:t>The underwriters expect to deliver the shares against payment in New York, New York, on or about August</w:t>
        <w:tab/>
        <w:t>, 2023.</w:t>
      </w:r>
    </w:p>
    <w:p>
      <w:pPr>
        <w:spacing w:after="0" w:line="9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Goldman Sachs &amp; Co.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147955</wp:posOffset>
            </wp:positionV>
            <wp:extent cx="1114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316" w:lineRule="exact"/>
        <w:rPr>
          <w:sz w:val="24"/>
          <w:szCs w:val="24"/>
          <w:color w:val="auto"/>
        </w:rPr>
      </w:pPr>
    </w:p>
    <w:p>
      <w:pPr>
        <w:jc w:val="center"/>
        <w:ind w:right="-99"/>
        <w:spacing w:after="0"/>
        <w:tabs>
          <w:tab w:leader="none" w:pos="220" w:val="left"/>
        </w:tabs>
        <w:rPr>
          <w:sz w:val="20"/>
          <w:szCs w:val="20"/>
          <w:color w:val="auto"/>
        </w:rPr>
      </w:pPr>
      <w:r>
        <w:rPr>
          <w:rFonts w:ascii="Arial" w:cs="Arial" w:eastAsia="Arial" w:hAnsi="Arial"/>
          <w:sz w:val="17"/>
          <w:szCs w:val="17"/>
          <w:color w:val="auto"/>
        </w:rPr>
        <w:t>Prospectus supplement dated August</w:t>
      </w:r>
      <w:r>
        <w:rPr>
          <w:sz w:val="20"/>
          <w:szCs w:val="20"/>
          <w:color w:val="auto"/>
        </w:rPr>
        <w:tab/>
      </w:r>
      <w:r>
        <w:rPr>
          <w:rFonts w:ascii="Arial" w:cs="Arial" w:eastAsia="Arial" w:hAnsi="Arial"/>
          <w:sz w:val="16"/>
          <w:szCs w:val="16"/>
          <w:color w:val="auto"/>
        </w:rPr>
        <w:t>, 2023.</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00" w:type="dxa"/>
            <w:vAlign w:val="bottom"/>
            <w:gridSpan w:val="30"/>
          </w:tcPr>
          <w:p>
            <w:pPr>
              <w:spacing w:after="0"/>
              <w:rPr>
                <w:sz w:val="20"/>
                <w:szCs w:val="20"/>
                <w:color w:val="auto"/>
              </w:rPr>
            </w:pPr>
            <w:r>
              <w:rPr>
                <w:rFonts w:ascii="Arial" w:cs="Arial" w:eastAsia="Arial" w:hAnsi="Arial"/>
                <w:sz w:val="18"/>
                <w:szCs w:val="18"/>
                <w:b w:val="1"/>
                <w:bCs w:val="1"/>
                <w:color w:val="0000EE"/>
              </w:rPr>
              <w:t>Table of Contents</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5"/>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3"/>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3"/>
          </w:tcPr>
          <w:p>
            <w:pPr>
              <w:jc w:val="center"/>
              <w:ind w:right="3580"/>
              <w:spacing w:after="0"/>
              <w:rPr>
                <w:sz w:val="20"/>
                <w:szCs w:val="20"/>
                <w:color w:val="auto"/>
              </w:rPr>
            </w:pPr>
            <w:r>
              <w:rPr>
                <w:rFonts w:ascii="Arial" w:cs="Arial" w:eastAsia="Arial" w:hAnsi="Arial"/>
                <w:sz w:val="18"/>
                <w:szCs w:val="18"/>
                <w:b w:val="1"/>
                <w:bCs w:val="1"/>
                <w:color w:val="auto"/>
                <w:w w:val="99"/>
              </w:rPr>
              <w:t>Prospectus Supplement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10180" w:type="dxa"/>
            <w:vAlign w:val="bottom"/>
            <w:gridSpan w:val="29"/>
          </w:tcPr>
          <w:p>
            <w:pPr>
              <w:spacing w:after="0"/>
              <w:rPr>
                <w:sz w:val="20"/>
                <w:szCs w:val="20"/>
                <w:color w:val="auto"/>
              </w:rPr>
            </w:pPr>
            <w:r>
              <w:rPr>
                <w:rFonts w:ascii="Arial" w:cs="Arial" w:eastAsia="Arial" w:hAnsi="Arial"/>
                <w:sz w:val="18"/>
                <w:szCs w:val="18"/>
                <w:color w:val="0000EE"/>
              </w:rPr>
              <w:t>ABOUT THIS PROSPECTUS SUPPLEMENT</w:t>
            </w:r>
          </w:p>
        </w:tc>
        <w:tc>
          <w:tcPr>
            <w:tcW w:w="4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S-3</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180" w:type="dxa"/>
            <w:vAlign w:val="bottom"/>
            <w:gridSpan w:val="29"/>
          </w:tcPr>
          <w:p>
            <w:pPr>
              <w:spacing w:after="0" w:line="182" w:lineRule="exact"/>
              <w:rPr>
                <w:sz w:val="20"/>
                <w:szCs w:val="20"/>
                <w:color w:val="auto"/>
              </w:rPr>
            </w:pPr>
            <w:r>
              <w:rPr>
                <w:rFonts w:ascii="Arial" w:cs="Arial" w:eastAsia="Arial" w:hAnsi="Arial"/>
                <w:sz w:val="18"/>
                <w:szCs w:val="18"/>
                <w:color w:val="0000EE"/>
              </w:rPr>
              <w:t>SPECIAL NOTE REGARDING FORWARD-LOOKING STATEMENTS</w:t>
            </w:r>
          </w:p>
        </w:tc>
        <w:tc>
          <w:tcPr>
            <w:tcW w:w="4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52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PROSPECTUS SUPPLEMENT SUMMARY</w:t>
            </w:r>
          </w:p>
        </w:tc>
        <w:tc>
          <w:tcPr>
            <w:tcW w:w="466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7"/>
              </w:rPr>
              <w:t>RISK FACTORS</w:t>
            </w:r>
          </w:p>
        </w:tc>
        <w:tc>
          <w:tcPr>
            <w:tcW w:w="2140" w:type="dxa"/>
            <w:vAlign w:val="bottom"/>
            <w:tcBorders>
              <w:top w:val="single" w:sz="8" w:color="0000EE"/>
            </w:tcBorders>
            <w:gridSpan w:val="12"/>
          </w:tcPr>
          <w:p>
            <w:pPr>
              <w:spacing w:after="0"/>
              <w:rPr>
                <w:sz w:val="15"/>
                <w:szCs w:val="15"/>
                <w:color w:val="auto"/>
              </w:rPr>
            </w:pPr>
          </w:p>
        </w:tc>
        <w:tc>
          <w:tcPr>
            <w:tcW w:w="6720" w:type="dxa"/>
            <w:vAlign w:val="bottom"/>
            <w:gridSpan w:val="7"/>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180" w:type="dxa"/>
            <w:vAlign w:val="bottom"/>
            <w:gridSpan w:val="29"/>
          </w:tcPr>
          <w:p>
            <w:pPr>
              <w:spacing w:after="0" w:line="182" w:lineRule="exact"/>
              <w:rPr>
                <w:sz w:val="20"/>
                <w:szCs w:val="20"/>
                <w:color w:val="auto"/>
              </w:rPr>
            </w:pPr>
            <w:r>
              <w:rPr>
                <w:rFonts w:ascii="Arial" w:cs="Arial" w:eastAsia="Arial" w:hAnsi="Arial"/>
                <w:sz w:val="18"/>
                <w:szCs w:val="18"/>
                <w:color w:val="0000EE"/>
              </w:rPr>
              <w:t>USE OF PROCEEDS</w:t>
            </w: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2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DIVIDEND POLICY</w:t>
            </w:r>
          </w:p>
        </w:tc>
        <w:tc>
          <w:tcPr>
            <w:tcW w:w="8460" w:type="dxa"/>
            <w:vAlign w:val="bottom"/>
            <w:gridSpan w:val="14"/>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6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DILUTION</w:t>
            </w:r>
          </w:p>
        </w:tc>
        <w:tc>
          <w:tcPr>
            <w:tcW w:w="700" w:type="dxa"/>
            <w:vAlign w:val="bottom"/>
            <w:tcBorders>
              <w:top w:val="single" w:sz="8" w:color="0000EE"/>
            </w:tcBorders>
            <w:gridSpan w:val="9"/>
          </w:tcPr>
          <w:p>
            <w:pPr>
              <w:spacing w:after="0"/>
              <w:rPr>
                <w:sz w:val="15"/>
                <w:szCs w:val="15"/>
                <w:color w:val="auto"/>
              </w:rPr>
            </w:pPr>
          </w:p>
        </w:tc>
        <w:tc>
          <w:tcPr>
            <w:tcW w:w="8620" w:type="dxa"/>
            <w:vAlign w:val="bottom"/>
            <w:gridSpan w:val="15"/>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780" w:type="dxa"/>
            <w:vAlign w:val="bottom"/>
            <w:tcBorders>
              <w:bottom w:val="single" w:sz="8" w:color="0000EE"/>
            </w:tcBorders>
            <w:gridSpan w:val="28"/>
          </w:tcPr>
          <w:p>
            <w:pPr>
              <w:spacing w:after="0" w:line="182" w:lineRule="exact"/>
              <w:rPr>
                <w:sz w:val="20"/>
                <w:szCs w:val="20"/>
                <w:color w:val="auto"/>
              </w:rPr>
            </w:pPr>
            <w:r>
              <w:rPr>
                <w:rFonts w:ascii="Arial" w:cs="Arial" w:eastAsia="Arial" w:hAnsi="Arial"/>
                <w:sz w:val="18"/>
                <w:szCs w:val="18"/>
                <w:color w:val="0000EE"/>
                <w:w w:val="99"/>
              </w:rPr>
              <w:t>MATERIAL UNITED STATES FEDERAL INCOME TAX CONSEQUENCES FOR NON-U.S. HOLDERS OF OUR COMMON</w:t>
            </w:r>
          </w:p>
        </w:tc>
        <w:tc>
          <w:tcPr>
            <w:tcW w:w="40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6"/>
              </w:rPr>
              <w:t>STOCK</w:t>
            </w:r>
          </w:p>
        </w:tc>
        <w:tc>
          <w:tcPr>
            <w:tcW w:w="9380" w:type="dxa"/>
            <w:vAlign w:val="bottom"/>
            <w:gridSpan w:val="26"/>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42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8"/>
              </w:rPr>
              <w:t>UNDERWRITING</w:t>
            </w:r>
          </w:p>
        </w:tc>
        <w:tc>
          <w:tcPr>
            <w:tcW w:w="8760" w:type="dxa"/>
            <w:vAlign w:val="bottom"/>
            <w:gridSpan w:val="18"/>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180" w:type="dxa"/>
            <w:vAlign w:val="bottom"/>
            <w:gridSpan w:val="29"/>
          </w:tcPr>
          <w:p>
            <w:pPr>
              <w:spacing w:after="0" w:line="182" w:lineRule="exact"/>
              <w:rPr>
                <w:sz w:val="20"/>
                <w:szCs w:val="20"/>
                <w:color w:val="auto"/>
              </w:rPr>
            </w:pPr>
            <w:r>
              <w:rPr>
                <w:rFonts w:ascii="Arial" w:cs="Arial" w:eastAsia="Arial" w:hAnsi="Arial"/>
                <w:sz w:val="18"/>
                <w:szCs w:val="18"/>
                <w:color w:val="0000EE"/>
              </w:rPr>
              <w:t>LEGAL MATTERS</w:t>
            </w: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EXPERTS</w:t>
            </w:r>
          </w:p>
        </w:tc>
        <w:tc>
          <w:tcPr>
            <w:tcW w:w="620" w:type="dxa"/>
            <w:vAlign w:val="bottom"/>
            <w:tcBorders>
              <w:top w:val="single" w:sz="8" w:color="0000EE"/>
            </w:tcBorders>
            <w:gridSpan w:val="8"/>
          </w:tcPr>
          <w:p>
            <w:pPr>
              <w:spacing w:after="0"/>
              <w:rPr>
                <w:sz w:val="15"/>
                <w:szCs w:val="15"/>
                <w:color w:val="auto"/>
              </w:rPr>
            </w:pPr>
          </w:p>
        </w:tc>
        <w:tc>
          <w:tcPr>
            <w:tcW w:w="8720" w:type="dxa"/>
            <w:vAlign w:val="bottom"/>
            <w:gridSpan w:val="17"/>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420" w:type="dxa"/>
            <w:vAlign w:val="bottom"/>
            <w:tcBorders>
              <w:bottom w:val="single" w:sz="8" w:color="0000EE"/>
            </w:tcBorders>
            <w:gridSpan w:val="26"/>
          </w:tcPr>
          <w:p>
            <w:pPr>
              <w:spacing w:after="0" w:line="182" w:lineRule="exact"/>
              <w:rPr>
                <w:sz w:val="20"/>
                <w:szCs w:val="20"/>
                <w:color w:val="auto"/>
              </w:rPr>
            </w:pPr>
            <w:r>
              <w:rPr>
                <w:rFonts w:ascii="Arial" w:cs="Arial" w:eastAsia="Arial" w:hAnsi="Arial"/>
                <w:sz w:val="18"/>
                <w:szCs w:val="18"/>
                <w:color w:val="0000EE"/>
                <w:w w:val="98"/>
              </w:rPr>
              <w:t>WHERE YOU CAN FIND ADDITIONAL INFORMATION</w:t>
            </w:r>
          </w:p>
        </w:tc>
        <w:tc>
          <w:tcPr>
            <w:tcW w:w="5760" w:type="dxa"/>
            <w:vAlign w:val="bottom"/>
            <w:gridSpan w:val="3"/>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180" w:type="dxa"/>
            <w:vAlign w:val="bottom"/>
            <w:gridSpan w:val="29"/>
          </w:tcPr>
          <w:p>
            <w:pPr>
              <w:spacing w:after="0" w:line="182" w:lineRule="exact"/>
              <w:rPr>
                <w:sz w:val="20"/>
                <w:szCs w:val="20"/>
                <w:color w:val="auto"/>
              </w:rPr>
            </w:pPr>
            <w:r>
              <w:rPr>
                <w:rFonts w:ascii="Arial" w:cs="Arial" w:eastAsia="Arial" w:hAnsi="Arial"/>
                <w:sz w:val="18"/>
                <w:szCs w:val="18"/>
                <w:color w:val="0000EE"/>
              </w:rPr>
              <w:t>INFORMATION INCORPORATED BY REFERENCE</w:t>
            </w: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532"/>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3"/>
          </w:tcPr>
          <w:p>
            <w:pPr>
              <w:jc w:val="center"/>
              <w:ind w:right="3580"/>
              <w:spacing w:after="0"/>
              <w:rPr>
                <w:sz w:val="20"/>
                <w:szCs w:val="20"/>
                <w:color w:val="auto"/>
              </w:rPr>
            </w:pPr>
            <w:r>
              <w:rPr>
                <w:rFonts w:ascii="Arial" w:cs="Arial" w:eastAsia="Arial" w:hAnsi="Arial"/>
                <w:sz w:val="18"/>
                <w:szCs w:val="18"/>
                <w:b w:val="1"/>
                <w:bCs w:val="1"/>
                <w:color w:val="auto"/>
                <w:w w:val="99"/>
              </w:rPr>
              <w:t>Prospectus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4260" w:type="dxa"/>
            <w:vAlign w:val="bottom"/>
            <w:gridSpan w:val="25"/>
            <w:vMerge w:val="restart"/>
          </w:tcPr>
          <w:p>
            <w:pPr>
              <w:spacing w:after="0"/>
              <w:rPr>
                <w:sz w:val="20"/>
                <w:szCs w:val="20"/>
                <w:color w:val="auto"/>
              </w:rPr>
            </w:pPr>
            <w:r>
              <w:rPr>
                <w:rFonts w:ascii="Arial" w:cs="Arial" w:eastAsia="Arial" w:hAnsi="Arial"/>
                <w:sz w:val="18"/>
                <w:szCs w:val="18"/>
                <w:color w:val="0000EE"/>
                <w:w w:val="99"/>
              </w:rPr>
              <w:t>Special Note Regarding Forward-Looking Statements</w:t>
            </w:r>
          </w:p>
        </w:tc>
        <w:tc>
          <w:tcPr>
            <w:tcW w:w="5920" w:type="dxa"/>
            <w:vAlign w:val="bottom"/>
            <w:gridSpan w:val="4"/>
            <w:vMerge w:val="restart"/>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4"/>
                <w:szCs w:val="14"/>
                <w:color w:val="auto"/>
              </w:rPr>
            </w:pPr>
          </w:p>
        </w:tc>
        <w:tc>
          <w:tcPr>
            <w:tcW w:w="4260" w:type="dxa"/>
            <w:vAlign w:val="bottom"/>
            <w:tcBorders>
              <w:bottom w:val="single" w:sz="8" w:color="0000EE"/>
            </w:tcBorders>
            <w:gridSpan w:val="25"/>
            <w:vMerge w:val="continue"/>
          </w:tcPr>
          <w:p>
            <w:pPr>
              <w:spacing w:after="0"/>
              <w:rPr>
                <w:sz w:val="14"/>
                <w:szCs w:val="14"/>
                <w:color w:val="auto"/>
              </w:rPr>
            </w:pPr>
          </w:p>
        </w:tc>
        <w:tc>
          <w:tcPr>
            <w:tcW w:w="59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180" w:type="dxa"/>
            <w:vAlign w:val="bottom"/>
            <w:gridSpan w:val="29"/>
          </w:tcPr>
          <w:p>
            <w:pPr>
              <w:spacing w:after="0" w:line="182" w:lineRule="exact"/>
              <w:rPr>
                <w:sz w:val="20"/>
                <w:szCs w:val="20"/>
                <w:color w:val="auto"/>
              </w:rPr>
            </w:pPr>
            <w:r>
              <w:rPr>
                <w:rFonts w:ascii="Arial" w:cs="Arial" w:eastAsia="Arial" w:hAnsi="Arial"/>
                <w:sz w:val="18"/>
                <w:szCs w:val="18"/>
                <w:color w:val="0000EE"/>
              </w:rPr>
              <w:t>About This Prospectus</w:t>
            </w: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The Company</w:t>
            </w:r>
          </w:p>
        </w:tc>
        <w:tc>
          <w:tcPr>
            <w:tcW w:w="8380" w:type="dxa"/>
            <w:vAlign w:val="bottom"/>
            <w:gridSpan w:val="13"/>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7"/>
              </w:rPr>
              <w:t>Risk Factors</w:t>
            </w:r>
          </w:p>
        </w:tc>
        <w:tc>
          <w:tcPr>
            <w:tcW w:w="120" w:type="dxa"/>
            <w:vAlign w:val="bottom"/>
            <w:tcBorders>
              <w:top w:val="single" w:sz="8" w:color="0000EE"/>
            </w:tcBorders>
            <w:gridSpan w:val="2"/>
          </w:tcPr>
          <w:p>
            <w:pPr>
              <w:spacing w:after="0"/>
              <w:rPr>
                <w:sz w:val="15"/>
                <w:szCs w:val="15"/>
                <w:color w:val="auto"/>
              </w:rPr>
            </w:pPr>
          </w:p>
        </w:tc>
        <w:tc>
          <w:tcPr>
            <w:tcW w:w="9060" w:type="dxa"/>
            <w:vAlign w:val="bottom"/>
            <w:gridSpan w:val="21"/>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180" w:type="dxa"/>
            <w:vAlign w:val="bottom"/>
            <w:gridSpan w:val="29"/>
          </w:tcPr>
          <w:p>
            <w:pPr>
              <w:spacing w:after="0" w:line="182" w:lineRule="exact"/>
              <w:rPr>
                <w:sz w:val="20"/>
                <w:szCs w:val="20"/>
                <w:color w:val="auto"/>
              </w:rPr>
            </w:pPr>
            <w:r>
              <w:rPr>
                <w:rFonts w:ascii="Arial" w:cs="Arial" w:eastAsia="Arial" w:hAnsi="Arial"/>
                <w:sz w:val="18"/>
                <w:szCs w:val="18"/>
                <w:color w:val="0000EE"/>
              </w:rPr>
              <w:t>Use of Proceeds</w:t>
            </w: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20" w:type="dxa"/>
            <w:vAlign w:val="bottom"/>
            <w:gridSpan w:val="8"/>
          </w:tcPr>
          <w:p>
            <w:pPr>
              <w:spacing w:after="0" w:line="20" w:lineRule="exact"/>
              <w:rPr>
                <w:sz w:val="1"/>
                <w:szCs w:val="1"/>
                <w:color w:val="auto"/>
              </w:rPr>
            </w:pPr>
          </w:p>
        </w:tc>
        <w:tc>
          <w:tcPr>
            <w:tcW w:w="7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180" w:type="dxa"/>
            <w:vAlign w:val="bottom"/>
            <w:gridSpan w:val="29"/>
          </w:tcPr>
          <w:p>
            <w:pPr>
              <w:spacing w:after="0" w:line="182" w:lineRule="exact"/>
              <w:rPr>
                <w:sz w:val="20"/>
                <w:szCs w:val="20"/>
                <w:color w:val="auto"/>
              </w:rPr>
            </w:pPr>
            <w:r>
              <w:rPr>
                <w:rFonts w:ascii="Arial" w:cs="Arial" w:eastAsia="Arial" w:hAnsi="Arial"/>
                <w:sz w:val="18"/>
                <w:szCs w:val="18"/>
                <w:color w:val="0000EE"/>
              </w:rPr>
              <w:t>Selling Securityholders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Plan of Distribution</w:t>
            </w:r>
          </w:p>
        </w:tc>
        <w:tc>
          <w:tcPr>
            <w:tcW w:w="8360" w:type="dxa"/>
            <w:vAlign w:val="bottom"/>
            <w:gridSpan w:val="12"/>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20" w:type="dxa"/>
            <w:vAlign w:val="bottom"/>
            <w:gridSpan w:val="8"/>
          </w:tcPr>
          <w:p>
            <w:pPr>
              <w:spacing w:after="0" w:line="20" w:lineRule="exact"/>
              <w:rPr>
                <w:sz w:val="1"/>
                <w:szCs w:val="1"/>
                <w:color w:val="auto"/>
              </w:rPr>
            </w:pPr>
          </w:p>
        </w:tc>
        <w:tc>
          <w:tcPr>
            <w:tcW w:w="7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180" w:type="dxa"/>
            <w:vAlign w:val="bottom"/>
            <w:gridSpan w:val="29"/>
          </w:tcPr>
          <w:p>
            <w:pPr>
              <w:spacing w:after="0" w:line="182" w:lineRule="exact"/>
              <w:rPr>
                <w:sz w:val="20"/>
                <w:szCs w:val="20"/>
                <w:color w:val="auto"/>
              </w:rPr>
            </w:pPr>
            <w:r>
              <w:rPr>
                <w:rFonts w:ascii="Arial" w:cs="Arial" w:eastAsia="Arial" w:hAnsi="Arial"/>
                <w:sz w:val="18"/>
                <w:szCs w:val="18"/>
                <w:color w:val="0000EE"/>
              </w:rPr>
              <w:t>Description of Capital Stock</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780" w:type="dxa"/>
            <w:vAlign w:val="bottom"/>
            <w:gridSpan w:val="11"/>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20" w:type="dxa"/>
            <w:vAlign w:val="bottom"/>
            <w:gridSpan w:val="8"/>
          </w:tcPr>
          <w:p>
            <w:pPr>
              <w:spacing w:after="0" w:line="20" w:lineRule="exact"/>
              <w:rPr>
                <w:sz w:val="1"/>
                <w:szCs w:val="1"/>
                <w:color w:val="auto"/>
              </w:rPr>
            </w:pPr>
          </w:p>
        </w:tc>
        <w:tc>
          <w:tcPr>
            <w:tcW w:w="7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180" w:type="dxa"/>
            <w:vAlign w:val="bottom"/>
            <w:gridSpan w:val="29"/>
          </w:tcPr>
          <w:p>
            <w:pPr>
              <w:spacing w:after="0" w:line="182" w:lineRule="exact"/>
              <w:rPr>
                <w:sz w:val="20"/>
                <w:szCs w:val="20"/>
                <w:color w:val="auto"/>
              </w:rPr>
            </w:pPr>
            <w:r>
              <w:rPr>
                <w:rFonts w:ascii="Arial" w:cs="Arial" w:eastAsia="Arial" w:hAnsi="Arial"/>
                <w:sz w:val="18"/>
                <w:szCs w:val="18"/>
                <w:color w:val="0000EE"/>
              </w:rPr>
              <w:t>Description of Debt Securities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Description of Warrants</w:t>
            </w:r>
          </w:p>
        </w:tc>
        <w:tc>
          <w:tcPr>
            <w:tcW w:w="7820" w:type="dxa"/>
            <w:vAlign w:val="bottom"/>
            <w:gridSpan w:val="9"/>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6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Legal Matters</w:t>
            </w:r>
          </w:p>
        </w:tc>
        <w:tc>
          <w:tcPr>
            <w:tcW w:w="8320" w:type="dxa"/>
            <w:vAlign w:val="bottom"/>
            <w:gridSpan w:val="11"/>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Experts</w:t>
            </w:r>
          </w:p>
        </w:tc>
        <w:tc>
          <w:tcPr>
            <w:tcW w:w="9100" w:type="dxa"/>
            <w:vAlign w:val="bottom"/>
            <w:gridSpan w:val="22"/>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560" w:type="dxa"/>
            <w:vAlign w:val="bottom"/>
            <w:gridSpan w:val="1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120" w:type="dxa"/>
            <w:vAlign w:val="bottom"/>
            <w:gridSpan w:val="8"/>
          </w:tcPr>
          <w:p>
            <w:pPr>
              <w:spacing w:after="0" w:line="20" w:lineRule="exact"/>
              <w:rPr>
                <w:sz w:val="1"/>
                <w:szCs w:val="1"/>
                <w:color w:val="auto"/>
              </w:rPr>
            </w:pPr>
          </w:p>
        </w:tc>
        <w:tc>
          <w:tcPr>
            <w:tcW w:w="78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180" w:type="dxa"/>
            <w:vAlign w:val="bottom"/>
            <w:gridSpan w:val="29"/>
          </w:tcPr>
          <w:p>
            <w:pPr>
              <w:spacing w:after="0" w:line="182" w:lineRule="exact"/>
              <w:rPr>
                <w:sz w:val="20"/>
                <w:szCs w:val="20"/>
                <w:color w:val="auto"/>
              </w:rPr>
            </w:pPr>
            <w:r>
              <w:rPr>
                <w:rFonts w:ascii="Arial" w:cs="Arial" w:eastAsia="Arial" w:hAnsi="Arial"/>
                <w:sz w:val="18"/>
                <w:szCs w:val="18"/>
                <w:color w:val="0000EE"/>
              </w:rPr>
              <w:t>Where You Can Find More Information</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06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Incorporation by Reference</w:t>
            </w:r>
          </w:p>
        </w:tc>
        <w:tc>
          <w:tcPr>
            <w:tcW w:w="7120" w:type="dxa"/>
            <w:vAlign w:val="bottom"/>
            <w:gridSpan w:val="8"/>
          </w:tcPr>
          <w:p>
            <w:pPr>
              <w:spacing w:after="0"/>
              <w:rPr>
                <w:sz w:val="15"/>
                <w:szCs w:val="15"/>
                <w:color w:val="auto"/>
              </w:rPr>
            </w:pPr>
          </w:p>
        </w:tc>
        <w:tc>
          <w:tcPr>
            <w:tcW w:w="7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120" w:firstLine="440"/>
        <w:spacing w:after="0" w:line="239" w:lineRule="auto"/>
        <w:rPr>
          <w:sz w:val="20"/>
          <w:szCs w:val="20"/>
          <w:color w:val="auto"/>
        </w:rPr>
      </w:pPr>
      <w:r>
        <w:rPr>
          <w:rFonts w:ascii="Arial" w:cs="Arial" w:eastAsia="Arial" w:hAnsi="Arial"/>
          <w:sz w:val="18"/>
          <w:szCs w:val="18"/>
          <w:color w:val="auto"/>
        </w:rPr>
        <w:t>We have not authorized any person to provide you with any information other than that contained or incorporated by reference in this prospectus supplement and the accompanying prospectus and any free writing prospectus prepared by or on behalf of us. We take no responsibility for, and can provide no assurance as to the reliability of, any other information that others may give you. We are not making an offer to sell these securities in any jurisdiction where the offer or sale is not permitted. You should not assume that the information contained in or incorporated by reference in this prospectus supplement or any prospectus supplement or in any such free writing prospectus is accurate as of any date other than their respective dates.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00"/>
          </w:cols>
          <w:pgMar w:left="320" w:top="662"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2" w:lineRule="exact"/>
        <w:rPr>
          <w:sz w:val="20"/>
          <w:szCs w:val="20"/>
          <w:color w:val="auto"/>
        </w:rPr>
      </w:pPr>
    </w:p>
    <w:p>
      <w:pPr>
        <w:ind w:left="120" w:right="180" w:firstLine="440"/>
        <w:spacing w:after="0" w:line="241"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of shares of our common stock and also adds to and updates information contained in the accompanying base prospectus and the documents incorporated by reference into this prospectus supplement and the accompanying base prospectus. The second part, the accompanying base prospectus, gives more general information, some of which may not apply to this offering. You should read both this prospectus supplement and the accompanying base prospectus before deciding to invest in our common stock.</w:t>
      </w:r>
    </w:p>
    <w:p>
      <w:pPr>
        <w:spacing w:after="0" w:line="189"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base prospectus or in any document incorporated by reference in this prospectus supplement having an earlier date than the date of this prospectus supplement, on the other hand, you should rely on the information in this prospectus supplement. You should also read and consider the additional information under the captions “</w:t>
      </w:r>
      <w:r>
        <w:rPr>
          <w:rFonts w:ascii="Arial" w:cs="Arial" w:eastAsia="Arial" w:hAnsi="Arial"/>
          <w:sz w:val="18"/>
          <w:szCs w:val="18"/>
          <w:i w:val="1"/>
          <w:iCs w:val="1"/>
          <w:color w:val="auto"/>
        </w:rPr>
        <w:t>Where You Can Find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in this prospectus supplement. In this prospectus supplement, as permitted by law, we “incorporate by reference” information from other documents that we file with the Securities and Exchange Commission, or the SEC. This means that we can disclose important information to you by referring you to those documents. The information incorporated by reference is considered to be a part of this prospectus supplement and the accompanying base prospectus and should be read with the same care. When we update the information contained in documents that have been incorporated by reference by making future filings with the SEC, the information included or incorporated by reference in this prospectus supplement is considered to be automatically updated and superseded.</w:t>
      </w:r>
    </w:p>
    <w:p>
      <w:pPr>
        <w:spacing w:after="0" w:line="1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base prospectus. Neither we nor the underwriters have authorized anyone to provide you with different information. If anyone provides you with different or inconsistent information, you should not rely on it. We and the underwriters are offering to sell, and seeking offers to buy, shares of our common stock only in jurisdictions where offers and sales are permitted. The distribution of this prospectus supplement and the accompanying base prospectus and the offering of our common stock in certain jurisdictions may be restricted by law. Persons outside the United States who come into possession of this prospectus supplement and the accompanying base prospectus must inform themselves about, and observe any restrictions relating to, the offering of our common stock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195"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You should not consider any information in this prospectus supplement or the accompanying base prospectus to be investment, legal or tax advice. You should consult your own counsel, accountants and other advisors for legal, tax, business, financial and related advice regarding the purchase of our common stock offered by this prospectus supplement. If the description of the offering varies between this prospectus supplement and the accompanying base prospectus, you should rely on the information contained in this prospectus supplement.</w:t>
      </w:r>
    </w:p>
    <w:p>
      <w:pPr>
        <w:spacing w:after="0" w:line="189" w:lineRule="exact"/>
        <w:rPr>
          <w:sz w:val="20"/>
          <w:szCs w:val="20"/>
          <w:color w:val="auto"/>
        </w:rPr>
      </w:pPr>
    </w:p>
    <w:p>
      <w:pPr>
        <w:ind w:left="120" w:right="240" w:firstLine="440"/>
        <w:spacing w:after="0" w:line="260" w:lineRule="auto"/>
        <w:rPr>
          <w:sz w:val="20"/>
          <w:szCs w:val="20"/>
          <w:color w:val="auto"/>
        </w:rPr>
      </w:pPr>
      <w:r>
        <w:rPr>
          <w:rFonts w:ascii="Arial" w:cs="Arial" w:eastAsia="Arial" w:hAnsi="Arial"/>
          <w:sz w:val="18"/>
          <w:szCs w:val="18"/>
          <w:color w:val="auto"/>
        </w:rPr>
        <w:t>Unless the context otherwise requires, we use the terms “Flywire,” the “Company,” “we,” “us,” “our” and similar designations in this prospectus to refer to Flywire Corporation and its subsidiaries.</w:t>
      </w:r>
    </w:p>
    <w:p>
      <w:pPr>
        <w:spacing w:after="0" w:line="173" w:lineRule="exact"/>
        <w:rPr>
          <w:sz w:val="20"/>
          <w:szCs w:val="20"/>
          <w:color w:val="auto"/>
        </w:rPr>
      </w:pPr>
    </w:p>
    <w:p>
      <w:pPr>
        <w:ind w:left="120" w:firstLine="440"/>
        <w:spacing w:after="0" w:line="260" w:lineRule="auto"/>
        <w:rPr>
          <w:sz w:val="20"/>
          <w:szCs w:val="20"/>
          <w:color w:val="auto"/>
        </w:rPr>
      </w:pPr>
      <w:r>
        <w:rPr>
          <w:rFonts w:ascii="Arial" w:cs="Arial" w:eastAsia="Arial" w:hAnsi="Arial"/>
          <w:sz w:val="18"/>
          <w:szCs w:val="18"/>
          <w:color w:val="auto"/>
        </w:rPr>
        <w:t>Flywire, the Flywire logo, and other registered or common law trade names, trademarks, or service marks of Flywire appearing in this prospectus supplement are the property of Flywire. This prospectus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675"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line="223" w:lineRule="auto"/>
        <w:rPr>
          <w:sz w:val="20"/>
          <w:szCs w:val="20"/>
          <w:color w:val="auto"/>
        </w:rPr>
      </w:pPr>
      <w:r>
        <w:rPr>
          <w:rFonts w:ascii="Arial" w:cs="Arial" w:eastAsia="Arial" w:hAnsi="Arial"/>
          <w:sz w:val="18"/>
          <w:szCs w:val="18"/>
          <w:color w:val="auto"/>
        </w:rPr>
        <w:t xml:space="preserve">supplement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prospectus supplement are the property of their respective holders. Solely for convenience, our trademarks and tradenames referred to in this prospectus supplement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675"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2" w:lineRule="exact"/>
        <w:rPr>
          <w:sz w:val="20"/>
          <w:szCs w:val="20"/>
          <w:color w:val="auto"/>
        </w:rPr>
      </w:pPr>
    </w:p>
    <w:p>
      <w:pPr>
        <w:ind w:left="300" w:right="40" w:firstLine="426"/>
        <w:spacing w:after="0" w:line="241" w:lineRule="auto"/>
        <w:rPr>
          <w:sz w:val="20"/>
          <w:szCs w:val="20"/>
          <w:color w:val="auto"/>
        </w:rPr>
      </w:pPr>
      <w:r>
        <w:rPr>
          <w:rFonts w:ascii="Arial" w:cs="Arial" w:eastAsia="Arial" w:hAnsi="Arial"/>
          <w:sz w:val="18"/>
          <w:szCs w:val="18"/>
          <w:color w:val="auto"/>
        </w:rPr>
        <w:t>This prospectus supplement, the accompanying base prospectus and the documents incorporated by reference herein and therein include statements that constitute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 are forward-looking statements.</w:t>
      </w:r>
    </w:p>
    <w:p>
      <w:pPr>
        <w:spacing w:after="0" w:line="189" w:lineRule="exact"/>
        <w:rPr>
          <w:sz w:val="20"/>
          <w:szCs w:val="20"/>
          <w:color w:val="auto"/>
        </w:rPr>
      </w:pPr>
    </w:p>
    <w:p>
      <w:pPr>
        <w:ind w:left="300" w:right="140" w:firstLine="426"/>
        <w:spacing w:after="0" w:line="247" w:lineRule="auto"/>
        <w:rPr>
          <w:sz w:val="20"/>
          <w:szCs w:val="20"/>
          <w:color w:val="auto"/>
        </w:rPr>
      </w:pPr>
      <w:r>
        <w:rPr>
          <w:rFonts w:ascii="Arial" w:cs="Arial" w:eastAsia="Arial" w:hAnsi="Arial"/>
          <w:sz w:val="18"/>
          <w:szCs w:val="18"/>
          <w:color w:val="auto"/>
        </w:rPr>
        <w:t>Forward-looking statements are often identified by the use of words such as, but not limited to, “believe,” “may,” “will,” “potentially,” “estimate,” “continue,” “anticipate,” “intend,” “could,” “would,” “project,” “target,” “plan,” “expect,” or the negative of these terms or other similar expressions that concern our expectations, strategy, plans or intentions.</w:t>
      </w:r>
    </w:p>
    <w:p>
      <w:pPr>
        <w:spacing w:after="0" w:line="184"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Forward-looking statements are not guarantees of future performance and involve risks and uncertainties. The forward-looking statements contained in this prospectus supplement and the information incorporated by reference in this prospectus supplement are based on information currently available to us and expectations and assumptions that we deem reasonable at the time the statements were made. We do not undertake any obligation to update any forward-looking statements in this prospectus supplement and the information incorporated by reference in this prospectus supplement or in any of our other communications, except as required by law. Such forward-looking statements are subject to risks, uncertainties and other important factors that could cause actual results and the timing of certain events to differ materially from future results expressed or implied by such forward-looking statements. All such forward-looking statements should be read as of the time the statements were made and with the recognition that these forward-looking statements may not be complete or accurate at a later date.</w:t>
      </w:r>
    </w:p>
    <w:p>
      <w:pPr>
        <w:spacing w:after="0" w:line="191" w:lineRule="exact"/>
        <w:rPr>
          <w:sz w:val="20"/>
          <w:szCs w:val="20"/>
          <w:color w:val="auto"/>
        </w:rPr>
      </w:pPr>
    </w:p>
    <w:p>
      <w:pPr>
        <w:ind w:left="300" w:right="540" w:firstLine="426"/>
        <w:spacing w:after="0" w:line="243" w:lineRule="auto"/>
        <w:rPr>
          <w:sz w:val="20"/>
          <w:szCs w:val="20"/>
          <w:color w:val="auto"/>
        </w:rPr>
      </w:pPr>
      <w:r>
        <w:rPr>
          <w:rFonts w:ascii="Arial" w:cs="Arial" w:eastAsia="Arial" w:hAnsi="Arial"/>
          <w:sz w:val="18"/>
          <w:szCs w:val="18"/>
          <w:color w:val="auto"/>
        </w:rPr>
        <w:t>Factors that could cause or contribute to such differences include, but are not limited to, those identified below, and those discussed in the section titled “Risk Factors” of any Annual Report on Form 10-K and any Quarterly Report on Form 10-Q incorporated by reference in this prospectus supplement and in the section of any related prospectus supplement entitled “Risk Factors.”</w:t>
      </w:r>
    </w:p>
    <w:p>
      <w:pPr>
        <w:spacing w:after="0" w:line="188" w:lineRule="exact"/>
        <w:rPr>
          <w:sz w:val="20"/>
          <w:szCs w:val="20"/>
          <w:color w:val="auto"/>
        </w:rPr>
      </w:pPr>
    </w:p>
    <w:p>
      <w:pPr>
        <w:ind w:left="300" w:right="60" w:firstLine="426"/>
        <w:spacing w:after="0" w:line="260" w:lineRule="auto"/>
        <w:rPr>
          <w:sz w:val="20"/>
          <w:szCs w:val="20"/>
          <w:color w:val="auto"/>
        </w:rPr>
      </w:pPr>
      <w:r>
        <w:rPr>
          <w:rFonts w:ascii="Arial" w:cs="Arial" w:eastAsia="Arial" w:hAnsi="Arial"/>
          <w:sz w:val="18"/>
          <w:szCs w:val="18"/>
          <w:color w:val="auto"/>
        </w:rPr>
        <w:t>Examples of forward-looking statements in this prospectus supplement, the accompanying base prospectus and the documents incorporated by reference herein and therein include, among others, statements we make regarding:</w:t>
      </w:r>
    </w:p>
    <w:p>
      <w:pPr>
        <w:spacing w:after="0" w:line="200" w:lineRule="exact"/>
        <w:rPr>
          <w:sz w:val="20"/>
          <w:szCs w:val="20"/>
          <w:color w:val="auto"/>
        </w:rPr>
      </w:pPr>
    </w:p>
    <w:p>
      <w:pPr>
        <w:ind w:left="1140" w:right="600" w:hanging="419"/>
        <w:spacing w:after="0" w:line="269" w:lineRule="auto"/>
        <w:tabs>
          <w:tab w:leader="none" w:pos="11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costs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193" w:lineRule="exact"/>
        <w:rPr>
          <w:rFonts w:ascii="Arial" w:cs="Arial" w:eastAsia="Arial" w:hAnsi="Arial"/>
          <w:sz w:val="17"/>
          <w:szCs w:val="17"/>
          <w:color w:val="auto"/>
        </w:rPr>
      </w:pPr>
    </w:p>
    <w:p>
      <w:pPr>
        <w:ind w:left="1140" w:hanging="419"/>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cross-border expansion plans and ability to expand internationally;</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and ability to access, our cash and cash equivalents to meet our liquidity needs;</w:t>
      </w:r>
    </w:p>
    <w:p>
      <w:pPr>
        <w:spacing w:after="0" w:line="3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20"/>
          </w:cols>
          <w:pgMar w:left="320" w:top="675" w:right="6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19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8192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140" w:right="540" w:hanging="419"/>
        <w:spacing w:after="0" w:line="26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foreign currency exchange rate, inflation, banking, legal, social and health risks and public health measures that may affect our business or the global economy;</w:t>
      </w:r>
    </w:p>
    <w:p>
      <w:pPr>
        <w:spacing w:after="0" w:line="199"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grow the payment volume that we process;</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client base;</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financial institutions and strategic partners;</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new client verticals, including our relatively new business-to-business sector;</w:t>
      </w:r>
    </w:p>
    <w:p>
      <w:pPr>
        <w:spacing w:after="0" w:line="238" w:lineRule="exact"/>
        <w:rPr>
          <w:rFonts w:ascii="Arial" w:cs="Arial" w:eastAsia="Arial" w:hAnsi="Arial"/>
          <w:sz w:val="18"/>
          <w:szCs w:val="18"/>
          <w:color w:val="auto"/>
        </w:rPr>
      </w:pPr>
    </w:p>
    <w:p>
      <w:pPr>
        <w:ind w:left="1140" w:right="320" w:hanging="419"/>
        <w:spacing w:after="0" w:line="26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99"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litigation and legal and regulatory matters;</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ability to meet existing performance obligations and maintain the operability of our solutions;</w:t>
      </w:r>
    </w:p>
    <w:p>
      <w:pPr>
        <w:spacing w:after="0" w:line="250" w:lineRule="exact"/>
        <w:rPr>
          <w:rFonts w:ascii="Arial" w:cs="Arial" w:eastAsia="Arial" w:hAnsi="Arial"/>
          <w:sz w:val="17"/>
          <w:szCs w:val="17"/>
          <w:color w:val="auto"/>
        </w:rPr>
      </w:pPr>
    </w:p>
    <w:p>
      <w:pPr>
        <w:ind w:left="1140" w:right="120" w:hanging="419"/>
        <w:spacing w:after="0" w:line="26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199"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38" w:lineRule="exact"/>
        <w:rPr>
          <w:rFonts w:ascii="Arial" w:cs="Arial" w:eastAsia="Arial" w:hAnsi="Arial"/>
          <w:sz w:val="18"/>
          <w:szCs w:val="18"/>
          <w:color w:val="auto"/>
        </w:rPr>
      </w:pPr>
    </w:p>
    <w:p>
      <w:pPr>
        <w:ind w:left="1140" w:right="580" w:hanging="419"/>
        <w:spacing w:after="0" w:line="26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changes in U.S. federal income or other tax laws or the interpretation of tax laws, including the recently enacted Inflation Reduction Act of 2022;</w:t>
      </w:r>
    </w:p>
    <w:p>
      <w:pPr>
        <w:spacing w:after="0" w:line="199"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solutions;</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market prices of our common stock; and</w:t>
      </w:r>
    </w:p>
    <w:p>
      <w:pPr>
        <w:spacing w:after="0" w:line="238" w:lineRule="exact"/>
        <w:rPr>
          <w:rFonts w:ascii="Arial" w:cs="Arial" w:eastAsia="Arial" w:hAnsi="Arial"/>
          <w:sz w:val="18"/>
          <w:szCs w:val="18"/>
          <w:color w:val="auto"/>
        </w:rPr>
      </w:pPr>
    </w:p>
    <w:p>
      <w:pPr>
        <w:ind w:left="1140" w:hanging="4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proceeds from this offering.</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675" w:right="6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41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37414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firstLine="426"/>
        <w:spacing w:after="0" w:line="247" w:lineRule="auto"/>
        <w:rPr>
          <w:sz w:val="20"/>
          <w:szCs w:val="20"/>
          <w:color w:val="auto"/>
        </w:rPr>
      </w:pPr>
      <w:r>
        <w:rPr>
          <w:rFonts w:ascii="Arial" w:cs="Arial" w:eastAsia="Arial" w:hAnsi="Arial"/>
          <w:sz w:val="18"/>
          <w:szCs w:val="18"/>
          <w:color w:val="auto"/>
        </w:rPr>
        <w:t>Investors are cautioned that such forward-looking statements are only predictions, which may differ materially from actual results or future events. Although we believe that our plans, intentions and expectations reflected in the forward-looking statements are reasonable, we cannot be sure that they will be achieved.</w:t>
      </w:r>
    </w:p>
    <w:p>
      <w:pPr>
        <w:spacing w:after="0" w:line="184" w:lineRule="exact"/>
        <w:rPr>
          <w:sz w:val="20"/>
          <w:szCs w:val="20"/>
          <w:color w:val="auto"/>
        </w:rPr>
      </w:pPr>
    </w:p>
    <w:p>
      <w:pPr>
        <w:ind w:left="300" w:right="220" w:firstLine="426"/>
        <w:spacing w:after="0" w:line="241" w:lineRule="auto"/>
        <w:rPr>
          <w:sz w:val="20"/>
          <w:szCs w:val="20"/>
          <w:color w:val="auto"/>
        </w:rPr>
      </w:pPr>
      <w:r>
        <w:rPr>
          <w:rFonts w:ascii="Arial" w:cs="Arial" w:eastAsia="Arial" w:hAnsi="Arial"/>
          <w:sz w:val="18"/>
          <w:szCs w:val="18"/>
          <w:color w:val="auto"/>
        </w:rPr>
        <w:t>The factors and assumptions that could also cause our actual results to differ, perhaps materially, from those in the forward-looking statements are described in this prospectus supplement and the accompanying base prospectus and in our filings with the SEC incorporated by reference herein and therein under the caption “Risk Factors.” The occurrence of any of these risks and uncertainties may cause our actual results to differ materially from those anticipated in our forward-looking statements, which could have a material adverse effect on our business, results of operations and financial condition.</w:t>
      </w:r>
    </w:p>
    <w:p>
      <w:pPr>
        <w:spacing w:after="0" w:line="189" w:lineRule="exact"/>
        <w:rPr>
          <w:sz w:val="20"/>
          <w:szCs w:val="20"/>
          <w:color w:val="auto"/>
        </w:rPr>
      </w:pPr>
    </w:p>
    <w:p>
      <w:pPr>
        <w:ind w:left="300" w:right="120" w:firstLine="426"/>
        <w:spacing w:after="0" w:line="239" w:lineRule="auto"/>
        <w:rPr>
          <w:sz w:val="20"/>
          <w:szCs w:val="20"/>
          <w:color w:val="auto"/>
        </w:rPr>
      </w:pPr>
      <w:r>
        <w:rPr>
          <w:rFonts w:ascii="Arial" w:cs="Arial" w:eastAsia="Arial" w:hAnsi="Arial"/>
          <w:sz w:val="18"/>
          <w:szCs w:val="18"/>
          <w:color w:val="auto"/>
        </w:rPr>
        <w:t>These factors are not intended to represent a complete list of the general or specific factors that may affect us. It should be recognized that other factors, including general economic factors and business strategies, may be significant, presently or in the future, and the factors set forth or incorporated by reference in this prospectus supplement and the accompanying base prospectus may affect us to a greater extent than indicated. All forward-looking statements attributable to us or persons acting on our behalf are expressly qualified in their entirety by the cautionary statements set forth or incorporated by reference in this prospectus supplement and the accompanying base prospectus.</w:t>
      </w:r>
    </w:p>
    <w:p>
      <w:pPr>
        <w:spacing w:after="0" w:line="194" w:lineRule="exact"/>
        <w:rPr>
          <w:sz w:val="20"/>
          <w:szCs w:val="20"/>
          <w:color w:val="auto"/>
        </w:rPr>
      </w:pPr>
    </w:p>
    <w:p>
      <w:pPr>
        <w:ind w:left="300" w:right="160" w:firstLine="426"/>
        <w:spacing w:after="0" w:line="258" w:lineRule="auto"/>
        <w:rPr>
          <w:sz w:val="20"/>
          <w:szCs w:val="20"/>
          <w:color w:val="auto"/>
        </w:rPr>
      </w:pPr>
      <w:r>
        <w:rPr>
          <w:rFonts w:ascii="Arial" w:cs="Arial" w:eastAsia="Arial" w:hAnsi="Arial"/>
          <w:sz w:val="17"/>
          <w:szCs w:val="17"/>
          <w:color w:val="auto"/>
        </w:rPr>
        <w:t>All forward-looking statements included in this prospectus supplement, the accompanying base prospectus and our filings with the SEC incorporated by reference herein and therein are based on information available to us as of the date of this prospectus supplement and the accompanying base prospectus. Except as required by law, we undertake no obligation to update any forward-looking statement, whether as a result of new information, future events or otherwise. We claim the protection of the safe harbor for forward-looking statements contained in the Private Securities Litigation Reform Act of 1995 for all forward-looking statements.</w:t>
      </w:r>
    </w:p>
    <w:p>
      <w:pPr>
        <w:spacing w:after="0" w:line="178" w:lineRule="exact"/>
        <w:rPr>
          <w:sz w:val="20"/>
          <w:szCs w:val="20"/>
          <w:color w:val="auto"/>
        </w:rPr>
      </w:pPr>
    </w:p>
    <w:p>
      <w:pPr>
        <w:ind w:left="300" w:right="60" w:firstLine="426"/>
        <w:spacing w:after="0" w:line="243" w:lineRule="auto"/>
        <w:rPr>
          <w:sz w:val="20"/>
          <w:szCs w:val="20"/>
          <w:color w:val="auto"/>
        </w:rPr>
      </w:pPr>
      <w:r>
        <w:rPr>
          <w:rFonts w:ascii="Arial" w:cs="Arial" w:eastAsia="Arial" w:hAnsi="Arial"/>
          <w:sz w:val="18"/>
          <w:szCs w:val="18"/>
          <w:color w:val="auto"/>
        </w:rPr>
        <w:t>All forward-looking statements are further qualified by and should be read in conjunction with the risks described or referred to under the heading “Risk Factors” of this prospectus supplement and the accompanying base prospectus and contained in our Annual Report on Form 10-K for the year ended December 31, 2022, our Quarterly Report on Form 10-Q for the quarter ended June 30, 2023 and subsequent periodic filings with the SEC incorporated herein and therein by reference.</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20"/>
          </w:cols>
          <w:pgMar w:left="320" w:top="675" w:right="6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01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3016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2" w:lineRule="exact"/>
        <w:rPr>
          <w:sz w:val="20"/>
          <w:szCs w:val="20"/>
          <w:color w:val="auto"/>
        </w:rPr>
      </w:pPr>
    </w:p>
    <w:p>
      <w:pPr>
        <w:ind w:left="300" w:right="40" w:firstLine="426"/>
        <w:spacing w:after="0" w:line="239" w:lineRule="auto"/>
        <w:rPr>
          <w:sz w:val="20"/>
          <w:szCs w:val="20"/>
          <w:color w:val="auto"/>
        </w:rPr>
      </w:pPr>
      <w:r>
        <w:rPr>
          <w:rFonts w:ascii="Arial" w:cs="Arial" w:eastAsia="Arial" w:hAnsi="Arial"/>
          <w:sz w:val="18"/>
          <w:szCs w:val="18"/>
          <w:color w:val="auto"/>
        </w:rPr>
        <w:t>This summary contains a general summary of the information contained or incorporated by reference in this prospectus supplement and the accompanying base prospectus. The summary may not contain all of the information that is important to you, and it is qualified in its entirety by the more detailed information contained or incorporated by reference in this prospectus supplement and the accompanying base prospectus. You should carefully consider the information included in and incorporated by reference in the entire prospectus supplement and accompanying base prospectus, including the information set forth under the heading “Risk Factors” in this prospectus supplement.</w:t>
      </w:r>
    </w:p>
    <w:p>
      <w:pPr>
        <w:spacing w:after="0" w:line="18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Company Overview</w:t>
      </w:r>
    </w:p>
    <w:p>
      <w:pPr>
        <w:spacing w:after="0" w:line="222" w:lineRule="exact"/>
        <w:rPr>
          <w:sz w:val="20"/>
          <w:szCs w:val="20"/>
          <w:color w:val="auto"/>
        </w:rPr>
      </w:pPr>
    </w:p>
    <w:p>
      <w:pPr>
        <w:ind w:left="300" w:right="240" w:firstLine="426"/>
        <w:spacing w:after="0" w:line="239"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 — 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94" w:lineRule="exact"/>
        <w:rPr>
          <w:sz w:val="20"/>
          <w:szCs w:val="20"/>
          <w:color w:val="auto"/>
        </w:rPr>
      </w:pPr>
    </w:p>
    <w:p>
      <w:pPr>
        <w:ind w:left="300" w:right="80" w:firstLine="426"/>
        <w:spacing w:after="0" w:line="250" w:lineRule="auto"/>
        <w:rPr>
          <w:sz w:val="20"/>
          <w:szCs w:val="20"/>
          <w:color w:val="auto"/>
        </w:rPr>
      </w:pPr>
      <w:r>
        <w:rPr>
          <w:rFonts w:ascii="Arial" w:cs="Arial" w:eastAsia="Arial" w:hAnsi="Arial"/>
          <w:sz w:val="17"/>
          <w:szCs w:val="17"/>
          <w:color w:val="auto"/>
        </w:rPr>
        <w:t>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Flywire Advantage. Our Flywire Advantage is derived from three core elements: (i) our next-gen payments platform; (ii) our proprietary global payment network; and</w:t>
      </w:r>
    </w:p>
    <w:p>
      <w:pPr>
        <w:spacing w:after="0" w:line="4" w:lineRule="exact"/>
        <w:rPr>
          <w:sz w:val="20"/>
          <w:szCs w:val="20"/>
          <w:color w:val="auto"/>
        </w:rPr>
      </w:pPr>
    </w:p>
    <w:p>
      <w:pPr>
        <w:ind w:left="300" w:right="80" w:hanging="6"/>
        <w:spacing w:after="0" w:line="237" w:lineRule="auto"/>
        <w:tabs>
          <w:tab w:leader="none" w:pos="59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vertical-specific software backed by our deep industry expertise. With our Flywire Advantage,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22" w:lineRule="exact"/>
        <w:rPr>
          <w:sz w:val="20"/>
          <w:szCs w:val="20"/>
          <w:color w:val="auto"/>
        </w:rPr>
      </w:pPr>
    </w:p>
    <w:p>
      <w:pPr>
        <w:ind w:left="300" w:firstLine="426"/>
        <w:spacing w:after="0" w:line="241" w:lineRule="auto"/>
        <w:rPr>
          <w:sz w:val="20"/>
          <w:szCs w:val="20"/>
          <w:color w:val="auto"/>
        </w:rPr>
      </w:pPr>
      <w:r>
        <w:rPr>
          <w:rFonts w:ascii="Arial" w:cs="Arial" w:eastAsia="Arial" w:hAnsi="Arial"/>
          <w:sz w:val="18"/>
          <w:szCs w:val="18"/>
          <w:color w:val="auto"/>
        </w:rPr>
        <w:t>We were initially formed in July 2009 as peerTransfer Corporation, a Delaware corporation. We changed our name to Flywire Corporation in December 2016. Our principal executive offices are located at 141 Tremont St., #10F, Boston, MA 02111. Our telephone number is (617) 329-4524. Our website address is www.flywire.com. The information contained on, or that can be accessed through, our website is not incorporated herein or a part of this prospectus. Investors should not rely on any such information in deciding whether to purchase our common stock.</w:t>
      </w:r>
    </w:p>
    <w:p>
      <w:pPr>
        <w:spacing w:after="0" w:line="2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60"/>
          </w:cols>
          <w:pgMar w:left="320" w:top="675" w:right="6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20"/>
        </w:trPr>
        <w:tc>
          <w:tcPr>
            <w:tcW w:w="180" w:type="dxa"/>
            <w:vAlign w:val="bottom"/>
            <w:tcBorders>
              <w:top w:val="single" w:sz="8" w:color="auto"/>
              <w:left w:val="single" w:sz="8" w:color="auto"/>
            </w:tcBorders>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ind w:left="1040"/>
              <w:spacing w:after="0"/>
              <w:rPr>
                <w:sz w:val="20"/>
                <w:szCs w:val="20"/>
                <w:color w:val="auto"/>
              </w:rPr>
            </w:pPr>
            <w:r>
              <w:rPr>
                <w:rFonts w:ascii="Arial" w:cs="Arial" w:eastAsia="Arial" w:hAnsi="Arial"/>
                <w:sz w:val="18"/>
                <w:szCs w:val="18"/>
                <w:b w:val="1"/>
                <w:bCs w:val="1"/>
                <w:color w:val="auto"/>
              </w:rPr>
              <w:t>The Offering</w:t>
            </w:r>
          </w:p>
        </w:tc>
        <w:tc>
          <w:tcPr>
            <w:tcW w:w="8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0" w:type="dxa"/>
            <w:vAlign w:val="bottom"/>
            <w:tcBorders>
              <w:left w:val="single" w:sz="8" w:color="auto"/>
            </w:tcBorders>
          </w:tcPr>
          <w:p>
            <w:pPr>
              <w:spacing w:after="0"/>
              <w:rPr>
                <w:sz w:val="18"/>
                <w:szCs w:val="18"/>
                <w:color w:val="auto"/>
              </w:rPr>
            </w:pPr>
          </w:p>
        </w:tc>
        <w:tc>
          <w:tcPr>
            <w:tcW w:w="3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Issuer</w:t>
            </w:r>
          </w:p>
        </w:tc>
        <w:tc>
          <w:tcPr>
            <w:tcW w:w="2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Flywire Corporation.</w:t>
            </w:r>
          </w:p>
        </w:tc>
        <w:tc>
          <w:tcPr>
            <w:tcW w:w="8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80" w:type="dxa"/>
            <w:vAlign w:val="bottom"/>
            <w:tcBorders>
              <w:left w:val="single" w:sz="8" w:color="auto"/>
            </w:tcBorders>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Common stock offered by us pursuant to this</w:t>
            </w:r>
          </w:p>
        </w:tc>
        <w:tc>
          <w:tcPr>
            <w:tcW w:w="2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0" w:type="dxa"/>
            <w:vAlign w:val="bottom"/>
            <w:tcBorders>
              <w:left w:val="single" w:sz="8" w:color="auto"/>
            </w:tcBorders>
          </w:tcPr>
          <w:p>
            <w:pPr>
              <w:spacing w:after="0"/>
              <w:rPr>
                <w:sz w:val="19"/>
                <w:szCs w:val="19"/>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prospectus supplement</w:t>
            </w:r>
          </w:p>
        </w:tc>
        <w:tc>
          <w:tcPr>
            <w:tcW w:w="2540" w:type="dxa"/>
            <w:vAlign w:val="bottom"/>
          </w:tcPr>
          <w:p>
            <w:pPr>
              <w:ind w:left="740"/>
              <w:spacing w:after="0"/>
              <w:rPr>
                <w:sz w:val="20"/>
                <w:szCs w:val="20"/>
                <w:color w:val="auto"/>
              </w:rPr>
            </w:pPr>
            <w:r>
              <w:rPr>
                <w:rFonts w:ascii="Arial" w:cs="Arial" w:eastAsia="Arial" w:hAnsi="Arial"/>
                <w:sz w:val="18"/>
                <w:szCs w:val="18"/>
                <w:color w:val="auto"/>
              </w:rPr>
              <w:t>shares.</w:t>
            </w:r>
          </w:p>
        </w:tc>
        <w:tc>
          <w:tcPr>
            <w:tcW w:w="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0" w:type="dxa"/>
            <w:vAlign w:val="bottom"/>
            <w:tcBorders>
              <w:left w:val="single" w:sz="8" w:color="auto"/>
            </w:tcBorders>
          </w:tcPr>
          <w:p>
            <w:pPr>
              <w:spacing w:after="0"/>
              <w:rPr>
                <w:sz w:val="14"/>
                <w:szCs w:val="14"/>
                <w:color w:val="auto"/>
              </w:rPr>
            </w:pPr>
          </w:p>
        </w:tc>
        <w:tc>
          <w:tcPr>
            <w:tcW w:w="3740" w:type="dxa"/>
            <w:vAlign w:val="bottom"/>
          </w:tcPr>
          <w:p>
            <w:pPr>
              <w:spacing w:after="0"/>
              <w:rPr>
                <w:sz w:val="14"/>
                <w:szCs w:val="14"/>
                <w:color w:val="auto"/>
              </w:rPr>
            </w:pPr>
          </w:p>
        </w:tc>
        <w:tc>
          <w:tcPr>
            <w:tcW w:w="61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Borders>
              <w:left w:val="single" w:sz="8" w:color="auto"/>
            </w:tcBorders>
          </w:tcPr>
          <w:p>
            <w:pPr>
              <w:spacing w:after="0"/>
              <w:rPr>
                <w:sz w:val="16"/>
                <w:szCs w:val="16"/>
                <w:color w:val="auto"/>
              </w:rPr>
            </w:pPr>
          </w:p>
        </w:tc>
        <w:tc>
          <w:tcPr>
            <w:tcW w:w="3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Option to purchase additional shares of our</w:t>
            </w:r>
          </w:p>
        </w:tc>
        <w:tc>
          <w:tcPr>
            <w:tcW w:w="6100" w:type="dxa"/>
            <w:vAlign w:val="bottom"/>
            <w:gridSpan w:val="4"/>
            <w:shd w:val="clear" w:color="auto" w:fill="CCEEFF"/>
          </w:tcPr>
          <w:p>
            <w:pPr>
              <w:ind w:left="100"/>
              <w:spacing w:after="0" w:line="189" w:lineRule="exact"/>
              <w:rPr>
                <w:sz w:val="20"/>
                <w:szCs w:val="20"/>
                <w:color w:val="auto"/>
              </w:rPr>
            </w:pPr>
            <w:r>
              <w:rPr>
                <w:rFonts w:ascii="Arial" w:cs="Arial" w:eastAsia="Arial" w:hAnsi="Arial"/>
                <w:sz w:val="18"/>
                <w:szCs w:val="18"/>
                <w:color w:val="auto"/>
              </w:rPr>
              <w:t>The underwriters have an option to purchase up to an aggregate of</w:t>
            </w:r>
          </w:p>
        </w:tc>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additional</w:t>
            </w:r>
          </w:p>
        </w:tc>
        <w:tc>
          <w:tcPr>
            <w:tcW w:w="1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w:t>
            </w:r>
          </w:p>
        </w:tc>
        <w:tc>
          <w:tcPr>
            <w:tcW w:w="6920" w:type="dxa"/>
            <w:vAlign w:val="bottom"/>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rPr>
              <w:t>shares of common stock from us at the public offering price, less underwriting</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920" w:type="dxa"/>
            <w:vAlign w:val="bottom"/>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rPr>
              <w:t>discounts and commissions. The underwriters can exercise this option at any time</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within 30 days from the date of this prospectus supplement.</w:t>
            </w: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80" w:type="dxa"/>
            <w:vAlign w:val="bottom"/>
            <w:tcBorders>
              <w:left w:val="single" w:sz="8" w:color="auto"/>
            </w:tcBorders>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Common stock and non-voting common stock</w:t>
            </w:r>
          </w:p>
        </w:tc>
        <w:tc>
          <w:tcPr>
            <w:tcW w:w="3380" w:type="dxa"/>
            <w:vAlign w:val="bottom"/>
            <w:gridSpan w:val="2"/>
          </w:tcPr>
          <w:p>
            <w:pPr>
              <w:ind w:left="740"/>
              <w:spacing w:after="0"/>
              <w:rPr>
                <w:sz w:val="20"/>
                <w:szCs w:val="20"/>
                <w:color w:val="auto"/>
              </w:rPr>
            </w:pPr>
            <w:r>
              <w:rPr>
                <w:rFonts w:ascii="Arial" w:cs="Arial" w:eastAsia="Arial" w:hAnsi="Arial"/>
                <w:sz w:val="18"/>
                <w:szCs w:val="18"/>
                <w:color w:val="auto"/>
              </w:rPr>
              <w:t>shares outstanding (of which</w:t>
            </w:r>
          </w:p>
        </w:tc>
        <w:tc>
          <w:tcPr>
            <w:tcW w:w="3720" w:type="dxa"/>
            <w:vAlign w:val="bottom"/>
            <w:tcBorders>
              <w:right w:val="single" w:sz="8" w:color="auto"/>
            </w:tcBorders>
            <w:gridSpan w:val="4"/>
          </w:tcPr>
          <w:p>
            <w:pPr>
              <w:ind w:left="360"/>
              <w:spacing w:after="0"/>
              <w:rPr>
                <w:sz w:val="20"/>
                <w:szCs w:val="20"/>
                <w:color w:val="auto"/>
              </w:rPr>
            </w:pPr>
            <w:r>
              <w:rPr>
                <w:rFonts w:ascii="Arial" w:cs="Arial" w:eastAsia="Arial" w:hAnsi="Arial"/>
                <w:sz w:val="18"/>
                <w:szCs w:val="18"/>
                <w:color w:val="auto"/>
              </w:rPr>
              <w:t>shares will be voting common stock and</w:t>
            </w: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to be outstanding immediately after this</w:t>
            </w:r>
          </w:p>
        </w:tc>
        <w:tc>
          <w:tcPr>
            <w:tcW w:w="49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1,873,320 shares will be non-voting common stock) or</w:t>
            </w:r>
          </w:p>
        </w:tc>
        <w:tc>
          <w:tcPr>
            <w:tcW w:w="1140" w:type="dxa"/>
            <w:vAlign w:val="bottom"/>
          </w:tcPr>
          <w:p>
            <w:pPr>
              <w:ind w:left="140"/>
              <w:spacing w:after="0" w:line="202" w:lineRule="exact"/>
              <w:rPr>
                <w:sz w:val="20"/>
                <w:szCs w:val="20"/>
                <w:color w:val="auto"/>
              </w:rPr>
            </w:pPr>
            <w:r>
              <w:rPr>
                <w:rFonts w:ascii="Arial" w:cs="Arial" w:eastAsia="Arial" w:hAnsi="Arial"/>
                <w:sz w:val="18"/>
                <w:szCs w:val="18"/>
                <w:color w:val="auto"/>
                <w:w w:val="99"/>
              </w:rPr>
              <w:t>shares if the</w:t>
            </w:r>
          </w:p>
        </w:tc>
        <w:tc>
          <w:tcPr>
            <w:tcW w:w="8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0" w:type="dxa"/>
            <w:vAlign w:val="bottom"/>
            <w:tcBorders>
              <w:left w:val="single" w:sz="8" w:color="auto"/>
            </w:tcBorders>
          </w:tcPr>
          <w:p>
            <w:pPr>
              <w:spacing w:after="0"/>
              <w:rPr>
                <w:sz w:val="19"/>
                <w:szCs w:val="19"/>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offering</w:t>
            </w: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underwriters exercise their option to purchase additional shares in full.</w:t>
            </w:r>
          </w:p>
        </w:tc>
        <w:tc>
          <w:tcPr>
            <w:tcW w:w="8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0" w:type="dxa"/>
            <w:vAlign w:val="bottom"/>
            <w:tcBorders>
              <w:left w:val="single" w:sz="8" w:color="auto"/>
            </w:tcBorders>
          </w:tcPr>
          <w:p>
            <w:pPr>
              <w:spacing w:after="0"/>
              <w:rPr>
                <w:sz w:val="14"/>
                <w:szCs w:val="14"/>
                <w:color w:val="auto"/>
              </w:rPr>
            </w:pPr>
          </w:p>
        </w:tc>
        <w:tc>
          <w:tcPr>
            <w:tcW w:w="3740" w:type="dxa"/>
            <w:vAlign w:val="bottom"/>
          </w:tcPr>
          <w:p>
            <w:pPr>
              <w:spacing w:after="0"/>
              <w:rPr>
                <w:sz w:val="14"/>
                <w:szCs w:val="14"/>
                <w:color w:val="auto"/>
              </w:rPr>
            </w:pPr>
          </w:p>
        </w:tc>
        <w:tc>
          <w:tcPr>
            <w:tcW w:w="61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Borders>
              <w:left w:val="single" w:sz="8" w:color="auto"/>
            </w:tcBorders>
          </w:tcPr>
          <w:p>
            <w:pPr>
              <w:spacing w:after="0"/>
              <w:rPr>
                <w:sz w:val="16"/>
                <w:szCs w:val="16"/>
                <w:color w:val="auto"/>
              </w:rPr>
            </w:pPr>
          </w:p>
        </w:tc>
        <w:tc>
          <w:tcPr>
            <w:tcW w:w="3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Use of proceeds</w:t>
            </w:r>
          </w:p>
        </w:tc>
        <w:tc>
          <w:tcPr>
            <w:tcW w:w="6100" w:type="dxa"/>
            <w:vAlign w:val="bottom"/>
            <w:gridSpan w:val="4"/>
            <w:shd w:val="clear" w:color="auto" w:fill="CCEEFF"/>
          </w:tcPr>
          <w:p>
            <w:pPr>
              <w:ind w:left="100"/>
              <w:spacing w:after="0" w:line="189" w:lineRule="exact"/>
              <w:rPr>
                <w:sz w:val="20"/>
                <w:szCs w:val="20"/>
                <w:color w:val="auto"/>
              </w:rPr>
            </w:pPr>
            <w:r>
              <w:rPr>
                <w:rFonts w:ascii="Arial" w:cs="Arial" w:eastAsia="Arial" w:hAnsi="Arial"/>
                <w:sz w:val="18"/>
                <w:szCs w:val="18"/>
                <w:color w:val="auto"/>
              </w:rPr>
              <w:t>We expect to receive net proceeds from this offering of approximately $</w:t>
            </w:r>
          </w:p>
        </w:tc>
        <w:tc>
          <w:tcPr>
            <w:tcW w:w="820" w:type="dxa"/>
            <w:vAlign w:val="bottom"/>
            <w:shd w:val="clear" w:color="auto" w:fill="CCEEFF"/>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2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million (or approximately $</w:t>
            </w:r>
          </w:p>
        </w:tc>
        <w:tc>
          <w:tcPr>
            <w:tcW w:w="43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million if the underwriters exercise in full their</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920" w:type="dxa"/>
            <w:vAlign w:val="bottom"/>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rPr>
              <w:t>option to purchase additional shares), after deducting underwriting estimated</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100" w:type="dxa"/>
            <w:vAlign w:val="bottom"/>
            <w:gridSpan w:val="4"/>
            <w:shd w:val="clear" w:color="auto" w:fill="CCEEFF"/>
          </w:tcPr>
          <w:p>
            <w:pPr>
              <w:ind w:left="100"/>
              <w:spacing w:after="0" w:line="202" w:lineRule="exact"/>
              <w:rPr>
                <w:sz w:val="20"/>
                <w:szCs w:val="20"/>
                <w:color w:val="auto"/>
              </w:rPr>
            </w:pPr>
            <w:r>
              <w:rPr>
                <w:rFonts w:ascii="Arial" w:cs="Arial" w:eastAsia="Arial" w:hAnsi="Arial"/>
                <w:sz w:val="18"/>
                <w:szCs w:val="18"/>
                <w:color w:val="auto"/>
              </w:rPr>
              <w:t>discounts and commissions and our estimated offering expenses.</w:t>
            </w:r>
          </w:p>
        </w:tc>
        <w:tc>
          <w:tcPr>
            <w:tcW w:w="820" w:type="dxa"/>
            <w:vAlign w:val="bottom"/>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920" w:type="dxa"/>
            <w:vAlign w:val="bottom"/>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rPr>
              <w:t>We intend to use the net proceeds from this offering (including the net proceeds</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920" w:type="dxa"/>
            <w:vAlign w:val="bottom"/>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rPr>
              <w:t>available from any exercise of the underwriter’s option to purchase additional shares)</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100" w:type="dxa"/>
            <w:vAlign w:val="bottom"/>
            <w:gridSpan w:val="4"/>
            <w:shd w:val="clear" w:color="auto" w:fill="CCEEFF"/>
          </w:tcPr>
          <w:p>
            <w:pPr>
              <w:ind w:left="100"/>
              <w:spacing w:after="0" w:line="202" w:lineRule="exact"/>
              <w:rPr>
                <w:sz w:val="20"/>
                <w:szCs w:val="20"/>
                <w:color w:val="auto"/>
              </w:rPr>
            </w:pPr>
            <w:r>
              <w:rPr>
                <w:rFonts w:ascii="Arial" w:cs="Arial" w:eastAsia="Arial" w:hAnsi="Arial"/>
                <w:sz w:val="18"/>
                <w:szCs w:val="18"/>
                <w:color w:val="auto"/>
              </w:rPr>
              <w:t>for general corporate purposes, which may include working capital, capital</w:t>
            </w:r>
          </w:p>
        </w:tc>
        <w:tc>
          <w:tcPr>
            <w:tcW w:w="820" w:type="dxa"/>
            <w:vAlign w:val="bottom"/>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920" w:type="dxa"/>
            <w:vAlign w:val="bottom"/>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expenditures, and potential acquisitions and strategic transactions. From time to time,</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920" w:type="dxa"/>
            <w:vAlign w:val="bottom"/>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rPr>
              <w:t>we evaluate potential acquisitions and strategic transactions involving businesses,</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920" w:type="dxa"/>
            <w:vAlign w:val="bottom"/>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rPr>
              <w:t>technologies, or products. However, we have not designated any specific uses and</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920" w:type="dxa"/>
            <w:vAlign w:val="bottom"/>
            <w:gridSpan w:val="5"/>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have no current agreements with respect to any acquisitions or strategic transactions.</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0" w:type="dxa"/>
            <w:vAlign w:val="bottom"/>
            <w:tcBorders>
              <w:left w:val="single" w:sz="8" w:color="auto"/>
            </w:tcBorders>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See “Use of Proceeds.”</w:t>
            </w:r>
          </w:p>
        </w:tc>
        <w:tc>
          <w:tcPr>
            <w:tcW w:w="8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0" w:type="dxa"/>
            <w:vAlign w:val="bottom"/>
            <w:tcBorders>
              <w:left w:val="single" w:sz="8" w:color="auto"/>
            </w:tcBorders>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Risk factors</w:t>
            </w: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An investment in our common stock involves a high degree of risk. See the</w:t>
            </w:r>
          </w:p>
        </w:tc>
        <w:tc>
          <w:tcPr>
            <w:tcW w:w="8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7100" w:type="dxa"/>
            <w:vAlign w:val="bottom"/>
            <w:tcBorders>
              <w:right w:val="single" w:sz="8" w:color="auto"/>
            </w:tcBorders>
            <w:gridSpan w:val="6"/>
          </w:tcPr>
          <w:p>
            <w:pPr>
              <w:ind w:left="100"/>
              <w:spacing w:after="0" w:line="202" w:lineRule="exact"/>
              <w:rPr>
                <w:sz w:val="20"/>
                <w:szCs w:val="20"/>
                <w:color w:val="auto"/>
              </w:rPr>
            </w:pPr>
            <w:r>
              <w:rPr>
                <w:rFonts w:ascii="Arial" w:cs="Arial" w:eastAsia="Arial" w:hAnsi="Arial"/>
                <w:sz w:val="18"/>
                <w:szCs w:val="18"/>
                <w:color w:val="auto"/>
              </w:rPr>
              <w:t>information contained in or incorporated by reference under “Risk Factors” in this</w:t>
            </w: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7100" w:type="dxa"/>
            <w:vAlign w:val="bottom"/>
            <w:tcBorders>
              <w:right w:val="single" w:sz="8" w:color="auto"/>
            </w:tcBorders>
            <w:gridSpan w:val="6"/>
          </w:tcPr>
          <w:p>
            <w:pPr>
              <w:ind w:left="100"/>
              <w:spacing w:after="0" w:line="202" w:lineRule="exact"/>
              <w:rPr>
                <w:sz w:val="20"/>
                <w:szCs w:val="20"/>
                <w:color w:val="auto"/>
              </w:rPr>
            </w:pPr>
            <w:r>
              <w:rPr>
                <w:rFonts w:ascii="Arial" w:cs="Arial" w:eastAsia="Arial" w:hAnsi="Arial"/>
                <w:sz w:val="18"/>
                <w:szCs w:val="18"/>
                <w:color w:val="auto"/>
              </w:rPr>
              <w:t>prospectus supplement, as well as the other information included in or incorporated</w:t>
            </w: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7100" w:type="dxa"/>
            <w:vAlign w:val="bottom"/>
            <w:tcBorders>
              <w:right w:val="single" w:sz="8" w:color="auto"/>
            </w:tcBorders>
            <w:gridSpan w:val="6"/>
          </w:tcPr>
          <w:p>
            <w:pPr>
              <w:ind w:left="100"/>
              <w:spacing w:after="0" w:line="202" w:lineRule="exact"/>
              <w:rPr>
                <w:sz w:val="20"/>
                <w:szCs w:val="20"/>
                <w:color w:val="auto"/>
              </w:rPr>
            </w:pPr>
            <w:r>
              <w:rPr>
                <w:rFonts w:ascii="Arial" w:cs="Arial" w:eastAsia="Arial" w:hAnsi="Arial"/>
                <w:sz w:val="18"/>
                <w:szCs w:val="18"/>
                <w:color w:val="auto"/>
              </w:rPr>
              <w:t>by reference in this prospectus supplement and the accompanying base prospectus,</w:t>
            </w: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7100" w:type="dxa"/>
            <w:vAlign w:val="bottom"/>
            <w:tcBorders>
              <w:right w:val="single" w:sz="8" w:color="auto"/>
            </w:tcBorders>
            <w:gridSpan w:val="6"/>
          </w:tcPr>
          <w:p>
            <w:pPr>
              <w:ind w:left="100"/>
              <w:spacing w:after="0" w:line="202" w:lineRule="exact"/>
              <w:rPr>
                <w:sz w:val="20"/>
                <w:szCs w:val="20"/>
                <w:color w:val="auto"/>
              </w:rPr>
            </w:pPr>
            <w:r>
              <w:rPr>
                <w:rFonts w:ascii="Arial" w:cs="Arial" w:eastAsia="Arial" w:hAnsi="Arial"/>
                <w:sz w:val="18"/>
                <w:szCs w:val="18"/>
                <w:color w:val="auto"/>
              </w:rPr>
              <w:t>for a discussion of risks you should carefully consider before investing in our common</w:t>
            </w:r>
          </w:p>
        </w:tc>
        <w:tc>
          <w:tcPr>
            <w:tcW w:w="0" w:type="dxa"/>
            <w:vAlign w:val="bottom"/>
          </w:tcPr>
          <w:p>
            <w:pPr>
              <w:spacing w:after="0"/>
              <w:rPr>
                <w:sz w:val="1"/>
                <w:szCs w:val="1"/>
                <w:color w:val="auto"/>
              </w:rPr>
            </w:pPr>
          </w:p>
        </w:tc>
      </w:tr>
      <w:tr>
        <w:trPr>
          <w:trHeight w:val="229"/>
        </w:trPr>
        <w:tc>
          <w:tcPr>
            <w:tcW w:w="180" w:type="dxa"/>
            <w:vAlign w:val="bottom"/>
            <w:tcBorders>
              <w:left w:val="single" w:sz="8" w:color="auto"/>
            </w:tcBorders>
          </w:tcPr>
          <w:p>
            <w:pPr>
              <w:spacing w:after="0"/>
              <w:rPr>
                <w:sz w:val="19"/>
                <w:szCs w:val="19"/>
                <w:color w:val="auto"/>
              </w:rPr>
            </w:pPr>
          </w:p>
        </w:tc>
        <w:tc>
          <w:tcPr>
            <w:tcW w:w="3740" w:type="dxa"/>
            <w:vAlign w:val="bottom"/>
          </w:tcPr>
          <w:p>
            <w:pPr>
              <w:spacing w:after="0"/>
              <w:rPr>
                <w:sz w:val="19"/>
                <w:szCs w:val="19"/>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stock.</w:t>
            </w:r>
          </w:p>
        </w:tc>
        <w:tc>
          <w:tcPr>
            <w:tcW w:w="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0" w:type="dxa"/>
            <w:vAlign w:val="bottom"/>
            <w:tcBorders>
              <w:left w:val="single" w:sz="8" w:color="auto"/>
            </w:tcBorders>
          </w:tcPr>
          <w:p>
            <w:pPr>
              <w:spacing w:after="0"/>
              <w:rPr>
                <w:sz w:val="14"/>
                <w:szCs w:val="14"/>
                <w:color w:val="auto"/>
              </w:rPr>
            </w:pPr>
          </w:p>
        </w:tc>
        <w:tc>
          <w:tcPr>
            <w:tcW w:w="3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Select Market symbol</w:t>
            </w:r>
          </w:p>
        </w:tc>
        <w:tc>
          <w:tcPr>
            <w:tcW w:w="2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“FLYW.”</w:t>
            </w:r>
          </w:p>
        </w:tc>
        <w:tc>
          <w:tcPr>
            <w:tcW w:w="8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80" w:type="dxa"/>
            <w:vAlign w:val="bottom"/>
            <w:tcBorders>
              <w:left w:val="single" w:sz="8" w:color="auto"/>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40" w:type="dxa"/>
            <w:vAlign w:val="bottom"/>
          </w:tcPr>
          <w:p>
            <w:pPr>
              <w:ind w:left="1440"/>
              <w:spacing w:after="0"/>
              <w:rPr>
                <w:sz w:val="20"/>
                <w:szCs w:val="20"/>
                <w:color w:val="auto"/>
              </w:rPr>
            </w:pPr>
            <w:r>
              <w:rPr>
                <w:rFonts w:ascii="Arial" w:cs="Arial" w:eastAsia="Arial" w:hAnsi="Arial"/>
                <w:sz w:val="18"/>
                <w:szCs w:val="18"/>
                <w:color w:val="auto"/>
              </w:rPr>
              <w:t>S-7</w:t>
            </w: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675"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918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29184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right="180" w:firstLine="426"/>
        <w:spacing w:after="0" w:line="260" w:lineRule="auto"/>
        <w:rPr>
          <w:sz w:val="20"/>
          <w:szCs w:val="20"/>
          <w:color w:val="auto"/>
        </w:rPr>
      </w:pPr>
      <w:r>
        <w:rPr>
          <w:rFonts w:ascii="Arial" w:cs="Arial" w:eastAsia="Arial" w:hAnsi="Arial"/>
          <w:sz w:val="18"/>
          <w:szCs w:val="18"/>
          <w:color w:val="auto"/>
        </w:rPr>
        <w:t>The number of shares to be outstanding after this offering is based on 114,102,510 shares outstanding as of June 30, 2023 (of which 112,229,190 shares were voting common stock and 1,873,320 shares were non-voting common stock) and excludes:</w:t>
      </w:r>
    </w:p>
    <w:p>
      <w:pPr>
        <w:spacing w:after="0" w:line="200" w:lineRule="exact"/>
        <w:rPr>
          <w:sz w:val="20"/>
          <w:szCs w:val="20"/>
          <w:color w:val="auto"/>
        </w:rPr>
      </w:pPr>
    </w:p>
    <w:p>
      <w:pPr>
        <w:ind w:left="1140" w:right="200" w:hanging="419"/>
        <w:spacing w:after="0" w:line="26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10,430,580 shares of common stock issuable upon exercise of stock options outstanding at a weighted average exercise price of approximately $6.32 per share as of June 30, 2023;</w:t>
      </w:r>
    </w:p>
    <w:p>
      <w:pPr>
        <w:spacing w:after="0" w:line="199" w:lineRule="exact"/>
        <w:rPr>
          <w:rFonts w:ascii="Arial" w:cs="Arial" w:eastAsia="Arial" w:hAnsi="Arial"/>
          <w:sz w:val="18"/>
          <w:szCs w:val="18"/>
          <w:color w:val="auto"/>
        </w:rPr>
      </w:pPr>
    </w:p>
    <w:p>
      <w:pPr>
        <w:ind w:left="1140" w:right="380" w:hanging="419"/>
        <w:spacing w:after="0" w:line="26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4,518,964 shares of common stock issuable upon the vesting and settlement of outstanding restricted stock units as of June 30, 2023;</w:t>
      </w:r>
    </w:p>
    <w:p>
      <w:pPr>
        <w:spacing w:after="0" w:line="199" w:lineRule="exact"/>
        <w:rPr>
          <w:rFonts w:ascii="Arial" w:cs="Arial" w:eastAsia="Arial" w:hAnsi="Arial"/>
          <w:sz w:val="18"/>
          <w:szCs w:val="18"/>
          <w:color w:val="auto"/>
        </w:rPr>
      </w:pPr>
    </w:p>
    <w:p>
      <w:pPr>
        <w:jc w:val="both"/>
        <w:ind w:left="1140" w:right="120" w:hanging="419"/>
        <w:spacing w:after="0" w:line="24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14,956,425 shares of common stock reserved for future grants under our 2021 Equity Incentive Plan as of June 30, 2023, as well as any automatic increases in the number of shares of common stock reserved for future issuance under the 2021 Equity Incentive Plan; and</w:t>
      </w:r>
    </w:p>
    <w:p>
      <w:pPr>
        <w:spacing w:after="0" w:line="211" w:lineRule="exact"/>
        <w:rPr>
          <w:rFonts w:ascii="Arial" w:cs="Arial" w:eastAsia="Arial" w:hAnsi="Arial"/>
          <w:sz w:val="18"/>
          <w:szCs w:val="18"/>
          <w:color w:val="auto"/>
        </w:rPr>
      </w:pPr>
    </w:p>
    <w:p>
      <w:pPr>
        <w:ind w:left="1140" w:hanging="419"/>
        <w:spacing w:after="0" w:line="24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3,766,959 shares reserved for future issuance under our 2021 Employee Stock Purchase Plan as of June 30, 2023, as well as any automatic increases in the number of shares of common stock reserved for future issuance under the 2021 Employee Stock Purchase Plan.</w:t>
      </w:r>
    </w:p>
    <w:p>
      <w:pPr>
        <w:spacing w:after="0" w:line="184" w:lineRule="exact"/>
        <w:rPr>
          <w:sz w:val="20"/>
          <w:szCs w:val="20"/>
          <w:color w:val="auto"/>
        </w:rPr>
      </w:pPr>
    </w:p>
    <w:p>
      <w:pPr>
        <w:ind w:left="300" w:right="180" w:firstLine="426"/>
        <w:spacing w:after="0" w:line="247" w:lineRule="auto"/>
        <w:rPr>
          <w:sz w:val="20"/>
          <w:szCs w:val="20"/>
          <w:color w:val="auto"/>
        </w:rPr>
      </w:pPr>
      <w:r>
        <w:rPr>
          <w:rFonts w:ascii="Arial" w:cs="Arial" w:eastAsia="Arial" w:hAnsi="Arial"/>
          <w:sz w:val="18"/>
          <w:szCs w:val="18"/>
          <w:color w:val="auto"/>
        </w:rPr>
        <w:t>Except as otherwise indicated, all information in this prospectus supplement assumes no exercise or settlement of the outstanding stock options, restricted stock units or other equity awards described above and no exercise by the underwriters of their option to purchase additional shares.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675" w:right="6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in addition to the remainder of this prospectus supplement and the factors discussed in our public filings with the SEC, including the information provided under the caption “Risk Factors” in our Annual Report on Form 10-K for the year ended December 31, 2022, Quarterly Report on Form 10-Q for the quarter ended June 30, 2023, and subsequent periodic filings with the SEC, before making an investment decision. The risks and uncertainties described below and incorporated by reference into this prospectus supplement are not the only ones related to our business, our common stock or this offering. Additional risks and uncertainties not presently known to us or that we currently deem immaterial may also materially and adversely affect our business operations, results of operations, financial condition or prospects. The risks discussed below include forward-looking statements and our actual results may differ substantially from those discussed in the forward-looking statements. You should also review the section of this prospectus supplement under the caption “Special Note Regarding Forward-Looking Statements.”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this Offering</w:t>
      </w:r>
    </w:p>
    <w:p>
      <w:pPr>
        <w:spacing w:after="0" w:line="21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price per share of our common stock being offered may be higher than the net tangible book value per share of our outstanding</w:t>
      </w:r>
    </w:p>
    <w:p>
      <w:pPr>
        <w:spacing w:after="0" w:line="8" w:lineRule="exact"/>
        <w:rPr>
          <w:sz w:val="20"/>
          <w:szCs w:val="20"/>
          <w:color w:val="auto"/>
        </w:rPr>
      </w:pPr>
    </w:p>
    <w:p>
      <w:pPr>
        <w:ind w:left="120" w:right="280"/>
        <w:spacing w:after="0" w:line="234" w:lineRule="auto"/>
        <w:rPr>
          <w:sz w:val="20"/>
          <w:szCs w:val="20"/>
          <w:color w:val="auto"/>
        </w:rPr>
      </w:pPr>
      <w:r>
        <w:rPr>
          <w:rFonts w:ascii="Arial" w:cs="Arial" w:eastAsia="Arial" w:hAnsi="Arial"/>
          <w:sz w:val="18"/>
          <w:szCs w:val="18"/>
          <w:color w:val="auto"/>
        </w:rPr>
        <w:t>common stock prior to this offering. Based on the public offering price of $ per share, and our net tangible book value as of June 30, 2023 of approximately $2.63 per share, if you purchase shares of common stock in this offering, you will suffer immediate and</w:t>
      </w:r>
    </w:p>
    <w:p>
      <w:pPr>
        <w:spacing w:after="0" w:line="1"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substantial dilution of $ per share, representing the difference between the public offering price and the as adjusted net tangible book value per share of our common stock as of June 30, 2023 after giving effect to this offering.</w:t>
      </w:r>
    </w:p>
    <w:p>
      <w:pPr>
        <w:spacing w:after="0" w:line="185"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We also have a significant number of stock options to purchase common stock as well as RSUs outstanding, and may choose to issue additional shares of common stock, or securities convertible into or exchangeable for common stock, in the future. In the event that the outstanding stock options or RSUs are exercised or settled, or that we make additional issuances of shares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of our common stock by our existing stockholders could cause our stock price to decline.</w:t>
      </w:r>
    </w:p>
    <w:p>
      <w:pPr>
        <w:spacing w:after="0" w:line="222" w:lineRule="exact"/>
        <w:rPr>
          <w:sz w:val="20"/>
          <w:szCs w:val="20"/>
          <w:color w:val="auto"/>
        </w:rPr>
      </w:pPr>
    </w:p>
    <w:p>
      <w:pPr>
        <w:ind w:left="120" w:right="300" w:firstLine="440"/>
        <w:spacing w:after="0" w:line="247"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spacing w:after="0" w:line="184" w:lineRule="exact"/>
        <w:rPr>
          <w:sz w:val="20"/>
          <w:szCs w:val="20"/>
          <w:color w:val="auto"/>
        </w:rPr>
      </w:pPr>
    </w:p>
    <w:p>
      <w:pPr>
        <w:ind w:left="120" w:right="220" w:firstLine="440"/>
        <w:spacing w:after="0" w:line="243" w:lineRule="auto"/>
        <w:rPr>
          <w:sz w:val="20"/>
          <w:szCs w:val="20"/>
          <w:color w:val="auto"/>
        </w:rPr>
      </w:pPr>
      <w:r>
        <w:rPr>
          <w:rFonts w:ascii="Arial" w:cs="Arial" w:eastAsia="Arial" w:hAnsi="Arial"/>
          <w:sz w:val="18"/>
          <w:szCs w:val="18"/>
          <w:color w:val="auto"/>
        </w:rPr>
        <w:t>Furthermore, certain of our directors and executive officers have adopted, and other directors and executive officers may in the future adopt, written trading plans that are intended to comply with Rule 10b5-1 under the Exchange Act, under which they have contracted, or may in the future contract, with a broker to sell shares of our common stock. Sales of substantial amounts of our common stock in the public markets during the lock-up period pursuant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675"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11"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existing Rule 10b5-1 plans or pursuant to new Rule 10b5-1 plans following the expiration of the lock-up period or otherwise, or the perception that these sales could occur, could cause the market price of our common stock to decline. We are unable to predict the effect that sales may have on the prevailing market price of our common stock.</w:t>
      </w:r>
    </w:p>
    <w:p>
      <w:pPr>
        <w:spacing w:after="0" w:line="174"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139"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The failure of our management to use these funds effectively could harm our business. Pending their use, we intend to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84"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139" w:lineRule="exact"/>
        <w:rPr>
          <w:sz w:val="20"/>
          <w:szCs w:val="20"/>
          <w:color w:val="auto"/>
        </w:rPr>
      </w:pPr>
    </w:p>
    <w:p>
      <w:pPr>
        <w:ind w:left="120" w:right="260" w:firstLine="440"/>
        <w:spacing w:after="0" w:line="260"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200" w:lineRule="exact"/>
        <w:rPr>
          <w:sz w:val="20"/>
          <w:szCs w:val="20"/>
          <w:color w:val="auto"/>
        </w:rPr>
      </w:pPr>
    </w:p>
    <w:p>
      <w:pPr>
        <w:ind w:left="1000" w:hanging="4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roll out of new solutions;</w:t>
      </w:r>
    </w:p>
    <w:p>
      <w:pPr>
        <w:spacing w:after="0" w:line="238" w:lineRule="exact"/>
        <w:rPr>
          <w:rFonts w:ascii="Arial" w:cs="Arial" w:eastAsia="Arial" w:hAnsi="Arial"/>
          <w:sz w:val="18"/>
          <w:szCs w:val="18"/>
          <w:color w:val="auto"/>
        </w:rPr>
      </w:pPr>
    </w:p>
    <w:p>
      <w:pPr>
        <w:ind w:left="1000" w:right="400" w:hanging="444"/>
        <w:spacing w:after="0" w:line="260"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99" w:lineRule="exact"/>
        <w:rPr>
          <w:rFonts w:ascii="Arial" w:cs="Arial" w:eastAsia="Arial" w:hAnsi="Arial"/>
          <w:sz w:val="18"/>
          <w:szCs w:val="18"/>
          <w:color w:val="auto"/>
        </w:rPr>
      </w:pPr>
    </w:p>
    <w:p>
      <w:pPr>
        <w:ind w:left="1000" w:right="240" w:hanging="444"/>
        <w:spacing w:after="0" w:line="260"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actions with respect to our payment solutions, including any fines or enforcement actions regarding economic and trade sanctions;</w:t>
      </w:r>
    </w:p>
    <w:p>
      <w:pPr>
        <w:spacing w:after="0" w:line="199" w:lineRule="exact"/>
        <w:rPr>
          <w:rFonts w:ascii="Arial" w:cs="Arial" w:eastAsia="Arial" w:hAnsi="Arial"/>
          <w:sz w:val="18"/>
          <w:szCs w:val="18"/>
          <w:color w:val="auto"/>
        </w:rPr>
      </w:pPr>
    </w:p>
    <w:p>
      <w:pPr>
        <w:ind w:left="1000" w:hanging="4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expenses related to our solutions;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38" w:lineRule="exact"/>
        <w:rPr>
          <w:rFonts w:ascii="Arial" w:cs="Arial" w:eastAsia="Arial" w:hAnsi="Arial"/>
          <w:sz w:val="18"/>
          <w:szCs w:val="18"/>
          <w:color w:val="auto"/>
        </w:rPr>
      </w:pPr>
    </w:p>
    <w:p>
      <w:pPr>
        <w:ind w:left="1000" w:right="140" w:hanging="444"/>
        <w:spacing w:after="0" w:line="260"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the effects of the COVID-19 pandemic;</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675"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11" w:lineRule="exact"/>
        <w:rPr>
          <w:sz w:val="20"/>
          <w:szCs w:val="20"/>
          <w:color w:val="auto"/>
        </w:rPr>
      </w:pPr>
    </w:p>
    <w:p>
      <w:pPr>
        <w:ind w:left="1000" w:right="500" w:hanging="444"/>
        <w:spacing w:after="0" w:line="260"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economic instability, repression, or human rights issues;</w:t>
      </w:r>
    </w:p>
    <w:p>
      <w:pPr>
        <w:spacing w:after="0" w:line="199" w:lineRule="exact"/>
        <w:rPr>
          <w:rFonts w:ascii="Arial" w:cs="Arial" w:eastAsia="Arial" w:hAnsi="Arial"/>
          <w:sz w:val="18"/>
          <w:szCs w:val="18"/>
          <w:color w:val="auto"/>
        </w:rPr>
      </w:pPr>
    </w:p>
    <w:p>
      <w:pPr>
        <w:ind w:left="1000" w:hanging="4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structure of payment systems;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ongoing United States-China diplomatic and trade friction;</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factors discussed in this prospectus supplement and our other SEC filings.</w:t>
      </w:r>
    </w:p>
    <w:p>
      <w:pPr>
        <w:spacing w:after="0" w:line="212" w:lineRule="exact"/>
        <w:rPr>
          <w:sz w:val="20"/>
          <w:szCs w:val="20"/>
          <w:color w:val="auto"/>
        </w:rPr>
      </w:pPr>
    </w:p>
    <w:p>
      <w:pPr>
        <w:ind w:left="120" w:right="80" w:firstLine="440"/>
        <w:spacing w:after="0" w:line="260"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7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Concerns over economic recession, the ongoing effects of the COVID-19 pandemic, interest rate increases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94" w:lineRule="exact"/>
        <w:rPr>
          <w:sz w:val="20"/>
          <w:szCs w:val="20"/>
          <w:color w:val="auto"/>
        </w:rPr>
      </w:pPr>
    </w:p>
    <w:p>
      <w:pPr>
        <w:ind w:left="120" w:right="60" w:firstLine="440"/>
        <w:spacing w:after="0" w:line="243" w:lineRule="auto"/>
        <w:rPr>
          <w:sz w:val="20"/>
          <w:szCs w:val="20"/>
          <w:color w:val="auto"/>
        </w:rPr>
      </w:pPr>
      <w:r>
        <w:rPr>
          <w:rFonts w:ascii="Arial" w:cs="Arial" w:eastAsia="Arial" w:hAnsi="Arial"/>
          <w:sz w:val="18"/>
          <w:szCs w:val="18"/>
          <w:color w:val="auto"/>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8"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3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80"/>
          </w:cols>
          <w:pgMar w:left="320" w:top="675"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2" w:lineRule="exact"/>
        <w:rPr>
          <w:sz w:val="20"/>
          <w:szCs w:val="20"/>
          <w:color w:val="auto"/>
        </w:rPr>
      </w:pPr>
    </w:p>
    <w:p>
      <w:pPr>
        <w:ind w:left="560"/>
        <w:spacing w:after="0"/>
        <w:tabs>
          <w:tab w:leader="none" w:pos="5420" w:val="left"/>
        </w:tabs>
        <w:rPr>
          <w:sz w:val="20"/>
          <w:szCs w:val="20"/>
          <w:color w:val="auto"/>
        </w:rPr>
      </w:pPr>
      <w:r>
        <w:rPr>
          <w:rFonts w:ascii="Arial" w:cs="Arial" w:eastAsia="Arial" w:hAnsi="Arial"/>
          <w:sz w:val="18"/>
          <w:szCs w:val="18"/>
          <w:color w:val="auto"/>
        </w:rPr>
        <w:t>We estimate that the net proceeds from the sale of</w:t>
      </w:r>
      <w:r>
        <w:rPr>
          <w:sz w:val="20"/>
          <w:szCs w:val="20"/>
          <w:color w:val="auto"/>
        </w:rPr>
        <w:tab/>
      </w:r>
      <w:r>
        <w:rPr>
          <w:rFonts w:ascii="Arial" w:cs="Arial" w:eastAsia="Arial" w:hAnsi="Arial"/>
          <w:sz w:val="17"/>
          <w:szCs w:val="17"/>
          <w:color w:val="auto"/>
        </w:rPr>
        <w:t>shares of our common stock in this offering will be approximately</w:t>
      </w:r>
    </w:p>
    <w:p>
      <w:pPr>
        <w:spacing w:after="0" w:line="8" w:lineRule="exact"/>
        <w:rPr>
          <w:sz w:val="20"/>
          <w:szCs w:val="20"/>
          <w:color w:val="auto"/>
        </w:rPr>
      </w:pPr>
    </w:p>
    <w:p>
      <w:pPr>
        <w:jc w:val="both"/>
        <w:ind w:left="120" w:hanging="4"/>
        <w:spacing w:after="0" w:line="248" w:lineRule="auto"/>
        <w:tabs>
          <w:tab w:leader="none" w:pos="1070" w:val="left"/>
        </w:tabs>
        <w:numPr>
          <w:ilvl w:val="0"/>
          <w:numId w:val="8"/>
        </w:numPr>
        <w:rPr>
          <w:rFonts w:ascii="Arial" w:cs="Arial" w:eastAsia="Arial" w:hAnsi="Arial"/>
          <w:sz w:val="17"/>
          <w:szCs w:val="17"/>
          <w:color w:val="auto"/>
        </w:rPr>
      </w:pPr>
      <w:r>
        <w:rPr>
          <w:rFonts w:ascii="Arial" w:cs="Arial" w:eastAsia="Arial" w:hAnsi="Arial"/>
          <w:sz w:val="17"/>
          <w:szCs w:val="17"/>
          <w:color w:val="auto"/>
        </w:rPr>
        <w:t>million, after deducting the estimated underwriting discounts and commissions and estimated offering expenses we expect to pay. If the underwriters exercise their option to purchase additional shares in full, we estimate that our net proceeds will be approximately</w:t>
      </w:r>
    </w:p>
    <w:p>
      <w:pPr>
        <w:ind w:left="1060" w:hanging="944"/>
        <w:spacing w:after="0" w:line="235"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million, after deducting the estimated underwriting discounts and commissions and estimated offering expenses we expect to</w:t>
      </w:r>
    </w:p>
    <w:p>
      <w:pPr>
        <w:ind w:left="120"/>
        <w:spacing w:after="0"/>
        <w:rPr>
          <w:rFonts w:ascii="Arial" w:cs="Arial" w:eastAsia="Arial" w:hAnsi="Arial"/>
          <w:sz w:val="18"/>
          <w:szCs w:val="18"/>
          <w:color w:val="auto"/>
        </w:rPr>
      </w:pPr>
      <w:r>
        <w:rPr>
          <w:rFonts w:ascii="Arial" w:cs="Arial" w:eastAsia="Arial" w:hAnsi="Arial"/>
          <w:sz w:val="18"/>
          <w:szCs w:val="18"/>
          <w:color w:val="auto"/>
        </w:rPr>
        <w:t>pay.</w:t>
      </w:r>
    </w:p>
    <w:p>
      <w:pPr>
        <w:spacing w:after="0" w:line="200" w:lineRule="exact"/>
        <w:rPr>
          <w:sz w:val="20"/>
          <w:szCs w:val="20"/>
          <w:color w:val="auto"/>
        </w:rPr>
      </w:pPr>
    </w:p>
    <w:p>
      <w:pPr>
        <w:ind w:left="120" w:right="300" w:firstLine="440"/>
        <w:spacing w:after="0" w:line="241" w:lineRule="auto"/>
        <w:rPr>
          <w:sz w:val="20"/>
          <w:szCs w:val="20"/>
          <w:color w:val="auto"/>
        </w:rPr>
      </w:pPr>
      <w:r>
        <w:rPr>
          <w:rFonts w:ascii="Arial" w:cs="Arial" w:eastAsia="Arial" w:hAnsi="Arial"/>
          <w:sz w:val="18"/>
          <w:szCs w:val="18"/>
          <w:color w:val="auto"/>
        </w:rPr>
        <w:t>We currently intend to use the net proceeds from this offering for general corporate purposes, which may include expanding our current business through acquisitions of, or investments in, other businesses, products or technologies. However, we have no commitments with respect to any such acquisitions or investments at this time. Our management will have broad discretion in the application of the net proceeds from this offering and investors will be relying on the judgment of our management regarding the application of the proceeds.</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00"/>
          </w:cols>
          <w:pgMar w:left="320" w:top="675" w:right="5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2"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We have not declared or paid any dividends, or authorized or made any distribution upon or with respect to any class or series of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subject to applicable laws, and will depend on our financial condition, operating results, capital requirements, general business conditions and other factors that our board of directors may deem relevant.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675"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2" w:lineRule="exact"/>
        <w:rPr>
          <w:sz w:val="20"/>
          <w:szCs w:val="20"/>
          <w:color w:val="auto"/>
        </w:rPr>
      </w:pPr>
    </w:p>
    <w:p>
      <w:pPr>
        <w:jc w:val="both"/>
        <w:ind w:left="120" w:right="160" w:firstLine="440"/>
        <w:spacing w:after="0" w:line="247"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84" w:lineRule="exact"/>
        <w:rPr>
          <w:sz w:val="20"/>
          <w:szCs w:val="20"/>
          <w:color w:val="auto"/>
        </w:rPr>
      </w:pPr>
    </w:p>
    <w:p>
      <w:pPr>
        <w:ind w:left="120" w:right="380" w:firstLine="440"/>
        <w:spacing w:after="0" w:line="247" w:lineRule="auto"/>
        <w:rPr>
          <w:sz w:val="20"/>
          <w:szCs w:val="20"/>
          <w:color w:val="auto"/>
        </w:rPr>
      </w:pPr>
      <w:r>
        <w:rPr>
          <w:rFonts w:ascii="Arial" w:cs="Arial" w:eastAsia="Arial" w:hAnsi="Arial"/>
          <w:sz w:val="18"/>
          <w:szCs w:val="18"/>
          <w:color w:val="auto"/>
        </w:rPr>
        <w:t>Our net tangible book value as of June 30, 2023 was approximately $299.6 million, or $2.63 per share of our common stock. Net tangible book value per share is calculated by subtracting our total liabilities from our total tangible assets, which is total assets less goodwill and intangible assets, and dividing this amount by the number of shares of our common stock outstanding.</w:t>
      </w:r>
    </w:p>
    <w:p>
      <w:pPr>
        <w:spacing w:after="0" w:line="184"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After giving effect to the sale by us of shares of our common stock at the public offering price of $ per share, and after deducting the estimated underwriting discounts and commissions and estimated offering expenses, our as adjusted net tangible book</w:t>
      </w:r>
    </w:p>
    <w:tbl>
      <w:tblPr>
        <w:tblLayout w:type="fixed"/>
        <w:tblInd w:w="120" w:type="dxa"/>
        <w:tblCellMar>
          <w:top w:w="0" w:type="dxa"/>
          <w:left w:w="0" w:type="dxa"/>
          <w:bottom w:w="0" w:type="dxa"/>
          <w:right w:w="0" w:type="dxa"/>
        </w:tblCellMar>
      </w:tblPr>
      <w:tr>
        <w:trPr>
          <w:trHeight w:val="192"/>
        </w:trPr>
        <w:tc>
          <w:tcPr>
            <w:tcW w:w="5080" w:type="dxa"/>
            <w:vAlign w:val="bottom"/>
            <w:gridSpan w:val="2"/>
          </w:tcPr>
          <w:p>
            <w:pPr>
              <w:spacing w:after="0" w:line="192" w:lineRule="exact"/>
              <w:rPr>
                <w:sz w:val="20"/>
                <w:szCs w:val="20"/>
                <w:color w:val="auto"/>
              </w:rPr>
            </w:pPr>
            <w:r>
              <w:rPr>
                <w:rFonts w:ascii="Arial" w:cs="Arial" w:eastAsia="Arial" w:hAnsi="Arial"/>
                <w:sz w:val="18"/>
                <w:szCs w:val="18"/>
                <w:color w:val="auto"/>
              </w:rPr>
              <w:t>value as of June 30, 2023 would have been approximately $</w:t>
            </w:r>
          </w:p>
        </w:tc>
        <w:tc>
          <w:tcPr>
            <w:tcW w:w="440" w:type="dxa"/>
            <w:vAlign w:val="bottom"/>
          </w:tcPr>
          <w:p>
            <w:pPr>
              <w:spacing w:after="0"/>
              <w:rPr>
                <w:sz w:val="16"/>
                <w:szCs w:val="16"/>
                <w:color w:val="auto"/>
              </w:rPr>
            </w:pPr>
          </w:p>
        </w:tc>
        <w:tc>
          <w:tcPr>
            <w:tcW w:w="1800" w:type="dxa"/>
            <w:vAlign w:val="bottom"/>
          </w:tcPr>
          <w:p>
            <w:pPr>
              <w:ind w:left="60"/>
              <w:spacing w:after="0" w:line="192" w:lineRule="exact"/>
              <w:rPr>
                <w:sz w:val="20"/>
                <w:szCs w:val="20"/>
                <w:color w:val="auto"/>
              </w:rPr>
            </w:pPr>
            <w:r>
              <w:rPr>
                <w:rFonts w:ascii="Arial" w:cs="Arial" w:eastAsia="Arial" w:hAnsi="Arial"/>
                <w:sz w:val="18"/>
                <w:szCs w:val="18"/>
                <w:color w:val="auto"/>
              </w:rPr>
              <w:t>million, or $</w:t>
            </w:r>
          </w:p>
        </w:tc>
        <w:tc>
          <w:tcPr>
            <w:tcW w:w="3700" w:type="dxa"/>
            <w:vAlign w:val="bottom"/>
            <w:gridSpan w:val="5"/>
          </w:tcPr>
          <w:p>
            <w:pPr>
              <w:ind w:left="40"/>
              <w:spacing w:after="0" w:line="192" w:lineRule="exact"/>
              <w:rPr>
                <w:sz w:val="20"/>
                <w:szCs w:val="20"/>
                <w:color w:val="auto"/>
              </w:rPr>
            </w:pPr>
            <w:r>
              <w:rPr>
                <w:rFonts w:ascii="Arial" w:cs="Arial" w:eastAsia="Arial" w:hAnsi="Arial"/>
                <w:sz w:val="18"/>
                <w:szCs w:val="18"/>
                <w:color w:val="auto"/>
              </w:rPr>
              <w:t>per share of our common stock. This</w:t>
            </w:r>
          </w:p>
        </w:tc>
      </w:tr>
      <w:tr>
        <w:trPr>
          <w:trHeight w:val="203"/>
        </w:trPr>
        <w:tc>
          <w:tcPr>
            <w:tcW w:w="5520" w:type="dxa"/>
            <w:vAlign w:val="bottom"/>
            <w:gridSpan w:val="3"/>
          </w:tcPr>
          <w:p>
            <w:pPr>
              <w:spacing w:after="0" w:line="202" w:lineRule="exact"/>
              <w:rPr>
                <w:sz w:val="20"/>
                <w:szCs w:val="20"/>
                <w:color w:val="auto"/>
              </w:rPr>
            </w:pPr>
            <w:r>
              <w:rPr>
                <w:rFonts w:ascii="Arial" w:cs="Arial" w:eastAsia="Arial" w:hAnsi="Arial"/>
                <w:sz w:val="18"/>
                <w:szCs w:val="18"/>
                <w:color w:val="auto"/>
              </w:rPr>
              <w:t>represents an immediate increase in the net tangible book value of $</w:t>
            </w:r>
          </w:p>
        </w:tc>
        <w:tc>
          <w:tcPr>
            <w:tcW w:w="5500" w:type="dxa"/>
            <w:vAlign w:val="bottom"/>
            <w:gridSpan w:val="6"/>
          </w:tcPr>
          <w:p>
            <w:pPr>
              <w:ind w:left="780"/>
              <w:spacing w:after="0" w:line="202" w:lineRule="exact"/>
              <w:rPr>
                <w:sz w:val="20"/>
                <w:szCs w:val="20"/>
                <w:color w:val="auto"/>
              </w:rPr>
            </w:pPr>
            <w:r>
              <w:rPr>
                <w:rFonts w:ascii="Arial" w:cs="Arial" w:eastAsia="Arial" w:hAnsi="Arial"/>
                <w:sz w:val="18"/>
                <w:szCs w:val="18"/>
                <w:color w:val="auto"/>
              </w:rPr>
              <w:t>per share to our existing stockholders and an immediate</w:t>
            </w:r>
          </w:p>
        </w:tc>
      </w:tr>
      <w:tr>
        <w:trPr>
          <w:trHeight w:val="229"/>
        </w:trPr>
        <w:tc>
          <w:tcPr>
            <w:tcW w:w="5080" w:type="dxa"/>
            <w:vAlign w:val="bottom"/>
            <w:gridSpan w:val="2"/>
          </w:tcPr>
          <w:p>
            <w:pPr>
              <w:spacing w:after="0"/>
              <w:rPr>
                <w:sz w:val="20"/>
                <w:szCs w:val="20"/>
                <w:color w:val="auto"/>
              </w:rPr>
            </w:pPr>
            <w:r>
              <w:rPr>
                <w:rFonts w:ascii="Arial" w:cs="Arial" w:eastAsia="Arial" w:hAnsi="Arial"/>
                <w:sz w:val="18"/>
                <w:szCs w:val="18"/>
                <w:color w:val="auto"/>
              </w:rPr>
              <w:t>and substantial dilution in net tangible book value of $</w:t>
            </w:r>
          </w:p>
        </w:tc>
        <w:tc>
          <w:tcPr>
            <w:tcW w:w="2240" w:type="dxa"/>
            <w:vAlign w:val="bottom"/>
            <w:gridSpan w:val="2"/>
          </w:tcPr>
          <w:p>
            <w:pPr>
              <w:ind w:left="40"/>
              <w:spacing w:after="0"/>
              <w:rPr>
                <w:sz w:val="20"/>
                <w:szCs w:val="20"/>
                <w:color w:val="auto"/>
              </w:rPr>
            </w:pPr>
            <w:r>
              <w:rPr>
                <w:rFonts w:ascii="Arial" w:cs="Arial" w:eastAsia="Arial" w:hAnsi="Arial"/>
                <w:sz w:val="18"/>
                <w:szCs w:val="18"/>
                <w:color w:val="auto"/>
              </w:rPr>
              <w:t>per share to new investors.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60" w:type="dxa"/>
            <w:vAlign w:val="bottom"/>
          </w:tcPr>
          <w:p>
            <w:pPr>
              <w:spacing w:after="0"/>
              <w:rPr>
                <w:sz w:val="24"/>
                <w:szCs w:val="24"/>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The following table illustrates this per share dilution:</w:t>
            </w: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508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 per share</w:t>
            </w:r>
          </w:p>
        </w:tc>
        <w:tc>
          <w:tcPr>
            <w:tcW w:w="4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Net tangible book value per share as of June 30, 2023</w:t>
            </w: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2.63</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60" w:type="dxa"/>
            <w:vAlign w:val="bottom"/>
            <w:shd w:val="clear" w:color="auto" w:fill="CCEEFF"/>
          </w:tcPr>
          <w:p>
            <w:pPr>
              <w:spacing w:after="0"/>
              <w:rPr>
                <w:sz w:val="17"/>
                <w:szCs w:val="17"/>
                <w:color w:val="auto"/>
              </w:rPr>
            </w:pPr>
          </w:p>
        </w:tc>
        <w:tc>
          <w:tcPr>
            <w:tcW w:w="706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in as adjusted net tangible book value per share attributable to new investors</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As adjusted net tangible book value per share after this offering</w:t>
            </w: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gridSpan w:val="2"/>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7"/>
        </w:trPr>
        <w:tc>
          <w:tcPr>
            <w:tcW w:w="50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participating in this offering</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419"/>
        </w:trPr>
        <w:tc>
          <w:tcPr>
            <w:tcW w:w="260" w:type="dxa"/>
            <w:vAlign w:val="bottom"/>
          </w:tcPr>
          <w:p>
            <w:pPr>
              <w:spacing w:after="0"/>
              <w:rPr>
                <w:sz w:val="24"/>
                <w:szCs w:val="24"/>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If the underwriters exercise in full their option to purchase up to</w:t>
            </w:r>
          </w:p>
        </w:tc>
        <w:tc>
          <w:tcPr>
            <w:tcW w:w="5500" w:type="dxa"/>
            <w:vAlign w:val="bottom"/>
            <w:gridSpan w:val="6"/>
          </w:tcPr>
          <w:p>
            <w:pPr>
              <w:ind w:left="820"/>
              <w:spacing w:after="0"/>
              <w:rPr>
                <w:sz w:val="20"/>
                <w:szCs w:val="20"/>
                <w:color w:val="auto"/>
              </w:rPr>
            </w:pPr>
            <w:r>
              <w:rPr>
                <w:rFonts w:ascii="Arial" w:cs="Arial" w:eastAsia="Arial" w:hAnsi="Arial"/>
                <w:sz w:val="18"/>
                <w:szCs w:val="18"/>
                <w:color w:val="auto"/>
              </w:rPr>
              <w:t>additional shares from us at the public offering price of</w:t>
            </w:r>
          </w:p>
        </w:tc>
      </w:tr>
      <w:tr>
        <w:trPr>
          <w:trHeight w:val="202"/>
        </w:trPr>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0" w:type="dxa"/>
            <w:vAlign w:val="bottom"/>
            <w:gridSpan w:val="4"/>
          </w:tcPr>
          <w:p>
            <w:pPr>
              <w:ind w:left="680"/>
              <w:spacing w:after="0" w:line="202" w:lineRule="exact"/>
              <w:rPr>
                <w:sz w:val="20"/>
                <w:szCs w:val="20"/>
                <w:color w:val="auto"/>
              </w:rPr>
            </w:pPr>
            <w:r>
              <w:rPr>
                <w:rFonts w:ascii="Arial" w:cs="Arial" w:eastAsia="Arial" w:hAnsi="Arial"/>
                <w:sz w:val="18"/>
                <w:szCs w:val="18"/>
                <w:color w:val="auto"/>
              </w:rPr>
              <w:t>per share, the as adjusted net tangible book value per share after this offering would be $</w:t>
            </w:r>
          </w:p>
        </w:tc>
        <w:tc>
          <w:tcPr>
            <w:tcW w:w="256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per share and the dilution</w:t>
            </w:r>
          </w:p>
        </w:tc>
      </w:tr>
      <w:tr>
        <w:trPr>
          <w:trHeight w:val="229"/>
        </w:trPr>
        <w:tc>
          <w:tcPr>
            <w:tcW w:w="5080" w:type="dxa"/>
            <w:vAlign w:val="bottom"/>
            <w:gridSpan w:val="2"/>
          </w:tcPr>
          <w:p>
            <w:pPr>
              <w:spacing w:after="0"/>
              <w:rPr>
                <w:sz w:val="20"/>
                <w:szCs w:val="20"/>
                <w:color w:val="auto"/>
              </w:rPr>
            </w:pPr>
            <w:r>
              <w:rPr>
                <w:rFonts w:ascii="Arial" w:cs="Arial" w:eastAsia="Arial" w:hAnsi="Arial"/>
                <w:sz w:val="18"/>
                <w:szCs w:val="18"/>
                <w:color w:val="auto"/>
              </w:rPr>
              <w:t>to new investors participating in this offering would be $</w:t>
            </w: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rPr>
              <w:t>per share.</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90" w:lineRule="exact"/>
        <w:rPr>
          <w:sz w:val="20"/>
          <w:szCs w:val="20"/>
          <w:color w:val="auto"/>
        </w:rPr>
      </w:pPr>
    </w:p>
    <w:p>
      <w:pPr>
        <w:jc w:val="both"/>
        <w:ind w:left="120" w:right="40" w:firstLine="440"/>
        <w:spacing w:after="0" w:line="260" w:lineRule="auto"/>
        <w:rPr>
          <w:sz w:val="20"/>
          <w:szCs w:val="20"/>
          <w:color w:val="auto"/>
        </w:rPr>
      </w:pPr>
      <w:r>
        <w:rPr>
          <w:rFonts w:ascii="Arial" w:cs="Arial" w:eastAsia="Arial" w:hAnsi="Arial"/>
          <w:sz w:val="18"/>
          <w:szCs w:val="18"/>
          <w:color w:val="auto"/>
        </w:rPr>
        <w:t>The calculations above are based on 114,102,510 shares outstanding as of June 30, 2023 (of which 112,229,190 shares were voting common stock and 1,873,320 shares were non-voting common stock) and excludes:</w:t>
      </w:r>
    </w:p>
    <w:p>
      <w:pPr>
        <w:spacing w:after="0" w:line="200" w:lineRule="exact"/>
        <w:rPr>
          <w:sz w:val="20"/>
          <w:szCs w:val="20"/>
          <w:color w:val="auto"/>
        </w:rPr>
      </w:pPr>
    </w:p>
    <w:p>
      <w:pPr>
        <w:ind w:left="1000" w:right="100" w:hanging="444"/>
        <w:spacing w:after="0" w:line="260"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10,430,580 shares of common stock issuable upon exercise of stock options outstanding at a weighted average exercise price of approximately $6.32 per share as of June 30, 2023;</w:t>
      </w:r>
    </w:p>
    <w:p>
      <w:pPr>
        <w:spacing w:after="0" w:line="199" w:lineRule="exact"/>
        <w:rPr>
          <w:rFonts w:ascii="Arial" w:cs="Arial" w:eastAsia="Arial" w:hAnsi="Arial"/>
          <w:sz w:val="18"/>
          <w:szCs w:val="18"/>
          <w:color w:val="auto"/>
        </w:rPr>
      </w:pPr>
    </w:p>
    <w:p>
      <w:pPr>
        <w:ind w:left="1000" w:right="720" w:hanging="444"/>
        <w:spacing w:after="0" w:line="260"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4,518,964 shares of common stock issuable upon the vesting and settlement of outstanding restricted stock units as of June 30, 2023;</w:t>
      </w:r>
    </w:p>
    <w:p>
      <w:pPr>
        <w:spacing w:after="0" w:line="199" w:lineRule="exact"/>
        <w:rPr>
          <w:rFonts w:ascii="Arial" w:cs="Arial" w:eastAsia="Arial" w:hAnsi="Arial"/>
          <w:sz w:val="18"/>
          <w:szCs w:val="18"/>
          <w:color w:val="auto"/>
        </w:rPr>
      </w:pPr>
    </w:p>
    <w:p>
      <w:pPr>
        <w:ind w:left="1000" w:right="160" w:hanging="444"/>
        <w:spacing w:after="0" w:line="24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14,956,425 shares of common stock reserved for future grants under our 2021 Equity Incentive Plan as of June 30, 2023, as well as any automatic increases in the number of shares of common stock reserved for future issuance under the 2021 Equity Incentive Plan; and</w:t>
      </w:r>
    </w:p>
    <w:p>
      <w:pPr>
        <w:spacing w:after="0" w:line="211" w:lineRule="exact"/>
        <w:rPr>
          <w:rFonts w:ascii="Arial" w:cs="Arial" w:eastAsia="Arial" w:hAnsi="Arial"/>
          <w:sz w:val="18"/>
          <w:szCs w:val="18"/>
          <w:color w:val="auto"/>
        </w:rPr>
      </w:pPr>
    </w:p>
    <w:p>
      <w:pPr>
        <w:ind w:left="1000" w:right="120" w:hanging="444"/>
        <w:spacing w:after="0" w:line="24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3,766,959 shares reserved for future issuance under our 2021 Employee Stock Purchase Plan as of June 30, 2023, as well as any automatic increases in the number of shares of common stock reserved for future issuance under the 2021 Employee Stock Purchase Plan.</w:t>
      </w:r>
    </w:p>
    <w:p>
      <w:pPr>
        <w:spacing w:after="0" w:line="184" w:lineRule="exact"/>
        <w:rPr>
          <w:sz w:val="20"/>
          <w:szCs w:val="20"/>
          <w:color w:val="auto"/>
        </w:rPr>
      </w:pPr>
    </w:p>
    <w:p>
      <w:pPr>
        <w:ind w:left="120" w:right="240" w:firstLine="440"/>
        <w:spacing w:after="0" w:line="247" w:lineRule="auto"/>
        <w:rPr>
          <w:sz w:val="20"/>
          <w:szCs w:val="20"/>
          <w:color w:val="auto"/>
        </w:rPr>
      </w:pPr>
      <w:r>
        <w:rPr>
          <w:rFonts w:ascii="Arial" w:cs="Arial" w:eastAsia="Arial" w:hAnsi="Arial"/>
          <w:sz w:val="18"/>
          <w:szCs w:val="18"/>
          <w:color w:val="auto"/>
        </w:rPr>
        <w:t>Except as otherwise indicated, all information in this prospectus supplement assumes no exercise or settlement of the outstanding stock options, restricted stock units or other equity awards described above and no exercise by the underwriters of their option to purchase additional shares.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675"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MATERIAL UNITED STATES FEDERAL INCOME TAX CONSEQUENCES FOR NON-U.S. HOLDERS OF OUR COMMON STOCK</w:t>
      </w:r>
    </w:p>
    <w:p>
      <w:pPr>
        <w:spacing w:after="0" w:line="222" w:lineRule="exact"/>
        <w:rPr>
          <w:sz w:val="20"/>
          <w:szCs w:val="20"/>
          <w:color w:val="auto"/>
        </w:rPr>
      </w:pPr>
    </w:p>
    <w:p>
      <w:pPr>
        <w:ind w:left="120" w:right="420" w:firstLine="440"/>
        <w:spacing w:after="0" w:line="269" w:lineRule="auto"/>
        <w:rPr>
          <w:sz w:val="20"/>
          <w:szCs w:val="20"/>
          <w:color w:val="auto"/>
        </w:rPr>
      </w:pPr>
      <w:r>
        <w:rPr>
          <w:rFonts w:ascii="Arial" w:cs="Arial" w:eastAsia="Arial" w:hAnsi="Arial"/>
          <w:sz w:val="17"/>
          <w:szCs w:val="17"/>
          <w:color w:val="auto"/>
        </w:rPr>
        <w:t>The following is a summary of certain material U.S. federal income and estate tax considerations relating to ownership and disposition of our common stock by a non-U.S. holder. For purposes of this discussion, the term “non-U.S. holder” means a beneficial owner (other than a partnership or other pass-through entity) of our common stock that is not, for U.S. federal income tax purposes:</w:t>
      </w:r>
    </w:p>
    <w:p>
      <w:pPr>
        <w:spacing w:after="0" w:line="193" w:lineRule="exact"/>
        <w:rPr>
          <w:sz w:val="20"/>
          <w:szCs w:val="20"/>
          <w:color w:val="auto"/>
        </w:rPr>
      </w:pPr>
    </w:p>
    <w:p>
      <w:pPr>
        <w:ind w:left="1000" w:hanging="44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38" w:lineRule="exact"/>
        <w:rPr>
          <w:rFonts w:ascii="Arial" w:cs="Arial" w:eastAsia="Arial" w:hAnsi="Arial"/>
          <w:sz w:val="18"/>
          <w:szCs w:val="18"/>
          <w:color w:val="auto"/>
        </w:rPr>
      </w:pPr>
    </w:p>
    <w:p>
      <w:pPr>
        <w:ind w:left="1000" w:hanging="444"/>
        <w:spacing w:after="0" w:line="26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00" w:hanging="444"/>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00" w:right="60" w:hanging="444"/>
        <w:spacing w:after="0" w:line="269"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trust if (1) a U.S. court is able to exercise primary supervision over the administration of the trust and one or more United States persons (as defined in the Code) have authority to control all substantial decisions of the trust or (2) the trust has a valid election in effect under applicable U.S. Treasury Regulations to be treated as a United States person (as defined in the Code).</w:t>
      </w:r>
    </w:p>
    <w:p>
      <w:pPr>
        <w:spacing w:after="0" w:line="166"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who hold their shares of our common stock through partnerships or such other pass-through entities.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89" w:lineRule="exact"/>
        <w:rPr>
          <w:sz w:val="20"/>
          <w:szCs w:val="20"/>
          <w:color w:val="auto"/>
        </w:rPr>
      </w:pPr>
    </w:p>
    <w:p>
      <w:pPr>
        <w:ind w:left="120" w:right="320" w:firstLine="440"/>
        <w:spacing w:after="0" w:line="241" w:lineRule="auto"/>
        <w:rPr>
          <w:sz w:val="20"/>
          <w:szCs w:val="20"/>
          <w:color w:val="auto"/>
        </w:rPr>
      </w:pPr>
      <w:r>
        <w:rPr>
          <w:rFonts w:ascii="Arial" w:cs="Arial" w:eastAsia="Arial" w:hAnsi="Arial"/>
          <w:sz w:val="18"/>
          <w:szCs w:val="18"/>
          <w:color w:val="auto"/>
        </w:rPr>
        <w:t>This discussion is based on current provisions of the Internal Revenue Code of 1986, or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or differing interpretation could alter the tax consequences to non-U.S. holders described in this prospectus. There can be no assurance that the Internal Revenue Service, or the IRS, will not challenge one or more of the tax consequences described in this prospectus.</w:t>
      </w:r>
    </w:p>
    <w:p>
      <w:pPr>
        <w:spacing w:after="0" w:line="189"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color w:val="auto"/>
        </w:rPr>
        <w:t>We assume in this discussion that each non-U.S. holder holds shares of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221" w:lineRule="exact"/>
        <w:rPr>
          <w:sz w:val="20"/>
          <w:szCs w:val="20"/>
          <w:color w:val="auto"/>
        </w:rPr>
      </w:pPr>
    </w:p>
    <w:p>
      <w:pPr>
        <w:ind w:left="1000" w:hanging="4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238" w:lineRule="exact"/>
        <w:rPr>
          <w:rFonts w:ascii="Arial" w:cs="Arial" w:eastAsia="Arial" w:hAnsi="Arial"/>
          <w:sz w:val="18"/>
          <w:szCs w:val="18"/>
          <w:color w:val="auto"/>
        </w:rPr>
      </w:pPr>
    </w:p>
    <w:p>
      <w:pPr>
        <w:ind w:left="1000" w:hanging="44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67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11" w:lineRule="exact"/>
        <w:rPr>
          <w:sz w:val="20"/>
          <w:szCs w:val="20"/>
          <w:color w:val="auto"/>
        </w:rPr>
      </w:pPr>
    </w:p>
    <w:p>
      <w:pPr>
        <w:ind w:left="1000" w:right="460" w:hanging="444"/>
        <w:spacing w:after="0" w:line="26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pension plans, including “qualified foreign pension funds” as defined in Section 897(l)(2) of the Code and entities all of the interests of which are held by qualified foreign pension funds;</w:t>
      </w:r>
    </w:p>
    <w:p>
      <w:pPr>
        <w:spacing w:after="0" w:line="199" w:lineRule="exact"/>
        <w:rPr>
          <w:rFonts w:ascii="Arial" w:cs="Arial" w:eastAsia="Arial" w:hAnsi="Arial"/>
          <w:sz w:val="18"/>
          <w:szCs w:val="18"/>
          <w:color w:val="auto"/>
        </w:rPr>
      </w:pPr>
    </w:p>
    <w:p>
      <w:pPr>
        <w:ind w:left="1000" w:hanging="4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38" w:lineRule="exact"/>
        <w:rPr>
          <w:rFonts w:ascii="Arial" w:cs="Arial" w:eastAsia="Arial" w:hAnsi="Arial"/>
          <w:sz w:val="18"/>
          <w:szCs w:val="18"/>
          <w:color w:val="auto"/>
        </w:rPr>
      </w:pPr>
    </w:p>
    <w:p>
      <w:pPr>
        <w:ind w:left="1000" w:right="140" w:hanging="444"/>
        <w:spacing w:after="0" w:line="26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199" w:lineRule="exact"/>
        <w:rPr>
          <w:rFonts w:ascii="Arial" w:cs="Arial" w:eastAsia="Arial" w:hAnsi="Arial"/>
          <w:sz w:val="18"/>
          <w:szCs w:val="18"/>
          <w:color w:val="auto"/>
        </w:rPr>
      </w:pPr>
    </w:p>
    <w:p>
      <w:pPr>
        <w:ind w:left="1000" w:hanging="4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00" w:right="220" w:hanging="444"/>
        <w:spacing w:after="0" w:line="26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controlled foreign corporations and passive foreign investment companies, each as defined in the Code, and shareholders of such entities;</w:t>
      </w:r>
    </w:p>
    <w:p>
      <w:pPr>
        <w:spacing w:after="0" w:line="199" w:lineRule="exact"/>
        <w:rPr>
          <w:rFonts w:ascii="Arial" w:cs="Arial" w:eastAsia="Arial" w:hAnsi="Arial"/>
          <w:sz w:val="18"/>
          <w:szCs w:val="18"/>
          <w:color w:val="auto"/>
        </w:rPr>
      </w:pPr>
    </w:p>
    <w:p>
      <w:pPr>
        <w:ind w:left="1000" w:hanging="4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non-U.S. governments or international organizations;</w:t>
      </w:r>
    </w:p>
    <w:p>
      <w:pPr>
        <w:spacing w:after="0" w:line="238" w:lineRule="exact"/>
        <w:rPr>
          <w:rFonts w:ascii="Arial" w:cs="Arial" w:eastAsia="Arial" w:hAnsi="Arial"/>
          <w:sz w:val="18"/>
          <w:szCs w:val="18"/>
          <w:color w:val="auto"/>
        </w:rPr>
      </w:pPr>
    </w:p>
    <w:p>
      <w:pPr>
        <w:ind w:left="1000" w:right="500" w:hanging="444"/>
        <w:spacing w:after="0" w:line="26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pass-through entities, including partnerships and entities and arrangements classified as partnerships for U.S. federal tax purposes, and beneficial owners of pass-through entities; and</w:t>
      </w:r>
    </w:p>
    <w:p>
      <w:pPr>
        <w:spacing w:after="0" w:line="199" w:lineRule="exact"/>
        <w:rPr>
          <w:rFonts w:ascii="Arial" w:cs="Arial" w:eastAsia="Arial" w:hAnsi="Arial"/>
          <w:sz w:val="18"/>
          <w:szCs w:val="18"/>
          <w:color w:val="auto"/>
        </w:rPr>
      </w:pPr>
    </w:p>
    <w:p>
      <w:pPr>
        <w:ind w:left="1000" w:hanging="4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02" w:lineRule="exact"/>
        <w:rPr>
          <w:sz w:val="20"/>
          <w:szCs w:val="20"/>
          <w:color w:val="auto"/>
        </w:rPr>
      </w:pPr>
    </w:p>
    <w:p>
      <w:pPr>
        <w:ind w:left="120" w:right="20" w:firstLine="440"/>
        <w:spacing w:after="0" w:line="251" w:lineRule="auto"/>
        <w:rPr>
          <w:sz w:val="20"/>
          <w:szCs w:val="20"/>
          <w:color w:val="auto"/>
        </w:rPr>
      </w:pPr>
      <w:r>
        <w:rPr>
          <w:rFonts w:ascii="Arial" w:cs="Arial" w:eastAsia="Arial" w:hAnsi="Arial"/>
          <w:sz w:val="18"/>
          <w:szCs w:val="18"/>
          <w:b w:val="1"/>
          <w:bCs w:val="1"/>
          <w:color w:val="auto"/>
        </w:rPr>
        <w:t>THIS DISCUSSION IS FOR INFORMATIONAL PURPOSES ONLY AND IS NOT, AND IS NOT INTENDED TO BE, LEGAL OR TAX ADVICE. PROSPECTIVE INVESTORS SHOULD CONSULT THEIR OWN TAX ADVISORS REGARDING THE U.S. FEDERAL, STATE, LOCAL, AND NON-U.S. INCOME, ESTATE AND OTHER TAX CONSIDERATIONS OF ACQUIRING, HOLDING AND DISPOSING OF OUR COMMON STOCK.</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Distributions</w:t>
      </w:r>
    </w:p>
    <w:p>
      <w:pPr>
        <w:spacing w:after="0" w:line="22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holder’s tax basis in the common stock. Any remaining excess will be treated as gain from the sale or exchange of our common stock, subject to the tax treatment described below under the heading “Gain on Sale, Exchange or Other Taxable Disposition of Our Common Stock.” Any distributions will also be subject to the discussions below under the headings “Information Reporting and Backup Withholding” and “FATCA.”</w:t>
      </w:r>
    </w:p>
    <w:p>
      <w:pPr>
        <w:spacing w:after="0" w:line="191" w:lineRule="exact"/>
        <w:rPr>
          <w:sz w:val="20"/>
          <w:szCs w:val="20"/>
          <w:color w:val="auto"/>
        </w:rPr>
      </w:pPr>
    </w:p>
    <w:p>
      <w:pPr>
        <w:ind w:left="120" w:right="100" w:firstLine="440"/>
        <w:spacing w:after="0" w:line="260" w:lineRule="auto"/>
        <w:rPr>
          <w:sz w:val="20"/>
          <w:szCs w:val="20"/>
          <w:color w:val="auto"/>
        </w:rPr>
      </w:pPr>
      <w:r>
        <w:rPr>
          <w:rFonts w:ascii="Arial" w:cs="Arial" w:eastAsia="Arial" w:hAnsi="Arial"/>
          <w:sz w:val="18"/>
          <w:szCs w:val="18"/>
          <w:color w:val="auto"/>
        </w:rPr>
        <w:t>Except as described below, dividends paid to a non-U.S. holder generally will be subject to withholding of U.S. federal income tax at a 30% rate or such lower rate as may be specified by an applicable income tax treaty.</w:t>
      </w:r>
    </w:p>
    <w:p>
      <w:pPr>
        <w:spacing w:after="0" w:line="17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w:t>
      </w:r>
    </w:p>
    <w:p>
      <w:pPr>
        <w:spacing w:after="0" w:line="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United States persons (as defined in the Code). Any U.S. effectively connected income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67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11" w:lineRule="exact"/>
        <w:rPr>
          <w:sz w:val="20"/>
          <w:szCs w:val="20"/>
          <w:color w:val="auto"/>
        </w:rPr>
      </w:pPr>
    </w:p>
    <w:p>
      <w:pPr>
        <w:ind w:left="120" w:right="480"/>
        <w:spacing w:after="0" w:line="247" w:lineRule="auto"/>
        <w:rPr>
          <w:sz w:val="20"/>
          <w:szCs w:val="20"/>
          <w:color w:val="auto"/>
        </w:rPr>
      </w:pPr>
      <w:r>
        <w:rPr>
          <w:rFonts w:ascii="Arial" w:cs="Arial" w:eastAsia="Arial" w:hAnsi="Arial"/>
          <w:sz w:val="18"/>
          <w:szCs w:val="18"/>
          <w:color w:val="auto"/>
        </w:rPr>
        <w:t>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84" w:lineRule="exact"/>
        <w:rPr>
          <w:sz w:val="20"/>
          <w:szCs w:val="20"/>
          <w:color w:val="auto"/>
        </w:rPr>
      </w:pPr>
    </w:p>
    <w:p>
      <w:pPr>
        <w:ind w:left="120" w:right="240" w:firstLine="440"/>
        <w:spacing w:after="0" w:line="239"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 and the specific methods available to them to satisfy these requirements.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22" w:lineRule="exact"/>
        <w:rPr>
          <w:sz w:val="20"/>
          <w:szCs w:val="20"/>
          <w:color w:val="auto"/>
        </w:rPr>
      </w:pPr>
    </w:p>
    <w:p>
      <w:pPr>
        <w:jc w:val="both"/>
        <w:ind w:left="120" w:right="100" w:firstLine="440"/>
        <w:spacing w:after="0" w:line="247" w:lineRule="auto"/>
        <w:rPr>
          <w:sz w:val="20"/>
          <w:szCs w:val="20"/>
          <w:color w:val="auto"/>
        </w:rPr>
      </w:pPr>
      <w:r>
        <w:rPr>
          <w:rFonts w:ascii="Arial" w:cs="Arial" w:eastAsia="Arial" w:hAnsi="Arial"/>
          <w:sz w:val="18"/>
          <w:szCs w:val="18"/>
          <w:color w:val="auto"/>
        </w:rPr>
        <w:t>Subject to the discussions below under “Information Reporting and Backup Withholding” and “FACTA,” a non-U.S. holder generally will not be subject to U.S. federal income tax on any gain realized upon such non-U.S. holder’s sale, exchange or other disposition of our common stock unless:</w:t>
      </w:r>
    </w:p>
    <w:p>
      <w:pPr>
        <w:spacing w:after="0" w:line="211" w:lineRule="exact"/>
        <w:rPr>
          <w:sz w:val="20"/>
          <w:szCs w:val="20"/>
          <w:color w:val="auto"/>
        </w:rPr>
      </w:pPr>
    </w:p>
    <w:p>
      <w:pPr>
        <w:ind w:left="1000" w:right="180" w:hanging="444"/>
        <w:spacing w:after="0" w:line="238"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same U.S. federal income tax rates applicable to United States persons (as defined in the Code), and, if</w:t>
      </w:r>
    </w:p>
    <w:p>
      <w:pPr>
        <w:ind w:left="1000" w:right="60"/>
        <w:spacing w:after="0" w:line="246" w:lineRule="auto"/>
        <w:rPr>
          <w:rFonts w:ascii="Arial" w:cs="Arial" w:eastAsia="Arial" w:hAnsi="Arial"/>
          <w:sz w:val="18"/>
          <w:szCs w:val="18"/>
          <w:color w:val="auto"/>
        </w:rPr>
      </w:pPr>
      <w:r>
        <w:rPr>
          <w:rFonts w:ascii="Arial" w:cs="Arial" w:eastAsia="Arial" w:hAnsi="Arial"/>
          <w:sz w:val="18"/>
          <w:szCs w:val="18"/>
          <w:color w:val="auto"/>
        </w:rPr>
        <w:t>the non-U.S. holder is a foreign corporation, the branch profits tax described above under the heading “Distributions” may also apply;</w:t>
      </w:r>
    </w:p>
    <w:p>
      <w:pPr>
        <w:spacing w:after="0" w:line="211" w:lineRule="exact"/>
        <w:rPr>
          <w:rFonts w:ascii="Arial" w:cs="Arial" w:eastAsia="Arial" w:hAnsi="Arial"/>
          <w:sz w:val="18"/>
          <w:szCs w:val="18"/>
          <w:color w:val="auto"/>
        </w:rPr>
      </w:pPr>
    </w:p>
    <w:p>
      <w:pPr>
        <w:ind w:left="1000" w:right="360" w:hanging="444"/>
        <w:spacing w:after="0" w:line="252"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w:t>
      </w:r>
    </w:p>
    <w:p>
      <w:pPr>
        <w:spacing w:after="0" w:line="1"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8"/>
          <w:szCs w:val="18"/>
          <w:color w:val="auto"/>
        </w:rPr>
        <w:t>the non-U.S. holder, if any; or</w:t>
      </w:r>
    </w:p>
    <w:p>
      <w:pPr>
        <w:spacing w:after="0" w:line="226" w:lineRule="exact"/>
        <w:rPr>
          <w:rFonts w:ascii="Arial" w:cs="Arial" w:eastAsia="Arial" w:hAnsi="Arial"/>
          <w:sz w:val="17"/>
          <w:szCs w:val="17"/>
          <w:color w:val="auto"/>
        </w:rPr>
      </w:pPr>
    </w:p>
    <w:p>
      <w:pPr>
        <w:ind w:left="1000" w:hanging="444"/>
        <w:spacing w:after="0" w:line="252"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disposition (or the non-U.S. holder’s holding period, if shorter) a “U.S. real property holding corporation” unless our common stock is “regularly traded on an established securities market” (within the meaning of the Code) and the non-U.S. holder held (directly, indirectly, or constructively (after applying certain attribution rules)) no more than 5% of our outstanding common stock,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United States persons (as defined in the Code) and the purchaser may be required to withhold and remit to the IRS 15% of the purchase price.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provided that our common stock will be regularly traded on an established securities market for purposes of the rule described above.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675"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Federal Estate Tax</w:t>
      </w:r>
    </w:p>
    <w:p>
      <w:pPr>
        <w:spacing w:after="0" w:line="222" w:lineRule="exact"/>
        <w:rPr>
          <w:sz w:val="20"/>
          <w:szCs w:val="20"/>
          <w:color w:val="auto"/>
        </w:rPr>
      </w:pPr>
    </w:p>
    <w:p>
      <w:pPr>
        <w:ind w:left="120" w:right="40" w:firstLine="440"/>
        <w:spacing w:after="0" w:line="243" w:lineRule="auto"/>
        <w:rPr>
          <w:sz w:val="20"/>
          <w:szCs w:val="20"/>
          <w:color w:val="auto"/>
        </w:rPr>
      </w:pPr>
      <w:r>
        <w:rPr>
          <w:rFonts w:ascii="Arial" w:cs="Arial" w:eastAsia="Arial" w:hAnsi="Arial"/>
          <w:sz w:val="18"/>
          <w:szCs w:val="18"/>
          <w:color w:val="auto"/>
        </w:rPr>
        <w:t>Shares of our common stock that are owned or treated as owned by an individual who is not a U.S.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Generally, a non-U.S. holder will comply with such procedures if it provides a properly executed IRS Form W-8BEN or W-8BEN-E (or other applicable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94" w:lineRule="exact"/>
        <w:rPr>
          <w:sz w:val="20"/>
          <w:szCs w:val="20"/>
          <w:color w:val="auto"/>
        </w:rPr>
      </w:pPr>
    </w:p>
    <w:p>
      <w:pPr>
        <w:ind w:left="120" w:right="920" w:firstLine="440"/>
        <w:spacing w:after="0" w:line="255"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common stock by a non-U.S. holder effected by or through the U.S. office of any broker, U.S. or non-U.S., unless the holder certifies its status as</w:t>
      </w:r>
    </w:p>
    <w:p>
      <w:pPr>
        <w:spacing w:after="0" w:line="2" w:lineRule="exact"/>
        <w:rPr>
          <w:sz w:val="20"/>
          <w:szCs w:val="20"/>
          <w:color w:val="auto"/>
        </w:rPr>
      </w:pPr>
    </w:p>
    <w:p>
      <w:pPr>
        <w:jc w:val="both"/>
        <w:ind w:left="120" w:right="180"/>
        <w:spacing w:after="0" w:line="234" w:lineRule="auto"/>
        <w:rPr>
          <w:sz w:val="20"/>
          <w:szCs w:val="20"/>
          <w:color w:val="auto"/>
        </w:rPr>
      </w:pPr>
      <w:r>
        <w:rPr>
          <w:rFonts w:ascii="Arial" w:cs="Arial" w:eastAsia="Arial" w:hAnsi="Arial"/>
          <w:sz w:val="18"/>
          <w:szCs w:val="18"/>
          <w:color w:val="auto"/>
        </w:rPr>
        <w:t>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w:t>
      </w:r>
    </w:p>
    <w:p>
      <w:pPr>
        <w:spacing w:after="0" w:line="2" w:lineRule="exact"/>
        <w:rPr>
          <w:sz w:val="20"/>
          <w:szCs w:val="20"/>
          <w:color w:val="auto"/>
        </w:rPr>
      </w:pPr>
    </w:p>
    <w:p>
      <w:pPr>
        <w:ind w:left="120" w:right="400"/>
        <w:spacing w:after="0"/>
        <w:rPr>
          <w:sz w:val="20"/>
          <w:szCs w:val="20"/>
          <w:color w:val="auto"/>
        </w:rPr>
      </w:pPr>
      <w:r>
        <w:rPr>
          <w:rFonts w:ascii="Arial" w:cs="Arial" w:eastAsia="Arial" w:hAnsi="Arial"/>
          <w:sz w:val="18"/>
          <w:szCs w:val="18"/>
          <w:color w:val="auto"/>
        </w:rPr>
        <w:t>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91" w:lineRule="exact"/>
        <w:rPr>
          <w:sz w:val="20"/>
          <w:szCs w:val="20"/>
          <w:color w:val="auto"/>
        </w:rPr>
      </w:pPr>
    </w:p>
    <w:p>
      <w:pPr>
        <w:ind w:left="120" w:right="220" w:firstLine="440"/>
        <w:spacing w:after="0" w:line="260"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73" w:lineRule="exact"/>
        <w:rPr>
          <w:sz w:val="20"/>
          <w:szCs w:val="20"/>
          <w:color w:val="auto"/>
        </w:rPr>
      </w:pPr>
    </w:p>
    <w:p>
      <w:pPr>
        <w:ind w:left="120" w:right="380" w:firstLine="440"/>
        <w:spacing w:after="0" w:line="247" w:lineRule="auto"/>
        <w:rPr>
          <w:sz w:val="20"/>
          <w:szCs w:val="20"/>
          <w:color w:val="auto"/>
        </w:rPr>
      </w:pPr>
      <w:r>
        <w:rPr>
          <w:rFonts w:ascii="Arial" w:cs="Arial" w:eastAsia="Arial" w:hAnsi="Arial"/>
          <w:sz w:val="18"/>
          <w:szCs w:val="18"/>
          <w:color w:val="auto"/>
        </w:rPr>
        <w:t>Backup withholding is not an additional tax. Rather,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FATCA</w:t>
      </w:r>
    </w:p>
    <w:p>
      <w:pPr>
        <w:spacing w:after="0" w:line="22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Provisions of the Code commonly referred to as the Foreign Account Tax Compliance Act, or FATCA, generally impose a 30% withholding tax on dividends on, and gross proceeds from the sale or other disposition of, our common stock if paid to a foreign entity unless (1) if the foreign entity is a “foreign financial institution,” the foreign entity undertakes certain due diligence, reporting, withholding, and certification obligations, (2) if the foreign entity is not a “foreign financial institution,” the foreign entity identifies certain of its U.S. investors, or (3) the foreign entity is otherwise excepted under FATCA. Under proposed U.S. Treasury Regulations that may be relied upon until the final regulations are issued, FACTA withholding on gross proceeds from the sale or other disposition of our common stock would not currently apply.</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675"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11"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apply to payments of gross proceeds from a sale or other disposition of our common stock under proposed U.S. Treasury Regulations, withholding on payments of gross proceeds is not required. Although such regulations are not final, applicable withholding agents may rely on the proposed regulations until final regulations are issued.</w:t>
      </w:r>
    </w:p>
    <w:p>
      <w:pPr>
        <w:spacing w:after="0" w:line="188"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179"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b w:val="1"/>
          <w:bCs w:val="1"/>
          <w:color w:val="auto"/>
        </w:rPr>
        <w:t>The preceding discussion of material U.S. federal tax considerations is for informational purposes only. It is not legal or tax advice. Prospective investors should consult their own tax advisors regarding the particular U.S. federal, state, local,</w:t>
      </w:r>
    </w:p>
    <w:p>
      <w:pPr>
        <w:spacing w:after="0" w:line="1"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color w:val="auto"/>
        </w:rPr>
        <w:t>and non-U.S. tax consequences of purchasing, holding and disposing of our common stock, including the consequences of any proposed changes in applicable laws.</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675"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 Subject to certain conditions, each underwriter has severally agreed to purchase the number of shares of common stock indicated in the following table. Goldman Sachs &amp; Co. LLC is the representative of the underwriters.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420" w:type="dxa"/>
            <w:vAlign w:val="bottom"/>
            <w:vMerge w:val="restart"/>
          </w:tcPr>
          <w:p>
            <w:pPr>
              <w:spacing w:after="0"/>
              <w:rPr>
                <w:sz w:val="20"/>
                <w:szCs w:val="20"/>
                <w:color w:val="auto"/>
              </w:rPr>
            </w:pPr>
            <w:r>
              <w:rPr>
                <w:rFonts w:ascii="Arial" w:cs="Arial" w:eastAsia="Arial" w:hAnsi="Arial"/>
                <w:sz w:val="16"/>
                <w:szCs w:val="16"/>
                <w:b w:val="1"/>
                <w:bCs w:val="1"/>
                <w:color w:val="auto"/>
              </w:rPr>
              <w:t>Underwriters</w:t>
            </w:r>
          </w:p>
        </w:tc>
        <w:tc>
          <w:tcPr>
            <w:tcW w:w="5260" w:type="dxa"/>
            <w:vAlign w:val="bottom"/>
          </w:tcPr>
          <w:p>
            <w:pPr>
              <w:jc w:val="center"/>
              <w:ind w:left="4359"/>
              <w:spacing w:after="0"/>
              <w:rPr>
                <w:sz w:val="20"/>
                <w:szCs w:val="20"/>
                <w:color w:val="auto"/>
              </w:rPr>
            </w:pPr>
            <w:r>
              <w:rPr>
                <w:rFonts w:ascii="Arial" w:cs="Arial" w:eastAsia="Arial" w:hAnsi="Arial"/>
                <w:sz w:val="16"/>
                <w:szCs w:val="16"/>
                <w:b w:val="1"/>
                <w:bCs w:val="1"/>
                <w:color w:val="auto"/>
              </w:rPr>
              <w:t>Number of</w:t>
            </w:r>
          </w:p>
        </w:tc>
        <w:tc>
          <w:tcPr>
            <w:tcW w:w="0" w:type="dxa"/>
            <w:vAlign w:val="bottom"/>
          </w:tcPr>
          <w:p>
            <w:pPr>
              <w:spacing w:after="0"/>
              <w:rPr>
                <w:sz w:val="1"/>
                <w:szCs w:val="1"/>
                <w:color w:val="auto"/>
              </w:rPr>
            </w:pPr>
          </w:p>
        </w:tc>
      </w:tr>
      <w:tr>
        <w:trPr>
          <w:trHeight w:val="220"/>
        </w:trPr>
        <w:tc>
          <w:tcPr>
            <w:tcW w:w="5420" w:type="dxa"/>
            <w:vAlign w:val="bottom"/>
            <w:vMerge w:val="continue"/>
          </w:tcPr>
          <w:p>
            <w:pPr>
              <w:spacing w:after="0"/>
              <w:rPr>
                <w:sz w:val="19"/>
                <w:szCs w:val="19"/>
                <w:color w:val="auto"/>
              </w:rPr>
            </w:pPr>
          </w:p>
        </w:tc>
        <w:tc>
          <w:tcPr>
            <w:tcW w:w="5260" w:type="dxa"/>
            <w:vAlign w:val="bottom"/>
          </w:tcPr>
          <w:p>
            <w:pPr>
              <w:jc w:val="center"/>
              <w:ind w:left="4359"/>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60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-1905</wp:posOffset>
            </wp:positionV>
            <wp:extent cx="8743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14605</wp:posOffset>
            </wp:positionV>
            <wp:extent cx="8743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34" w:lineRule="exact"/>
        <w:rPr>
          <w:sz w:val="20"/>
          <w:szCs w:val="20"/>
          <w:color w:val="auto"/>
        </w:rPr>
      </w:pPr>
    </w:p>
    <w:p>
      <w:pPr>
        <w:ind w:left="120" w:right="20" w:firstLine="440"/>
        <w:spacing w:after="0" w:line="260"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73" w:lineRule="exact"/>
        <w:rPr>
          <w:sz w:val="20"/>
          <w:szCs w:val="20"/>
          <w:color w:val="auto"/>
        </w:rPr>
      </w:pPr>
    </w:p>
    <w:p>
      <w:pPr>
        <w:ind w:left="120" w:right="100" w:firstLine="440"/>
        <w:spacing w:after="0" w:line="243"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88" w:lineRule="exact"/>
        <w:rPr>
          <w:sz w:val="20"/>
          <w:szCs w:val="20"/>
          <w:color w:val="auto"/>
        </w:rPr>
      </w:pPr>
    </w:p>
    <w:p>
      <w:pPr>
        <w:ind w:left="120" w:right="480" w:firstLine="440"/>
        <w:spacing w:after="0" w:line="24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company. Such amounts are shown assuming both no exercise and full exercise of the underwriters’ option to purchase additional shares.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No</w:t>
            </w:r>
          </w:p>
        </w:tc>
        <w:tc>
          <w:tcPr>
            <w:tcW w:w="280" w:type="dxa"/>
            <w:vAlign w:val="bottom"/>
          </w:tcPr>
          <w:p>
            <w:pPr>
              <w:spacing w:after="0"/>
              <w:rPr>
                <w:sz w:val="16"/>
                <w:szCs w:val="16"/>
                <w:color w:val="auto"/>
              </w:rPr>
            </w:pPr>
          </w:p>
        </w:tc>
        <w:tc>
          <w:tcPr>
            <w:tcW w:w="1000" w:type="dxa"/>
            <w:vAlign w:val="bottom"/>
            <w:gridSpan w:val="2"/>
          </w:tcPr>
          <w:p>
            <w:pPr>
              <w:ind w:left="320"/>
              <w:spacing w:after="0"/>
              <w:rPr>
                <w:sz w:val="20"/>
                <w:szCs w:val="20"/>
                <w:color w:val="auto"/>
              </w:rPr>
            </w:pPr>
            <w:r>
              <w:rPr>
                <w:rFonts w:ascii="Arial" w:cs="Arial" w:eastAsia="Arial" w:hAnsi="Arial"/>
                <w:sz w:val="16"/>
                <w:szCs w:val="16"/>
                <w:b w:val="1"/>
                <w:bCs w:val="1"/>
                <w:color w:val="auto"/>
              </w:rPr>
              <w:t>Full</w:t>
            </w:r>
          </w:p>
        </w:tc>
      </w:tr>
      <w:tr>
        <w:trPr>
          <w:trHeight w:val="207"/>
        </w:trPr>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Exercise</w:t>
            </w:r>
          </w:p>
        </w:tc>
        <w:tc>
          <w:tcPr>
            <w:tcW w:w="280" w:type="dxa"/>
            <w:vAlign w:val="bottom"/>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Exercise</w:t>
            </w:r>
          </w:p>
        </w:tc>
        <w:tc>
          <w:tcPr>
            <w:tcW w:w="60" w:type="dxa"/>
            <w:vAlign w:val="bottom"/>
          </w:tcPr>
          <w:p>
            <w:pPr>
              <w:spacing w:after="0"/>
              <w:rPr>
                <w:sz w:val="18"/>
                <w:szCs w:val="18"/>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4940" w:type="dxa"/>
            <w:vAlign w:val="bottom"/>
            <w:gridSpan w:val="2"/>
            <w:shd w:val="clear" w:color="auto" w:fill="CCEEFF"/>
          </w:tcPr>
          <w:p>
            <w:pPr>
              <w:jc w:val="right"/>
              <w:ind w:right="759"/>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59"/>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w:t>
      </w:r>
    </w:p>
    <w:p>
      <w:pPr>
        <w:spacing w:after="0" w:line="8"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prospectus supplement. Any shares sold by the underwriters to securities dealers may be sold at a discount of up to $ per share from the public offering price. After the initial offering of the shares, the representative may change the offering price and the other selling terms. The offering of the shares by the underwriters is subject to receipt and acceptance and subject to the underwriters’ right to reject any order in whole or in part.</w:t>
      </w:r>
    </w:p>
    <w:p>
      <w:pPr>
        <w:spacing w:after="0" w:line="193" w:lineRule="exact"/>
        <w:rPr>
          <w:sz w:val="20"/>
          <w:szCs w:val="20"/>
          <w:color w:val="auto"/>
        </w:rPr>
      </w:pPr>
    </w:p>
    <w:p>
      <w:pPr>
        <w:ind w:left="120" w:right="280" w:firstLine="440"/>
        <w:spacing w:after="0" w:line="241" w:lineRule="auto"/>
        <w:rPr>
          <w:sz w:val="20"/>
          <w:szCs w:val="20"/>
          <w:color w:val="auto"/>
        </w:rPr>
      </w:pPr>
      <w:r>
        <w:rPr>
          <w:rFonts w:ascii="Arial" w:cs="Arial" w:eastAsia="Arial" w:hAnsi="Arial"/>
          <w:sz w:val="18"/>
          <w:szCs w:val="18"/>
          <w:color w:val="auto"/>
        </w:rPr>
        <w:t>The company and its officers and directors have agreed with the underwriters, subject to certain exceptions, not to dispose of or hedge any of their common stock or securities convertible into or exchangeable for shares of common stock (including our non-voting common stock) during the period from the date of this prospectus continuing through the date 90 days after the date of this prospectus, except with the prior written consent of Goldman Sachs &amp; Co. LLC, subject to certain exceptions. These restrictions do not apply to any existing employee benefit plans.</w:t>
      </w:r>
    </w:p>
    <w:p>
      <w:pPr>
        <w:spacing w:after="0" w:line="189" w:lineRule="exact"/>
        <w:rPr>
          <w:sz w:val="20"/>
          <w:szCs w:val="20"/>
          <w:color w:val="auto"/>
        </w:rPr>
      </w:pPr>
    </w:p>
    <w:p>
      <w:pPr>
        <w:ind w:left="120" w:right="120" w:firstLine="440"/>
        <w:spacing w:after="0" w:line="241"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675"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91" w:lineRule="exact"/>
        <w:rPr>
          <w:sz w:val="20"/>
          <w:szCs w:val="20"/>
          <w:color w:val="auto"/>
        </w:rPr>
      </w:pPr>
    </w:p>
    <w:p>
      <w:pPr>
        <w:ind w:left="120" w:right="240" w:firstLine="440"/>
        <w:spacing w:after="0" w:line="247"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spacing w:after="0" w:line="8" w:lineRule="exact"/>
        <w:rPr>
          <w:sz w:val="20"/>
          <w:szCs w:val="20"/>
          <w:color w:val="auto"/>
        </w:rPr>
      </w:pPr>
    </w:p>
    <w:p>
      <w:pPr>
        <w:ind w:left="120"/>
        <w:spacing w:after="0"/>
        <w:tabs>
          <w:tab w:leader="none" w:pos="21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We have agreed to reimburse the underwriters for certain of their expenses in an amount up to $20,000.</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120" w:right="40" w:firstLine="440"/>
        <w:spacing w:after="0" w:line="241"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80"/>
          </w:cols>
          <w:pgMar w:left="320" w:top="675"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11"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securities and instruments. Certain of the underwriters may offer and sell the shares through one or more of their respective affiliates or other registered broker-dealers or selling agents.</w:t>
      </w:r>
    </w:p>
    <w:p>
      <w:pPr>
        <w:spacing w:after="0" w:line="173" w:lineRule="exact"/>
        <w:rPr>
          <w:sz w:val="20"/>
          <w:szCs w:val="20"/>
          <w:color w:val="auto"/>
        </w:rPr>
      </w:pPr>
    </w:p>
    <w:p>
      <w:pPr>
        <w:ind w:left="120" w:right="60" w:firstLine="440"/>
        <w:spacing w:after="0" w:line="243"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8"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Sales of shares made outside of the United States, or the US, may be made by affiliates of the underwriters. Other than in the US,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European Economic Area</w:t>
      </w:r>
    </w:p>
    <w:p>
      <w:pPr>
        <w:spacing w:after="0" w:line="222"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In relation to each Member State of the European Economic Area (each a Member State), no common shares (the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21" w:lineRule="exact"/>
        <w:rPr>
          <w:sz w:val="20"/>
          <w:szCs w:val="20"/>
          <w:color w:val="auto"/>
        </w:rPr>
      </w:pPr>
    </w:p>
    <w:p>
      <w:pPr>
        <w:ind w:left="1100" w:hanging="5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38" w:lineRule="exact"/>
        <w:rPr>
          <w:rFonts w:ascii="Arial" w:cs="Arial" w:eastAsia="Arial" w:hAnsi="Arial"/>
          <w:sz w:val="18"/>
          <w:szCs w:val="18"/>
          <w:color w:val="auto"/>
        </w:rPr>
      </w:pPr>
    </w:p>
    <w:p>
      <w:pPr>
        <w:ind w:left="1100" w:hanging="544"/>
        <w:spacing w:after="0" w:line="260"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for any such offer; or</w:t>
      </w:r>
    </w:p>
    <w:p>
      <w:pPr>
        <w:spacing w:after="0" w:line="199" w:lineRule="exact"/>
        <w:rPr>
          <w:rFonts w:ascii="Arial" w:cs="Arial" w:eastAsia="Arial" w:hAnsi="Arial"/>
          <w:sz w:val="18"/>
          <w:szCs w:val="18"/>
          <w:color w:val="auto"/>
        </w:rPr>
      </w:pPr>
    </w:p>
    <w:p>
      <w:pPr>
        <w:ind w:left="1100" w:hanging="5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provided that no such offer of Shares shall require the company or any representatives to publish a prospectus pursuant to Article 3 of the Prospectus Regulation or supplement a prospectus pursuant to Article 23 of the Prospectus Regulation.</w:t>
      </w:r>
    </w:p>
    <w:p>
      <w:pPr>
        <w:spacing w:after="0" w:line="173"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675"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100" w:right="480" w:hanging="544"/>
        <w:spacing w:after="0" w:line="243"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the company; and</w:t>
      </w:r>
    </w:p>
    <w:p>
      <w:pPr>
        <w:spacing w:after="0" w:line="214" w:lineRule="exact"/>
        <w:rPr>
          <w:rFonts w:ascii="Arial" w:cs="Arial" w:eastAsia="Arial" w:hAnsi="Arial"/>
          <w:sz w:val="18"/>
          <w:szCs w:val="18"/>
          <w:color w:val="auto"/>
        </w:rPr>
      </w:pPr>
    </w:p>
    <w:p>
      <w:pPr>
        <w:ind w:left="1100" w:right="80" w:hanging="544"/>
        <w:spacing w:after="0" w:line="260"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Canada</w:t>
      </w:r>
    </w:p>
    <w:p>
      <w:pPr>
        <w:spacing w:after="0" w:line="222" w:lineRule="exact"/>
        <w:rPr>
          <w:sz w:val="20"/>
          <w:szCs w:val="20"/>
          <w:color w:val="auto"/>
        </w:rPr>
      </w:pPr>
    </w:p>
    <w:p>
      <w:pPr>
        <w:ind w:left="120" w:right="140" w:firstLine="440"/>
        <w:spacing w:after="0" w:line="241"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9"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9" w:lineRule="exact"/>
        <w:rPr>
          <w:sz w:val="20"/>
          <w:szCs w:val="20"/>
          <w:color w:val="auto"/>
        </w:rPr>
      </w:pPr>
    </w:p>
    <w:p>
      <w:pPr>
        <w:ind w:left="120" w:right="520" w:firstLine="440"/>
        <w:spacing w:after="0" w:line="260"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Hong Kong</w:t>
      </w:r>
    </w:p>
    <w:p>
      <w:pPr>
        <w:spacing w:after="0" w:line="2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675"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Singapore</w:t>
      </w:r>
    </w:p>
    <w:p>
      <w:pPr>
        <w:spacing w:after="0" w:line="22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94"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Japan</w:t>
      </w:r>
    </w:p>
    <w:p>
      <w:pPr>
        <w:spacing w:after="0" w:line="222" w:lineRule="exact"/>
        <w:rPr>
          <w:sz w:val="20"/>
          <w:szCs w:val="20"/>
          <w:color w:val="auto"/>
        </w:rPr>
      </w:pPr>
    </w:p>
    <w:p>
      <w:pPr>
        <w:ind w:left="120" w:right="240" w:firstLine="440"/>
        <w:spacing w:after="0" w:line="241"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675"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2"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The validity of the shares of our common stock offered in this prospectus supplement will be passed upon for us by Gunderson Dettmer Stough Villeneuve Franklin &amp; Hachigian, LLP, Boston, Massachusetts. Goodwin Procter LLP, Boston, Massachusetts, has acted as counsel for the underwriters in connection with this offering.</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2"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We have filed a registration statement on Form S-3 with the SEC under the Securities Act. This prospectus supplement and the accompanying base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base prospectus, and any references to this website or any other website are inactive textual references only.</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base prospectus. Information that is incorporated by reference is considered to be part of this prospectus supplement and the accompanying base prospectus and you should read it with the same care that you read this prospectus supplement and the accompanying base prospectus. Later information that we file with the SEC will automatically update and supersede the information that is either contained, or incorporated by reference, in this prospectus supplement and the accompanying base prospectus, and will be considered to be a part of this prospectus supplement and the accompanying base prospectus from the date those documents are filed. We incorporate by reference the documents listed below and any future filings we make with the SEC under Section 13(a), 13(c), 14, or 15(d) of the Exchange Act (in each case, other than those documents or the portions of those documents furnished (but not filed) pursuant to Items 2.02 or 7.01 of any Current Report on Form 8-K) prior to the termination of any offering of securities made by this prospectus supplement and accompanying base prospectus:</w:t>
      </w:r>
    </w:p>
    <w:p>
      <w:pPr>
        <w:spacing w:after="0" w:line="222" w:lineRule="exact"/>
        <w:rPr>
          <w:sz w:val="20"/>
          <w:szCs w:val="20"/>
          <w:color w:val="auto"/>
        </w:rPr>
      </w:pPr>
    </w:p>
    <w:p>
      <w:pPr>
        <w:ind w:left="1000" w:hanging="444"/>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10, 2023;</w:t>
      </w:r>
    </w:p>
    <w:p>
      <w:pPr>
        <w:spacing w:after="0" w:line="238" w:lineRule="exact"/>
        <w:rPr>
          <w:rFonts w:ascii="Arial" w:cs="Arial" w:eastAsia="Arial" w:hAnsi="Arial"/>
          <w:sz w:val="18"/>
          <w:szCs w:val="18"/>
          <w:color w:val="auto"/>
        </w:rPr>
      </w:pPr>
    </w:p>
    <w:p>
      <w:pPr>
        <w:ind w:left="1000" w:right="100" w:hanging="444"/>
        <w:spacing w:after="0" w:line="260" w:lineRule="auto"/>
        <w:tabs>
          <w:tab w:leader="none" w:pos="1000" w:val="left"/>
        </w:tabs>
        <w:numPr>
          <w:ilvl w:val="0"/>
          <w:numId w:val="17"/>
        </w:numPr>
        <w:rPr>
          <w:rFonts w:ascii="Arial" w:cs="Arial" w:eastAsia="Arial" w:hAnsi="Arial"/>
          <w:sz w:val="18"/>
          <w:szCs w:val="18"/>
          <w:color w:val="0000EE"/>
        </w:rPr>
      </w:pPr>
      <w:hyperlink r:id="rId49">
        <w:r>
          <w:rPr>
            <w:rFonts w:ascii="Arial" w:cs="Arial" w:eastAsia="Arial" w:hAnsi="Arial"/>
            <w:sz w:val="18"/>
            <w:szCs w:val="18"/>
            <w:color w:val="auto"/>
          </w:rPr>
          <w:t xml:space="preserve">our Quarterly Reports on Form 10-Q for the quarters ended March 31, 2023 and June 30, 2023 filed with the SEC on </w:t>
        </w:r>
        <w:r>
          <w:rPr>
            <w:rFonts w:ascii="Arial" w:cs="Arial" w:eastAsia="Arial" w:hAnsi="Arial"/>
            <w:sz w:val="18"/>
            <w:szCs w:val="18"/>
            <w:u w:val="single" w:color="auto"/>
            <w:color w:val="0000EE"/>
          </w:rPr>
          <w:t>May 10,</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2023</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0">
        <w:r>
          <w:rPr>
            <w:rFonts w:ascii="Arial" w:cs="Arial" w:eastAsia="Arial" w:hAnsi="Arial"/>
            <w:sz w:val="18"/>
            <w:szCs w:val="18"/>
            <w:u w:val="single" w:color="auto"/>
            <w:color w:val="0000EE"/>
          </w:rPr>
          <w:t>August 8, 2023</w:t>
        </w:r>
      </w:hyperlink>
      <w:hyperlink r:id="rId49">
        <w:r>
          <w:rPr>
            <w:rFonts w:ascii="Arial" w:cs="Arial" w:eastAsia="Arial" w:hAnsi="Arial"/>
            <w:sz w:val="18"/>
            <w:szCs w:val="18"/>
            <w:color w:val="000000"/>
          </w:rPr>
          <w:t>, respectively;</w:t>
        </w:r>
      </w:hyperlink>
    </w:p>
    <w:p>
      <w:pPr>
        <w:spacing w:after="0" w:line="199" w:lineRule="exact"/>
        <w:rPr>
          <w:rFonts w:ascii="Arial" w:cs="Arial" w:eastAsia="Arial" w:hAnsi="Arial"/>
          <w:sz w:val="18"/>
          <w:szCs w:val="18"/>
          <w:color w:val="0000EE"/>
        </w:rPr>
      </w:pPr>
    </w:p>
    <w:p>
      <w:pPr>
        <w:ind w:left="1000" w:hanging="444"/>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1">
        <w:r>
          <w:rPr>
            <w:rFonts w:ascii="Arial" w:cs="Arial" w:eastAsia="Arial" w:hAnsi="Arial"/>
            <w:sz w:val="18"/>
            <w:szCs w:val="18"/>
            <w:u w:val="single" w:color="auto"/>
            <w:color w:val="0000EE"/>
          </w:rPr>
          <w:t>January 10,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2">
        <w:r>
          <w:rPr>
            <w:rFonts w:ascii="Arial" w:cs="Arial" w:eastAsia="Arial" w:hAnsi="Arial"/>
            <w:sz w:val="18"/>
            <w:szCs w:val="18"/>
            <w:u w:val="single" w:color="auto"/>
            <w:color w:val="0000EE"/>
          </w:rPr>
          <w:t>June 9, 2023</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00" w:right="400" w:hanging="444"/>
        <w:spacing w:after="0" w:line="26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Schedule 14A filed with the SEC on </w:t>
      </w:r>
      <w:hyperlink r:id="rId53">
        <w:r>
          <w:rPr>
            <w:rFonts w:ascii="Arial" w:cs="Arial" w:eastAsia="Arial" w:hAnsi="Arial"/>
            <w:sz w:val="18"/>
            <w:szCs w:val="18"/>
            <w:u w:val="single" w:color="auto"/>
            <w:color w:val="0000EE"/>
          </w:rPr>
          <w:t>April 25,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(excluding those portions that are not incorporated by reference into our Annual Report on Form 10-K for the year ended December 31, 2022); and</w:t>
      </w:r>
    </w:p>
    <w:p>
      <w:pPr>
        <w:spacing w:after="0" w:line="10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67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11" w:lineRule="exact"/>
        <w:rPr>
          <w:sz w:val="20"/>
          <w:szCs w:val="20"/>
          <w:color w:val="auto"/>
        </w:rPr>
      </w:pPr>
    </w:p>
    <w:p>
      <w:pPr>
        <w:ind w:left="1000" w:right="180" w:hanging="444"/>
        <w:spacing w:after="0" w:line="260"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5">
        <w:r>
          <w:rPr>
            <w:rFonts w:ascii="Arial" w:cs="Arial" w:eastAsia="Arial" w:hAnsi="Arial"/>
            <w:sz w:val="18"/>
            <w:szCs w:val="18"/>
            <w:u w:val="single" w:color="auto"/>
            <w:color w:val="0000EE"/>
          </w:rPr>
          <w:t>Form 8-A</w:t>
        </w:r>
      </w:hyperlink>
      <w:r>
        <w:rPr>
          <w:rFonts w:ascii="Arial" w:cs="Arial" w:eastAsia="Arial" w:hAnsi="Arial"/>
          <w:sz w:val="18"/>
          <w:szCs w:val="18"/>
          <w:color w:val="auto"/>
        </w:rPr>
        <w:t>, dated May 21, 2021, and any other amendment or report filed for the purpose of updating such description.</w:t>
      </w:r>
    </w:p>
    <w:p>
      <w:pPr>
        <w:spacing w:after="0" w:line="173" w:lineRule="exact"/>
        <w:rPr>
          <w:sz w:val="20"/>
          <w:szCs w:val="20"/>
          <w:color w:val="auto"/>
        </w:rPr>
      </w:pPr>
    </w:p>
    <w:p>
      <w:pPr>
        <w:ind w:left="120" w:firstLine="440"/>
        <w:spacing w:after="0" w:line="243"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base prospectus, at no cost, by writing or telephoning us at the following address and number: Flywire Corporation, 141 Tremont St., 10th Floor, Boston, MA 02111 and (617) 329-4524. We will not, however, send exhibits to those documents, unless the exhibits are specifically incorporated by reference in those documents.</w:t>
      </w:r>
    </w:p>
    <w:p>
      <w:pPr>
        <w:spacing w:after="0" w:line="188" w:lineRule="exact"/>
        <w:rPr>
          <w:sz w:val="20"/>
          <w:szCs w:val="20"/>
          <w:color w:val="auto"/>
        </w:rPr>
      </w:pPr>
    </w:p>
    <w:p>
      <w:pPr>
        <w:jc w:val="both"/>
        <w:ind w:left="120" w:right="160" w:firstLine="440"/>
        <w:spacing w:after="0" w:line="241"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www.flywire.com. The information contained on, or that can be accessed through, our website is not a part of this prospectus supplement. Investors should not rely on any such information in deciding whether to purchase our common stock.</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675"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94615</wp:posOffset>
            </wp:positionV>
            <wp:extent cx="1362710" cy="480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3627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may, from time to time in one or more offerings, offer to sell common stock, preferred stock, debt securities or warrants. We refer to our common stock, preferred stock, debt securities and warrants collectively as the “securities.” The securities we may offer may be convertible into or exercisable or exchangeable for other securities. We may offer the securities separately or together, in separate classes, series and in amounts, at prices and on terms that will be determined at the time the securities are offered.</w:t>
      </w:r>
    </w:p>
    <w:p>
      <w:pPr>
        <w:spacing w:after="0" w:line="10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from time to time, the selling securityholders to be named in a prospectus supplement may offer our securities. We will not receive any of the proceeds from the sale of securities by the selling securityholders.</w:t>
      </w:r>
    </w:p>
    <w:p>
      <w:pPr>
        <w:spacing w:after="0" w:line="103" w:lineRule="exact"/>
        <w:rPr>
          <w:sz w:val="20"/>
          <w:szCs w:val="20"/>
          <w:color w:val="auto"/>
        </w:rPr>
      </w:pPr>
    </w:p>
    <w:p>
      <w:pPr>
        <w:jc w:val="both"/>
        <w:ind w:left="120" w:right="40"/>
        <w:spacing w:after="0" w:line="279" w:lineRule="auto"/>
        <w:rPr>
          <w:sz w:val="20"/>
          <w:szCs w:val="20"/>
          <w:color w:val="auto"/>
        </w:rPr>
      </w:pPr>
      <w:r>
        <w:rPr>
          <w:rFonts w:ascii="Arial" w:cs="Arial" w:eastAsia="Arial" w:hAnsi="Arial"/>
          <w:sz w:val="17"/>
          <w:szCs w:val="17"/>
          <w:color w:val="auto"/>
        </w:rPr>
        <w:t>This prospectus describes some of the general terms that may apply to these securities. Each time securities are sold, the specific terms and amounts of the securities to be offered, and any other information relating to the specific offering and, if applicable, the selling securityholders, will be set forth in a supplement to this prospectus. You should read this prospectus and any prospectus supplement carefully before you invest in any of the securities. This prospectus may not be used to offer and sell securities unless accompanied by a prospectus supplement.</w:t>
      </w:r>
    </w:p>
    <w:p>
      <w:pPr>
        <w:spacing w:after="0" w:line="10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or any selling securityholder may offer and sell these securities to or through one or more underwriters, dealers and agents, directly to purchasers, or through other means, on a continuous or delayed basis. If any underwriters are involved in the sale of any securities offered by this prospectus and any prospectus supplement, their names, and any applicable purchase price, fee, commission or discount arrangement between or among them, will be set forth, or may be calculable from the information set forth, in the accompanying prospectus supplement.</w:t>
      </w:r>
    </w:p>
    <w:p>
      <w:pPr>
        <w:spacing w:after="0" w:line="90"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two classes of common stock, voting common stock and non-voting common stock. The rights of the holders of voting common stock and non-voting common stock are identical, except for voting and conversion rights. Each share of voting common stock is entitled to one vote and is not convertible into another class or series of our securities. Non-voting common stock is not entitled to vote, except as required by law, and automatically converts without the payment of additional consideration into voting common stock upon transfer by holders of non-voting common stock in certain circumstances. As such, only holders of voting common stock are entitled to vote on the election of members of our board of directors. Unless otherwise noted or unless the context provides otherwise, all references in this prospectus to our “common stock” refers to our voting common stock.</w:t>
      </w:r>
    </w:p>
    <w:p>
      <w:pPr>
        <w:spacing w:after="0" w:line="97" w:lineRule="exact"/>
        <w:rPr>
          <w:sz w:val="20"/>
          <w:szCs w:val="20"/>
          <w:color w:val="auto"/>
        </w:rPr>
      </w:pPr>
    </w:p>
    <w:p>
      <w:pPr>
        <w:ind w:left="120" w:right="2140"/>
        <w:spacing w:after="0" w:line="449" w:lineRule="auto"/>
        <w:rPr>
          <w:sz w:val="20"/>
          <w:szCs w:val="20"/>
          <w:color w:val="auto"/>
        </w:rPr>
      </w:pPr>
      <w:r>
        <w:rPr>
          <w:rFonts w:ascii="Arial" w:cs="Arial" w:eastAsia="Arial" w:hAnsi="Arial"/>
          <w:sz w:val="18"/>
          <w:szCs w:val="18"/>
          <w:color w:val="auto"/>
        </w:rPr>
        <w:t xml:space="preserve">Our common stock, $0.0001 par value per share, is listed on The Nasdaq Global Select Market under the symbol “FLYW.” </w:t>
      </w:r>
      <w:r>
        <w:rPr>
          <w:rFonts w:ascii="Arial" w:cs="Arial" w:eastAsia="Arial" w:hAnsi="Arial"/>
          <w:sz w:val="18"/>
          <w:szCs w:val="18"/>
          <w:b w:val="1"/>
          <w:bCs w:val="1"/>
          <w:color w:val="auto"/>
        </w:rPr>
        <w:t>Investing in our securities involves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48895</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8" w:lineRule="exact"/>
        <w:rPr>
          <w:sz w:val="20"/>
          <w:szCs w:val="20"/>
          <w:color w:val="auto"/>
        </w:rPr>
      </w:pPr>
    </w:p>
    <w:p>
      <w:pPr>
        <w:ind w:left="120" w:right="40"/>
        <w:spacing w:after="0" w:line="334" w:lineRule="auto"/>
        <w:rPr>
          <w:sz w:val="20"/>
          <w:szCs w:val="20"/>
          <w:color w:val="auto"/>
        </w:rPr>
      </w:pPr>
      <w:r>
        <w:rPr>
          <w:rFonts w:ascii="Arial" w:cs="Arial" w:eastAsia="Arial" w:hAnsi="Arial"/>
          <w:sz w:val="19"/>
          <w:szCs w:val="19"/>
          <w:b w:val="1"/>
          <w:bCs w:val="1"/>
          <w:color w:val="auto"/>
        </w:rPr>
        <w:t>See the section of this prospectus captioned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beginning on page 4, in any applicable prospectus supplement and in our Securities and Exchange Commission (“SEC”) filings that are incorporated by reference herein.</w:t>
      </w:r>
    </w:p>
    <w:p>
      <w:pPr>
        <w:spacing w:after="0" w:line="35" w:lineRule="exact"/>
        <w:rPr>
          <w:sz w:val="20"/>
          <w:szCs w:val="20"/>
          <w:color w:val="auto"/>
        </w:rPr>
      </w:pPr>
    </w:p>
    <w:p>
      <w:pPr>
        <w:ind w:left="120" w:right="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August 9, 2023.</w:t>
      </w:r>
    </w:p>
    <w:p>
      <w:pPr>
        <w:sectPr>
          <w:pgSz w:w="11900" w:h="16838" w:orient="portrait"/>
          <w:cols w:equalWidth="0" w:num="1">
            <w:col w:w="11100"/>
          </w:cols>
          <w:pgMar w:left="320" w:top="675"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100" w:type="dxa"/>
            <w:vAlign w:val="bottom"/>
            <w:gridSpan w:val="2"/>
          </w:tcPr>
          <w:p>
            <w:pPr>
              <w:jc w:val="right"/>
              <w:ind w:right="443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3880" w:type="dxa"/>
            <w:vAlign w:val="bottom"/>
            <w:gridSpan w:val="13"/>
            <w:vMerge w:val="restart"/>
          </w:tcPr>
          <w:p>
            <w:pPr>
              <w:spacing w:after="0"/>
              <w:rPr>
                <w:sz w:val="20"/>
                <w:szCs w:val="20"/>
                <w:color w:val="auto"/>
              </w:rPr>
            </w:pPr>
            <w:r>
              <w:rPr>
                <w:rFonts w:ascii="Arial" w:cs="Arial" w:eastAsia="Arial" w:hAnsi="Arial"/>
                <w:sz w:val="18"/>
                <w:szCs w:val="18"/>
                <w:color w:val="0000EE"/>
                <w:w w:val="90"/>
              </w:rPr>
              <w:t>Special Note Regarding Forward-Looking Statements</w:t>
            </w:r>
          </w:p>
        </w:tc>
        <w:tc>
          <w:tcPr>
            <w:tcW w:w="71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880" w:type="dxa"/>
            <w:vAlign w:val="bottom"/>
            <w:tcBorders>
              <w:bottom w:val="single" w:sz="8" w:color="0000EE"/>
            </w:tcBorders>
            <w:gridSpan w:val="13"/>
            <w:vMerge w:val="continue"/>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About This Prospectus</w:t>
            </w:r>
          </w:p>
        </w:tc>
        <w:tc>
          <w:tcPr>
            <w:tcW w:w="2240" w:type="dxa"/>
            <w:vAlign w:val="bottom"/>
            <w:gridSpan w:val="6"/>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880" w:type="dxa"/>
            <w:vAlign w:val="bottom"/>
            <w:gridSpan w:val="13"/>
          </w:tcPr>
          <w:p>
            <w:pPr>
              <w:spacing w:after="0" w:line="196" w:lineRule="exact"/>
              <w:rPr>
                <w:sz w:val="20"/>
                <w:szCs w:val="20"/>
                <w:color w:val="auto"/>
              </w:rPr>
            </w:pPr>
            <w:r>
              <w:rPr>
                <w:rFonts w:ascii="Arial" w:cs="Arial" w:eastAsia="Arial" w:hAnsi="Arial"/>
                <w:sz w:val="18"/>
                <w:szCs w:val="18"/>
                <w:color w:val="0000EE"/>
              </w:rPr>
              <w:t>The Company</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Risk Factors</w:t>
            </w:r>
          </w:p>
        </w:tc>
        <w:tc>
          <w:tcPr>
            <w:tcW w:w="2860" w:type="dxa"/>
            <w:vAlign w:val="bottom"/>
            <w:gridSpan w:val="9"/>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Selling Securityholders</w:t>
            </w:r>
          </w:p>
        </w:tc>
        <w:tc>
          <w:tcPr>
            <w:tcW w:w="2200" w:type="dxa"/>
            <w:vAlign w:val="bottom"/>
            <w:gridSpan w:val="5"/>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80" w:type="dxa"/>
            <w:vAlign w:val="bottom"/>
            <w:gridSpan w:val="13"/>
          </w:tcPr>
          <w:p>
            <w:pPr>
              <w:spacing w:after="0" w:line="196" w:lineRule="exact"/>
              <w:rPr>
                <w:sz w:val="20"/>
                <w:szCs w:val="20"/>
                <w:color w:val="auto"/>
              </w:rPr>
            </w:pPr>
            <w:r>
              <w:rPr>
                <w:rFonts w:ascii="Arial" w:cs="Arial" w:eastAsia="Arial" w:hAnsi="Arial"/>
                <w:sz w:val="18"/>
                <w:szCs w:val="18"/>
                <w:color w:val="0000EE"/>
              </w:rPr>
              <w:t>Plan of Distribution</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3"/>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700" w:type="dxa"/>
            <w:vAlign w:val="bottom"/>
            <w:gridSpan w:val="2"/>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Description of Warrants</w:t>
            </w:r>
          </w:p>
        </w:tc>
        <w:tc>
          <w:tcPr>
            <w:tcW w:w="2160" w:type="dxa"/>
            <w:vAlign w:val="bottom"/>
            <w:gridSpan w:val="4"/>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80" w:type="dxa"/>
            <w:vAlign w:val="bottom"/>
            <w:gridSpan w:val="13"/>
          </w:tcPr>
          <w:p>
            <w:pPr>
              <w:spacing w:after="0" w:line="196" w:lineRule="exact"/>
              <w:rPr>
                <w:sz w:val="20"/>
                <w:szCs w:val="20"/>
                <w:color w:val="auto"/>
              </w:rPr>
            </w:pPr>
            <w:r>
              <w:rPr>
                <w:rFonts w:ascii="Arial" w:cs="Arial" w:eastAsia="Arial" w:hAnsi="Arial"/>
                <w:sz w:val="18"/>
                <w:szCs w:val="18"/>
                <w:color w:val="0000EE"/>
              </w:rPr>
              <w:t>Legal Matters</w:t>
            </w: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2880" w:type="dxa"/>
            <w:vAlign w:val="bottom"/>
            <w:gridSpan w:val="10"/>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Where You Can Find More Information</w:t>
            </w:r>
          </w:p>
        </w:tc>
        <w:tc>
          <w:tcPr>
            <w:tcW w:w="1020" w:type="dxa"/>
            <w:vAlign w:val="bottom"/>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Incorporation by Reference</w:t>
            </w:r>
          </w:p>
        </w:tc>
        <w:tc>
          <w:tcPr>
            <w:tcW w:w="1840" w:type="dxa"/>
            <w:vAlign w:val="bottom"/>
            <w:gridSpan w:val="3"/>
          </w:tcPr>
          <w:p>
            <w:pPr>
              <w:spacing w:after="0"/>
              <w:rPr>
                <w:sz w:val="17"/>
                <w:szCs w:val="17"/>
                <w:color w:val="auto"/>
              </w:rPr>
            </w:pPr>
          </w:p>
        </w:tc>
        <w:tc>
          <w:tcPr>
            <w:tcW w:w="7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675"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This prospectus, any prospectus supplement, and the information incorporated by reference in this prospectus and any prospectus supplement contain or may contain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 are forward-looking statements. Forward-looking statements are often identified by the use of words such as, but not limited to, “believe,” “may,” “will,” “potentially,” “estimate,” “continue,” “anticipate,” “intend,” “could,” “would,” “project,” “target,” “plan,” “expect,” or the negative of these terms or other similar expressions that concern our expectations, strategy, plans or intentions.</w:t>
      </w:r>
    </w:p>
    <w:p>
      <w:pPr>
        <w:spacing w:after="0" w:line="16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Forward-looking statements are not guarantees of future performance and involve risks and uncertainties. The forward-looking statements contained in this prospectus, any prospectus supplement, and the information incorporated by reference in this prospectus or any prospectus supplement are based on information currently available to us and expectations and assumptions that we deem reasonable at the time the statements were made. We do not undertake any obligation to update any forward-looking statements in this prospectus, any prospectus supplement, and the information incorporated by reference in this prospectus or any prospectus supplement or in any of our other communications, except as required by law. Such forward-looking statements are subject to risks, uncertainties and other important factors that could cause actual results and the timing of certain events to differ materially from future results expressed or implied by such forward-looking statements. All such forward-looking statements should be read as of the time the statements were made and with the recognition that these forward-looking statements may not be complete or accurate at a later date.</w:t>
      </w:r>
    </w:p>
    <w:p>
      <w:pPr>
        <w:spacing w:after="0" w:line="16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Factors that could cause or contribute to such differences include, but are not limited to, those identified below, and those discussed in the section titled “Risk Factors” of any Annual Report on Form 10-K and any Quarterly Report on Form 10-Q incorporated by reference in this prospectus and in the section of any related prospectus supplement entitled “Risk Factors.”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675" w:right="5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This prospectus is part of an automatic registration statement that we filed with the Securities and Exchange Commission (the “SEC”) as a “well-known seasoned issuer” as defined in Rule 405 under the Securities Act of 1933, as amended (the “Securities Act”), utilizing a “shelf” registration process. Under this shelf registration process, we and/or the selling securityholders to be named in a prospectus supplement may sell any combination of the securities described in this prospectus from time to time in one or more offerings.</w:t>
      </w:r>
    </w:p>
    <w:p>
      <w:pPr>
        <w:spacing w:after="0" w:line="18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You should rely only on the information contained in this prospectus (as supplemented and amended), including the information incorporated by reference. We have not authorized anyone to provide you with information that is different from that contained in this prospectus (as supplemented and amended). We take no responsibility for, and can provide no assurance as to the reliability of, any other information that others may give you. This prospectus (as supplemented and amended) does not constitute an offer to sell or the solicitation of an offer to buy any securities other than the securities described in this prospectus or an offer to sell or the solicitation of an offer to buy any such securities in any circumstances in which such offer or solicitation is unlawful. This document may only be used where it is legal to sell these securities. You should not assume that the information contained in this prospectus (as supplemented and amended) is accurate as of any dates other than their respective dates. We and/or the selling securityholders provided the information contained in the aforementioned documents only as of the date of the applicable document, and it is possible that the information, including our business, financial condition, and results of operations, may have changed since that date.</w:t>
      </w:r>
    </w:p>
    <w:p>
      <w:pPr>
        <w:spacing w:after="0" w:line="181" w:lineRule="exact"/>
        <w:rPr>
          <w:sz w:val="20"/>
          <w:szCs w:val="20"/>
          <w:color w:val="auto"/>
        </w:rPr>
      </w:pPr>
    </w:p>
    <w:p>
      <w:pPr>
        <w:ind w:left="120" w:right="320"/>
        <w:spacing w:after="0" w:line="296" w:lineRule="auto"/>
        <w:rPr>
          <w:sz w:val="20"/>
          <w:szCs w:val="20"/>
          <w:color w:val="auto"/>
        </w:rPr>
      </w:pPr>
      <w:r>
        <w:rPr>
          <w:rFonts w:ascii="Arial" w:cs="Arial" w:eastAsia="Arial" w:hAnsi="Arial"/>
          <w:sz w:val="16"/>
          <w:szCs w:val="16"/>
          <w:color w:val="auto"/>
        </w:rPr>
        <w:t>This prospectus only provides you with a general description of the securities that we may offer. Each time we and/or the selling securityholders sell securities pursuant to this prospectus, we and/or the selling securityholders, as the case may be, will provide a prospectus supplement that contains specific information about the terms of that offering, including the specific amounts, prices and terms of the securities offered, and, if applicable, the selling securityholders. In addition, the prospectus supplement may also add, update or change the information contained in this prospectus. If this prospectus is inconsistent with the prospectus supplement, you should rely upon the prospectus supplement.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urge you to read carefully this prospectus (as supplemented and amended) before deciding whether to purchase any of the securities being offered.</w:t>
      </w:r>
    </w:p>
    <w:p>
      <w:pPr>
        <w:spacing w:after="0" w:line="244" w:lineRule="exact"/>
        <w:rPr>
          <w:sz w:val="20"/>
          <w:szCs w:val="20"/>
          <w:color w:val="auto"/>
        </w:rPr>
      </w:pPr>
    </w:p>
    <w:p>
      <w:pPr>
        <w:ind w:left="120" w:right="100"/>
        <w:spacing w:after="0" w:line="298" w:lineRule="auto"/>
        <w:rPr>
          <w:sz w:val="20"/>
          <w:szCs w:val="20"/>
          <w:color w:val="auto"/>
        </w:rPr>
      </w:pPr>
      <w:r>
        <w:rPr>
          <w:rFonts w:ascii="Arial" w:cs="Arial" w:eastAsia="Arial" w:hAnsi="Arial"/>
          <w:sz w:val="16"/>
          <w:szCs w:val="16"/>
          <w:b w:val="1"/>
          <w:bCs w:val="1"/>
          <w:color w:val="auto"/>
        </w:rPr>
        <w:t>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w:t>
      </w:r>
    </w:p>
    <w:p>
      <w:pPr>
        <w:spacing w:after="0" w:line="15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Unless the context otherwise requires, we use the terms “Flywire,” the “Company,” “we,” “us,” “our” and similar designations in this prospectus to refer to Flywire Corporation and its subsidiaries.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675"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w:t>
      </w:r>
      <w:r>
        <w:rPr>
          <w:rFonts w:ascii="Arial" w:cs="Arial" w:eastAsia="Arial" w:hAnsi="Arial"/>
          <w:sz w:val="17"/>
          <w:szCs w:val="17"/>
          <w:i w:val="1"/>
          <w:iCs w:val="1"/>
          <w:color w:val="auto"/>
        </w:rPr>
        <w:t>Flywire Advantage</w:t>
      </w:r>
      <w:r>
        <w:rPr>
          <w:rFonts w:ascii="Arial" w:cs="Arial" w:eastAsia="Arial" w:hAnsi="Arial"/>
          <w:sz w:val="17"/>
          <w:szCs w:val="17"/>
          <w:color w:val="auto"/>
        </w:rPr>
        <w:t>. Our</w:t>
      </w:r>
      <w:r>
        <w:rPr>
          <w:rFonts w:ascii="Arial" w:cs="Arial" w:eastAsia="Arial" w:hAnsi="Arial"/>
          <w:sz w:val="17"/>
          <w:szCs w:val="17"/>
          <w:i w:val="1"/>
          <w:iCs w:val="1"/>
          <w:color w:val="auto"/>
        </w:rPr>
        <w:t xml:space="preserve"> Flywire Advantage </w:t>
      </w:r>
      <w:r>
        <w:rPr>
          <w:rFonts w:ascii="Arial" w:cs="Arial" w:eastAsia="Arial" w:hAnsi="Arial"/>
          <w:sz w:val="17"/>
          <w:szCs w:val="17"/>
          <w:color w:val="auto"/>
        </w:rPr>
        <w:t>is derived from three core elements: (i) our next-gen payments platform; (ii) our proprietary global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network; and (iii) our vertical-specific software backed by our deep industry expertise. With our </w:t>
      </w:r>
      <w:r>
        <w:rPr>
          <w:rFonts w:ascii="Arial" w:cs="Arial" w:eastAsia="Arial" w:hAnsi="Arial"/>
          <w:sz w:val="17"/>
          <w:szCs w:val="17"/>
          <w:i w:val="1"/>
          <w:iCs w:val="1"/>
          <w:color w:val="auto"/>
        </w:rPr>
        <w:t>Flywire Advantage</w:t>
      </w:r>
      <w:r>
        <w:rPr>
          <w:rFonts w:ascii="Arial" w:cs="Arial" w:eastAsia="Arial" w:hAnsi="Arial"/>
          <w:sz w:val="17"/>
          <w:szCs w:val="17"/>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were initially formed in July 2009 as peerTransfer Corporation, a Delaware corporation. We changed our name to Flywire Corporation in December 2016. Our principal executive offices are located at 141 Tremont St., #10F, Boston, MA 02111. Our telephone number is (617) 329-4524. Our website address is www.flywire.com. The information contained on, or that can be accessed through, our website is not incorporated by reference herein or a part of this prospectus. Investors should not rely on any such information in deciding whether to purchase our securities.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675"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Investing in our securities involves a high degree of risk. Before deciding whether to purchase our securities, you should consider carefully the risks and uncertainties discussed under the section titled “Risk Factors” contained in our most recent Annual Report on Form 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above titled “Special Note Regarding Forward-Looking Statements.”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We will retain broad discretion over the use of the net proceeds from the sale of our securities offered hereby. Unless otherwise indicated in the applicable prospectus supplement, we currently intend to use the net proceeds from the sale of the securities under this prospectus for general corporate purposes; however, we do not currently have any specific uses of the net proceeds planned. General corporate purposes may include acquisitions, repayment of debt, investments, additions to working capital, capital expenditures, repurchases of common stock and advances to or investments in our subsidiaries. Pending the use of net proceeds, we intend to invest these funds in investment-grade, interest-bearing securities, or hold as cash. We will not receive any of the proceeds from the sale of securities by selling securityholders.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an amendment to the registration statement of which this prospectus is a part, or in filings we make with the SEC under the Exchange Act, which are incorporated by reference.</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and any selling securityholder may offer and sell the securities being offered hereby in one or more of the following ways from time to time:</w:t>
      </w:r>
    </w:p>
    <w:p>
      <w:pPr>
        <w:spacing w:after="0" w:line="142" w:lineRule="exact"/>
        <w:rPr>
          <w:sz w:val="20"/>
          <w:szCs w:val="20"/>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transactions other than on these exchanges or systems or in the over-the-counter market;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675"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600" w:hanging="433"/>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combination of any of these methods of sale;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will identify the specific plan of distribution, including any underwriters, dealers, agents or other purchasers, persons or entities and any applicable compensation, in a prospectus supplement, in an amendment to the registration statement of which this prospectus is a part, or in other filings we make with the SEC under the Exchange Act, which are incorporated by reference.</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For a complete statement of the terms and rights of our capital stock, you should refer to the applicable provisions of our amended and restated certificate of incorporation, amended and restated bylaws and the documents that we have incorporated by reference, including the description of capital stock contained in the registration statement on Form 8-A, as updated by Exhibit 4.1 to our Annual Report on Form 10-K for the year ended December 31, 2021, and any amendment or report filed for the purpose of updating such description, copies of which are exhibits to the registration statement of which this prospectus forms a part, and which are incorporated herein by reference. Copies of our amended and restated certificate of incorporation and amended and restated bylaws will be sent to you at no charge upon request. See “Where You Can Find More Information” below.</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which we refer to as the “base indenture,” and supplemental indentures and forms of debt securities containing the terms of the debt securities being offered and sold will be filed as exhibits to the registration statement and/or will be incorporated by reference from reports that we file with the SEC. The actual base indenture we enter into in connection with an offering of debt securities may differ significantly from the form of base indenture we have filed. The base indenture, as amended or supplemented from time to time by one or more supplemental indentures, is referred to below collectively as the “indenture.” The indenture will be subject to and governed by the terms of the Trust Indenture Act of 1939. Unless otherwise specified in the applicable prospectus supplement, the debt securities will represent our direct, unsecured obligations and will rank equally with all of our other unsecured indebtedness.</w:t>
      </w:r>
    </w:p>
    <w:p>
      <w:pPr>
        <w:spacing w:after="0" w:line="168"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Please note that the terms of any series of debt securities that we may offer may differ significantly from the general terms described in this prospectus. The prospectus supplement relating to the particular series of debt securities being offered will specify the particular amounts, prices and terms of those debt securities.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675" w:right="4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Unless otherwise stated in any accompanying prospectus supplement, Gunderson Dettmer Stough Villeneuve Franklin &amp; Hachigian, LLP, Boston, Massachusetts, will opine as to the legality of the securities offered under this prospectus. As appropriate, legal counsel representing any underwriters, dealers, agents or selling securityholder(s) will be named in the applicable prospectus supplement.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www.flywire.com. Information accessible on or through our website is not incorporated herein or a part of this prospectus.</w:t>
      </w:r>
    </w:p>
    <w:p>
      <w:pPr>
        <w:spacing w:after="0" w:line="16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the securities we or the selling securityholders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to the extent set forth herein, this prospectus is continually updated and those future filings may modify or supersede some of the information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675"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that we make with the SEC under Sections 13(a), 13(c), 14 or 15(d) of the Exchange Act (in each case, other than those documents or the portions of those documents furnished (but not filed) pursuant to Items 2.02 or 7.01 of any Current Report on Form 8-K), until the offering of the securities being registered under this prospectus is terminated or completed:</w:t>
      </w:r>
    </w:p>
    <w:p>
      <w:pPr>
        <w:spacing w:after="0" w:line="67" w:lineRule="exact"/>
        <w:rPr>
          <w:sz w:val="20"/>
          <w:szCs w:val="20"/>
          <w:color w:val="auto"/>
        </w:rPr>
      </w:pPr>
    </w:p>
    <w:p>
      <w:pPr>
        <w:ind w:left="1100" w:hanging="43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10, 2023;</w:t>
      </w:r>
    </w:p>
    <w:p>
      <w:pPr>
        <w:spacing w:after="0" w:line="130" w:lineRule="exact"/>
        <w:rPr>
          <w:rFonts w:ascii="Arial" w:cs="Arial" w:eastAsia="Arial" w:hAnsi="Arial"/>
          <w:sz w:val="18"/>
          <w:szCs w:val="18"/>
          <w:color w:val="auto"/>
        </w:rPr>
      </w:pPr>
    </w:p>
    <w:p>
      <w:pPr>
        <w:ind w:left="1100" w:right="200" w:hanging="433"/>
        <w:spacing w:after="0" w:line="277" w:lineRule="auto"/>
        <w:tabs>
          <w:tab w:leader="none" w:pos="1100" w:val="left"/>
        </w:tabs>
        <w:numPr>
          <w:ilvl w:val="0"/>
          <w:numId w:val="21"/>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2023 and June 30, 2023 filed with the SEC on </w:t>
      </w:r>
      <w:hyperlink r:id="rId49">
        <w:r>
          <w:rPr>
            <w:rFonts w:ascii="Arial" w:cs="Arial" w:eastAsia="Arial" w:hAnsi="Arial"/>
            <w:sz w:val="18"/>
            <w:szCs w:val="18"/>
            <w:u w:val="single" w:color="auto"/>
            <w:color w:val="0000EE"/>
          </w:rPr>
          <w:t>May 10,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0">
        <w:r>
          <w:rPr>
            <w:rFonts w:ascii="Arial" w:cs="Arial" w:eastAsia="Arial" w:hAnsi="Arial"/>
            <w:sz w:val="18"/>
            <w:szCs w:val="18"/>
            <w:u w:val="single" w:color="auto"/>
            <w:color w:val="0000EE"/>
          </w:rPr>
          <w:t>August 8,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100" w:hanging="43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1">
        <w:r>
          <w:rPr>
            <w:rFonts w:ascii="Arial" w:cs="Arial" w:eastAsia="Arial" w:hAnsi="Arial"/>
            <w:sz w:val="18"/>
            <w:szCs w:val="18"/>
            <w:u w:val="single" w:color="auto"/>
            <w:color w:val="0000EE"/>
          </w:rPr>
          <w:t>January 10,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2">
        <w:r>
          <w:rPr>
            <w:rFonts w:ascii="Arial" w:cs="Arial" w:eastAsia="Arial" w:hAnsi="Arial"/>
            <w:sz w:val="18"/>
            <w:szCs w:val="18"/>
            <w:u w:val="single" w:color="auto"/>
            <w:color w:val="0000EE"/>
          </w:rPr>
          <w:t>June 9, 2023</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00" w:right="100" w:hanging="433"/>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Schedule 14A filed with the SEC on </w:t>
      </w:r>
      <w:hyperlink r:id="rId53">
        <w:r>
          <w:rPr>
            <w:rFonts w:ascii="Arial" w:cs="Arial" w:eastAsia="Arial" w:hAnsi="Arial"/>
            <w:sz w:val="18"/>
            <w:szCs w:val="18"/>
            <w:u w:val="single" w:color="auto"/>
            <w:color w:val="0000EE"/>
          </w:rPr>
          <w:t>April 25,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(excluding those portions that are not incorporated by reference into our Annual Report on Form 10-K for the year ended December 31, 2022); and</w:t>
      </w:r>
    </w:p>
    <w:p>
      <w:pPr>
        <w:spacing w:after="0" w:line="75" w:lineRule="exact"/>
        <w:rPr>
          <w:rFonts w:ascii="Arial" w:cs="Arial" w:eastAsia="Arial" w:hAnsi="Arial"/>
          <w:sz w:val="18"/>
          <w:szCs w:val="18"/>
          <w:color w:val="auto"/>
        </w:rPr>
      </w:pPr>
    </w:p>
    <w:p>
      <w:pPr>
        <w:ind w:left="1100" w:right="120" w:hanging="433"/>
        <w:spacing w:after="0" w:line="263"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5">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dated May 21, 2021, as updated by </w:t>
      </w:r>
      <w:hyperlink r:id="rId69">
        <w:r>
          <w:rPr>
            <w:rFonts w:ascii="Arial" w:cs="Arial" w:eastAsia="Arial" w:hAnsi="Arial"/>
            <w:sz w:val="18"/>
            <w:szCs w:val="18"/>
            <w:u w:val="single" w:color="auto"/>
            <w:color w:val="0000EE"/>
          </w:rPr>
          <w:t>Exhibit 4.1</w:t>
        </w:r>
      </w:hyperlink>
      <w:r>
        <w:rPr>
          <w:rFonts w:ascii="Arial" w:cs="Arial" w:eastAsia="Arial" w:hAnsi="Arial"/>
          <w:sz w:val="18"/>
          <w:szCs w:val="18"/>
          <w:color w:val="auto"/>
        </w:rPr>
        <w:t xml:space="preserve"> to our Annual Report on Form 10-K for the year ended December 31, 2021, and any other amendment or report filed for the purpose of updating such description.</w:t>
      </w:r>
    </w:p>
    <w:p>
      <w:pPr>
        <w:spacing w:after="0" w:line="184" w:lineRule="exact"/>
        <w:rPr>
          <w:rFonts w:ascii="Arial" w:cs="Arial" w:eastAsia="Arial" w:hAnsi="Arial"/>
          <w:sz w:val="18"/>
          <w:szCs w:val="18"/>
          <w:color w:val="auto"/>
        </w:rPr>
      </w:pPr>
    </w:p>
    <w:p>
      <w:pPr>
        <w:ind w:left="120"/>
        <w:spacing w:after="0" w:line="263"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is delivered, upon written or oral request of any such person, a copy of any or all of the documents that have been or may be incorporated by reference into this prospectus at no cost. Any such request may be made in writing or by telephoning us at the following address or telephone number:</w:t>
      </w:r>
    </w:p>
    <w:p>
      <w:pPr>
        <w:spacing w:after="0" w:line="76"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Flywire Corporation</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141 Tremont St., 10th Floor</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Boston, MA 02111</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329-4524</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80"/>
        <w:spacing w:after="0"/>
        <w:rPr>
          <w:sz w:val="20"/>
          <w:szCs w:val="20"/>
          <w:color w:val="auto"/>
        </w:rPr>
      </w:pPr>
      <w:r>
        <w:rPr>
          <w:rFonts w:ascii="Arial" w:cs="Arial" w:eastAsia="Arial" w:hAnsi="Arial"/>
          <w:sz w:val="25"/>
          <w:szCs w:val="25"/>
          <w:color w:val="auto"/>
        </w:rPr>
        <w:t>$250,000,000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2700020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488315</wp:posOffset>
            </wp:positionV>
            <wp:extent cx="1362710" cy="4800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3627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60"/>
        <w:spacing w:after="0"/>
        <w:rPr>
          <w:sz w:val="20"/>
          <w:szCs w:val="20"/>
          <w:color w:val="auto"/>
        </w:rPr>
      </w:pPr>
      <w:r>
        <w:rPr>
          <w:rFonts w:ascii="Arial" w:cs="Arial" w:eastAsia="Arial" w:hAnsi="Arial"/>
          <w:sz w:val="25"/>
          <w:szCs w:val="25"/>
          <w:b w:val="1"/>
          <w:bCs w:val="1"/>
          <w:color w:val="auto"/>
        </w:rPr>
        <w:t>PROSPECTUS SUPPLEMENT</w:t>
      </w:r>
    </w:p>
    <w:p>
      <w:pPr>
        <w:spacing w:after="0" w:line="67"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0"/>
        <w:spacing w:after="0"/>
        <w:rPr>
          <w:sz w:val="20"/>
          <w:szCs w:val="20"/>
          <w:color w:val="auto"/>
        </w:rPr>
      </w:pPr>
      <w:r>
        <w:rPr>
          <w:rFonts w:ascii="Arial" w:cs="Arial" w:eastAsia="Arial" w:hAnsi="Arial"/>
          <w:sz w:val="29"/>
          <w:szCs w:val="29"/>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1631315</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1691005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67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3"/>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4"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jpe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jpe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48" Type="http://schemas.openxmlformats.org/officeDocument/2006/relationships/hyperlink" Target="http://www.sec.gov/ix?doc=/Archives/edgar/data/1580560/000095017023007149/flyw-20221231.htm" TargetMode="External"/><Relationship Id="rId49" Type="http://schemas.openxmlformats.org/officeDocument/2006/relationships/hyperlink" Target="http://www.sec.gov/ix?doc=/Archives/edgar/data/1580560/000095017023019929/flyw-20230331.htm" TargetMode="External"/><Relationship Id="rId50" Type="http://schemas.openxmlformats.org/officeDocument/2006/relationships/hyperlink" Target="http://www.sec.gov/ix?doc=/Archives/edgar/data/1580560/000095017023039957/flyw-20230630.htm" TargetMode="External"/><Relationship Id="rId51" Type="http://schemas.openxmlformats.org/officeDocument/2006/relationships/hyperlink" Target="http://www.sec.gov/ix?doc=/Archives/edgar/data/1580560/000119312523005671/d432856d8k.htm" TargetMode="External"/><Relationship Id="rId52" Type="http://schemas.openxmlformats.org/officeDocument/2006/relationships/hyperlink" Target="http://www.sec.gov/ix?doc=/Archives/edgar/data/1580560/000119312523164473/d517395d8k.htm" TargetMode="External"/><Relationship Id="rId53" Type="http://schemas.openxmlformats.org/officeDocument/2006/relationships/hyperlink" Target="http://www.sec.gov/ix?doc=/Archives/edgar/data/1580560/000119312523115432/d359255ddef14a.htm" TargetMode="External"/><Relationship Id="rId55" Type="http://schemas.openxmlformats.org/officeDocument/2006/relationships/hyperlink" Target="http://www.sec.gov/Archives/edgar/data/1580560/000119312521169294/d140633d8a12b.htm" TargetMode="External"/><Relationship Id="rId69" Type="http://schemas.openxmlformats.org/officeDocument/2006/relationships/hyperlink" Target="http://www.sec.gov/Archives/edgar/data/1580560/000095017022004937/flyw-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2023-08-09T16:03:49Z</dcterms:created>
  <dcterms:modified xsi:type="dcterms:W3CDTF">2023-08-09T16:03:49Z</dcterms:modified>
</cp:coreProperties>
</file>