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-608965</wp:posOffset>
            </wp:positionV>
            <wp:extent cx="57150" cy="622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065" cy="9427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2784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00" w:space="44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GOLDMAN SACHS GROUP INC</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11/28/2022</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86"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3" w:lineRule="exact"/>
        <w:rPr>
          <w:sz w:val="24"/>
          <w:szCs w:val="24"/>
          <w:color w:val="auto"/>
        </w:rPr>
      </w:pPr>
    </w:p>
    <w:p>
      <w:pPr>
        <w:sectPr>
          <w:pgSz w:w="11900" w:h="16838" w:orient="portrait"/>
          <w:cols w:equalWidth="0" w:num="3">
            <w:col w:w="3180" w:space="720"/>
            <w:col w:w="3101" w:space="720"/>
            <w:col w:w="3359"/>
          </w:cols>
          <w:pgMar w:left="460" w:top="215" w:right="359" w:bottom="0" w:gutter="0" w:footer="0" w:header="0"/>
          <w:type w:val="continuous"/>
        </w:sectPr>
      </w:pPr>
    </w:p>
    <w:p>
      <w:pPr>
        <w:spacing w:after="0" w:line="13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1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20" w:lineRule="exact"/>
        <w:rPr>
          <w:sz w:val="24"/>
          <w:szCs w:val="24"/>
          <w:color w:val="auto"/>
        </w:rPr>
      </w:pPr>
    </w:p>
    <w:p>
      <w:pPr>
        <w:jc w:val="both"/>
        <w:ind w:left="4020"/>
        <w:spacing w:after="0"/>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60" w:lineRule="exact"/>
        <w:rPr>
          <w:sz w:val="24"/>
          <w:szCs w:val="24"/>
          <w:color w:val="auto"/>
        </w:rPr>
      </w:pPr>
    </w:p>
    <w:p>
      <w:pPr>
        <w:sectPr>
          <w:pgSz w:w="11900" w:h="16838" w:orient="portrait"/>
          <w:cols w:equalWidth="0" w:num="2">
            <w:col w:w="3740" w:space="16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 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67"/>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11/28/2022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22,644</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9"/>
                <w:szCs w:val="19"/>
                <w:color w:val="auto"/>
              </w:rPr>
            </w:pPr>
          </w:p>
        </w:tc>
        <w:tc>
          <w:tcPr>
            <w:tcW w:w="1480" w:type="dxa"/>
            <w:vAlign w:val="bottom"/>
            <w:gridSpan w:val="2"/>
          </w:tcPr>
          <w:p>
            <w:pPr>
              <w:jc w:val="right"/>
              <w:ind w:right="582"/>
              <w:spacing w:after="0"/>
              <w:rPr>
                <w:sz w:val="20"/>
                <w:szCs w:val="20"/>
                <w:color w:val="auto"/>
              </w:rPr>
            </w:pPr>
            <w:r>
              <w:rPr>
                <w:rFonts w:ascii="Times New Roman" w:cs="Times New Roman" w:eastAsia="Times New Roman" w:hAnsi="Times New Roman"/>
                <w:sz w:val="16"/>
                <w:szCs w:val="16"/>
                <w:color w:val="0000FF"/>
              </w:rPr>
              <w:t>1,326,939</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11/28/2022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22,644</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20.52</w:t>
            </w:r>
          </w:p>
        </w:tc>
        <w:tc>
          <w:tcPr>
            <w:tcW w:w="60" w:type="dxa"/>
            <w:vAlign w:val="bottom"/>
          </w:tcPr>
          <w:p>
            <w:pPr>
              <w:spacing w:after="0"/>
              <w:rPr>
                <w:sz w:val="20"/>
                <w:szCs w:val="20"/>
                <w:color w:val="auto"/>
              </w:rPr>
            </w:pPr>
          </w:p>
        </w:tc>
        <w:tc>
          <w:tcPr>
            <w:tcW w:w="1480" w:type="dxa"/>
            <w:vAlign w:val="bottom"/>
            <w:gridSpan w:val="2"/>
            <w:vMerge w:val="restart"/>
          </w:tcPr>
          <w:p>
            <w:pPr>
              <w:jc w:val="right"/>
              <w:ind w:right="582"/>
              <w:spacing w:after="0"/>
              <w:rPr>
                <w:sz w:val="20"/>
                <w:szCs w:val="20"/>
                <w:color w:val="auto"/>
              </w:rPr>
            </w:pPr>
            <w:r>
              <w:rPr>
                <w:rFonts w:ascii="Times New Roman" w:cs="Times New Roman" w:eastAsia="Times New Roman" w:hAnsi="Times New Roman"/>
                <w:sz w:val="16"/>
                <w:szCs w:val="16"/>
                <w:color w:val="0000FF"/>
              </w:rPr>
              <w:t>1,304,295</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11/29/2022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51,929</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Pr>
          <w:p>
            <w:pPr>
              <w:spacing w:after="0"/>
              <w:rPr>
                <w:sz w:val="22"/>
                <w:szCs w:val="22"/>
                <w:color w:val="auto"/>
              </w:rPr>
            </w:pPr>
          </w:p>
        </w:tc>
        <w:tc>
          <w:tcPr>
            <w:tcW w:w="1480" w:type="dxa"/>
            <w:vAlign w:val="bottom"/>
            <w:gridSpan w:val="2"/>
          </w:tcPr>
          <w:p>
            <w:pPr>
              <w:jc w:val="right"/>
              <w:ind w:right="582"/>
              <w:spacing w:after="0"/>
              <w:rPr>
                <w:sz w:val="20"/>
                <w:szCs w:val="20"/>
                <w:color w:val="auto"/>
              </w:rPr>
            </w:pPr>
            <w:r>
              <w:rPr>
                <w:rFonts w:ascii="Times New Roman" w:cs="Times New Roman" w:eastAsia="Times New Roman" w:hAnsi="Times New Roman"/>
                <w:sz w:val="16"/>
                <w:szCs w:val="16"/>
                <w:color w:val="0000FF"/>
              </w:rPr>
              <w:t>1,423,484</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11/29/2022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51,929</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20.5</w:t>
            </w:r>
          </w:p>
        </w:tc>
        <w:tc>
          <w:tcPr>
            <w:tcW w:w="60" w:type="dxa"/>
            <w:vAlign w:val="bottom"/>
          </w:tcPr>
          <w:p>
            <w:pPr>
              <w:spacing w:after="0"/>
              <w:rPr>
                <w:sz w:val="20"/>
                <w:szCs w:val="20"/>
                <w:color w:val="auto"/>
              </w:rPr>
            </w:pPr>
          </w:p>
        </w:tc>
        <w:tc>
          <w:tcPr>
            <w:tcW w:w="1480" w:type="dxa"/>
            <w:vAlign w:val="bottom"/>
            <w:gridSpan w:val="2"/>
            <w:vMerge w:val="restart"/>
          </w:tcPr>
          <w:p>
            <w:pPr>
              <w:jc w:val="right"/>
              <w:ind w:right="582"/>
              <w:spacing w:after="0"/>
              <w:rPr>
                <w:sz w:val="20"/>
                <w:szCs w:val="20"/>
                <w:color w:val="auto"/>
              </w:rPr>
            </w:pPr>
            <w:r>
              <w:rPr>
                <w:rFonts w:ascii="Times New Roman" w:cs="Times New Roman" w:eastAsia="Times New Roman" w:hAnsi="Times New Roman"/>
                <w:sz w:val="16"/>
                <w:szCs w:val="16"/>
                <w:color w:val="0000FF"/>
              </w:rPr>
              <w:t>1,371,555</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36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59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40" w:type="dxa"/>
            <w:vAlign w:val="bottom"/>
            <w:gridSpan w:val="9"/>
          </w:tcPr>
          <w:p>
            <w:pPr>
              <w:jc w:val="center"/>
              <w:ind w:left="23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10.</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7"/>
              </w:rPr>
              <w:t>Underlying</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Form:</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Direct (D)</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or Indirect</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22,644</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11/28/2022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3"/>
                <w:szCs w:val="13"/>
                <w:color w:val="0000FF"/>
              </w:rPr>
              <w:t>22,644</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1,431,288</w:t>
            </w:r>
          </w:p>
        </w:tc>
        <w:tc>
          <w:tcPr>
            <w:tcW w:w="100" w:type="dxa"/>
            <w:vAlign w:val="bottom"/>
          </w:tcPr>
          <w:p>
            <w:pPr>
              <w:spacing w:after="0"/>
              <w:rPr>
                <w:sz w:val="5"/>
                <w:szCs w:val="5"/>
                <w:color w:val="auto"/>
              </w:rPr>
            </w:pPr>
          </w:p>
        </w:tc>
        <w:tc>
          <w:tcPr>
            <w:tcW w:w="6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51,929</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11/29/2022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3"/>
                <w:szCs w:val="13"/>
                <w:color w:val="0000FF"/>
              </w:rPr>
              <w:t>51,929</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1,379,359</w:t>
            </w:r>
          </w:p>
        </w:tc>
        <w:tc>
          <w:tcPr>
            <w:tcW w:w="100" w:type="dxa"/>
            <w:vAlign w:val="bottom"/>
          </w:tcPr>
          <w:p>
            <w:pPr>
              <w:spacing w:after="0"/>
              <w:rPr>
                <w:sz w:val="5"/>
                <w:szCs w:val="5"/>
                <w:color w:val="auto"/>
              </w:rPr>
            </w:pPr>
          </w:p>
        </w:tc>
        <w:tc>
          <w:tcPr>
            <w:tcW w:w="6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GOLDMAN SACHS GROUP INC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GOLDMAN SACHS &amp; CO. LLC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-5528945</wp:posOffset>
            </wp:positionV>
            <wp:extent cx="28575" cy="2476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476500"/>
                    </a:xfrm>
                    <a:prstGeom prst="rect">
                      <a:avLst/>
                    </a:prstGeom>
                    <a:noFill/>
                  </pic:spPr>
                </pic:pic>
              </a:graphicData>
            </a:graphic>
          </wp:anchor>
        </w:drawing>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Goldman Sachs PSI Global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-128905</wp:posOffset>
            </wp:positionV>
            <wp:extent cx="2811145" cy="605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1145" cy="60534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8"/>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600" w:type="dxa"/>
            <w:vAlign w:val="bottom"/>
            <w:gridSpan w:val="4"/>
          </w:tcPr>
          <w:p>
            <w:pPr>
              <w:ind w:left="20"/>
              <w:spacing w:after="0" w:line="213"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StoneBridge 2020, L.P.</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10282-2198</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Stonebridge 2020 Offshore Holdings II, L.P.</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Bridge Street Opportunity Advisors, L.L.C.</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20" w:right="10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November 28, 2022, the reporting person consummated the sale of all 22,644 shares of Non-Voting Common Stock, resulting in the automatic conversion of such shares into Voting Common Stock upon the execution of the sale of such shares as reported in Table I.</w:t>
      </w:r>
    </w:p>
    <w:p>
      <w:pPr>
        <w:spacing w:after="0" w:line="24" w:lineRule="exact"/>
        <w:rPr>
          <w:rFonts w:ascii="Times New Roman" w:cs="Times New Roman" w:eastAsia="Times New Roman" w:hAnsi="Times New Roman"/>
          <w:sz w:val="13"/>
          <w:szCs w:val="13"/>
          <w:color w:val="008000"/>
        </w:rPr>
      </w:pPr>
    </w:p>
    <w:p>
      <w:pPr>
        <w:ind w:left="20" w:right="40" w:hanging="2"/>
        <w:spacing w:after="0" w:line="229"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26" w:lineRule="exact"/>
        <w:rPr>
          <w:rFonts w:ascii="Times New Roman" w:cs="Times New Roman" w:eastAsia="Times New Roman" w:hAnsi="Times New Roman"/>
          <w:sz w:val="13"/>
          <w:szCs w:val="13"/>
          <w:color w:val="008000"/>
        </w:rPr>
      </w:pPr>
    </w:p>
    <w:p>
      <w:pPr>
        <w:ind w:left="20" w:right="3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21" w:lineRule="exact"/>
        <w:rPr>
          <w:rFonts w:ascii="Times New Roman" w:cs="Times New Roman" w:eastAsia="Times New Roman" w:hAnsi="Times New Roman"/>
          <w:sz w:val="13"/>
          <w:szCs w:val="13"/>
          <w:color w:val="008000"/>
        </w:rPr>
      </w:pPr>
    </w:p>
    <w:p>
      <w:pPr>
        <w:ind w:left="20" w:right="4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21" w:lineRule="exact"/>
        <w:rPr>
          <w:rFonts w:ascii="Times New Roman" w:cs="Times New Roman" w:eastAsia="Times New Roman" w:hAnsi="Times New Roman"/>
          <w:sz w:val="13"/>
          <w:szCs w:val="13"/>
          <w:color w:val="008000"/>
        </w:rPr>
      </w:pPr>
    </w:p>
    <w:p>
      <w:pPr>
        <w:ind w:left="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21" w:lineRule="exact"/>
        <w:rPr>
          <w:rFonts w:ascii="Times New Roman" w:cs="Times New Roman" w:eastAsia="Times New Roman" w:hAnsi="Times New Roman"/>
          <w:sz w:val="13"/>
          <w:szCs w:val="13"/>
          <w:color w:val="008000"/>
        </w:rPr>
      </w:pPr>
    </w:p>
    <w:p>
      <w:pPr>
        <w:ind w:left="20" w:right="10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November 29, 2022, the reporting person consummated the sale of all 51,929 shares of Non-Voting Common Stock, resulting in the automatic conversion of such shares into Voting Common Stock upon the execution of the sale of such shares as reported in Table I.</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11/30/2022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11/30/2022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11/30/2022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11/30/2022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11/30/2022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11/30/2022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56"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14" w:right="519"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2022-11-30T15:00:13Z</dcterms:created>
  <dcterms:modified xsi:type="dcterms:W3CDTF">2022-11-30T15:00:13Z</dcterms:modified>
</cp:coreProperties>
</file>