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246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246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Butterfield Peter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04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FLYWIRE CORPORATION 141 TREMONT STREET, SUITE 10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BOSTON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02111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Flywire Corp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FLYW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03/04/2024</w:t>
            </w: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General Counsel and CCO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Voting Common Stock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03/04/2024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4,730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27.3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214,678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Voting Common Stock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03/05/2024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27.175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213,853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16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of common stock were automatically sold in a non-discretionary transaction by the Reporting Person in order to cover tax withholding obligations upon the settlement of certain time-based restricted stock unit awards.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Peter Butterfield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03/06/2024</w:t>
            </w:r>
          </w:p>
        </w:tc>
      </w:tr>
      <w:tr>
        <w:trPr>
          <w:trHeight w:val="20"/>
        </w:trPr>
        <w:tc>
          <w:tcPr>
            <w:tcW w:w="1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62133" TargetMode="External"/><Relationship Id="rId13" Type="http://schemas.openxmlformats.org/officeDocument/2006/relationships/hyperlink" Target="http://www.sec.gov/cgi-bin/browse-edgar?action=getcompany&amp;CIK=00015805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2024-03-06T17:41:32Z</dcterms:created>
  <dcterms:modified xsi:type="dcterms:W3CDTF">2024-03-06T17:41:32Z</dcterms:modified>
</cp:coreProperties>
</file>