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7"/>
            <w:vMerge w:val="continue"/>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3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3020" w:type="dxa"/>
            <w:vAlign w:val="bottom"/>
            <w:tcBorders>
              <w:top w:val="single" w:sz="8" w:color="2C2C2C"/>
              <w:bottom w:val="single" w:sz="8" w:color="2C2C2C"/>
            </w:tcBorders>
            <w:gridSpan w:val="10"/>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380" w:type="dxa"/>
            <w:vAlign w:val="bottom"/>
            <w:tcBorders>
              <w:top w:val="single" w:sz="8" w:color="2C2C2C"/>
            </w:tcBorders>
          </w:tcPr>
          <w:p>
            <w:pPr>
              <w:spacing w:after="0"/>
              <w:rPr>
                <w:sz w:val="10"/>
                <w:szCs w:val="10"/>
                <w:color w:val="auto"/>
              </w:rPr>
            </w:pPr>
          </w:p>
        </w:tc>
        <w:tc>
          <w:tcPr>
            <w:tcW w:w="140" w:type="dxa"/>
            <w:vAlign w:val="bottom"/>
            <w:tcBorders>
              <w:top w:val="single" w:sz="8" w:color="2C2C2C"/>
            </w:tcBorders>
          </w:tcPr>
          <w:p>
            <w:pPr>
              <w:spacing w:after="0"/>
              <w:rPr>
                <w:sz w:val="10"/>
                <w:szCs w:val="10"/>
                <w:color w:val="auto"/>
              </w:rPr>
            </w:pPr>
          </w:p>
        </w:tc>
        <w:tc>
          <w:tcPr>
            <w:tcW w:w="140" w:type="dxa"/>
            <w:vAlign w:val="bottom"/>
            <w:tcBorders>
              <w:top w:val="single" w:sz="8" w:color="2C2C2C"/>
            </w:tcBorders>
          </w:tcPr>
          <w:p>
            <w:pPr>
              <w:spacing w:after="0"/>
              <w:rPr>
                <w:sz w:val="10"/>
                <w:szCs w:val="10"/>
                <w:color w:val="auto"/>
              </w:rPr>
            </w:pPr>
          </w:p>
        </w:tc>
        <w:tc>
          <w:tcPr>
            <w:tcW w:w="6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2"/>
          </w:tcPr>
          <w:p>
            <w:pPr>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60" w:type="dxa"/>
            <w:vAlign w:val="bottom"/>
            <w:gridSpan w:val="3"/>
            <w:vMerge w:val="restart"/>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0"/>
                <w:szCs w:val="20"/>
                <w:color w:val="auto"/>
              </w:rPr>
            </w:pPr>
          </w:p>
        </w:tc>
        <w:tc>
          <w:tcPr>
            <w:tcW w:w="116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11/17/2022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8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1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20" w:type="dxa"/>
            <w:vAlign w:val="bottom"/>
            <w:gridSpan w:val="6"/>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5"/>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8"/>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6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11/17/2022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80"/>
              <w:spacing w:after="0" w:line="280"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1,903,864</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11,741,524</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11/21/2022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0000FF"/>
              </w:rPr>
              <w:t>96,136</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20.5118</w:t>
            </w:r>
            <w:r>
              <w:rPr>
                <w:rFonts w:ascii="Times New Roman" w:cs="Times New Roman" w:eastAsia="Times New Roman" w:hAnsi="Times New Roman"/>
                <w:sz w:val="22"/>
                <w:szCs w:val="22"/>
                <w:color w:val="008000"/>
                <w:w w:val="92"/>
                <w:vertAlign w:val="superscript"/>
              </w:rPr>
              <w:t>(2)</w:t>
            </w:r>
          </w:p>
        </w:tc>
        <w:tc>
          <w:tcPr>
            <w:tcW w:w="14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11,645,388</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2400" w:type="dxa"/>
            <w:vAlign w:val="bottom"/>
            <w:tcBorders>
              <w:bottom w:val="single" w:sz="8" w:color="2C2C2C"/>
            </w:tcBorders>
            <w:gridSpan w:val="6"/>
          </w:tcPr>
          <w:p>
            <w:pPr>
              <w:spacing w:after="0"/>
              <w:rPr>
                <w:sz w:val="7"/>
                <w:szCs w:val="7"/>
                <w:color w:val="auto"/>
              </w:rPr>
            </w:pPr>
          </w:p>
        </w:tc>
        <w:tc>
          <w:tcPr>
            <w:tcW w:w="40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25"/>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2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w w:val="96"/>
              </w:rPr>
              <w:t>Transaction</w:t>
            </w:r>
          </w:p>
        </w:tc>
        <w:tc>
          <w:tcPr>
            <w:tcW w:w="4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BCIP Venture Associates II,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BCIP Venture Associates II-B, LP</w:t>
        </w:r>
      </w:hyperlink>
    </w:p>
    <w:p>
      <w:pPr>
        <w:sectPr>
          <w:pgSz w:w="11900" w:h="16867"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67"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10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10920"/>
                    </a:xfrm>
                    <a:prstGeom prst="rect">
                      <a:avLst/>
                    </a:prstGeom>
                    <a:noFill/>
                  </pic:spPr>
                </pic:pic>
              </a:graphicData>
            </a:graphic>
          </wp:anchor>
        </w:drawing>
        <w:t>200 CLARENDON STREET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2022, each of Bain Capital Venture Fund,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 distributed shares of the Issuer's Voting Common Stock to one or more partners in pro rata in-kind distributions without consideration, which included subsequent distributions by general partners or managing members to their respective partners or members (the "Distribution").</w:t>
      </w:r>
    </w:p>
    <w:p>
      <w:pPr>
        <w:spacing w:after="0" w:line="26"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$20.23 to $20.99, inclusive. The reporting persons undertake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9,556,504 shares of the Issuer's Voting Common Stock held directly by Venture Fund 2014, 637,066 shares of the Issuer's Voting Common Stock held directly by Venture Fund 2016, 974,274 shares of the Issuer's Voting Common Stock held directly by BCIP Venture, 65,547 shares of the Issuer's Voting Common Stock held directly by BCIP Venture-B, 94,681 shares of the Issuer's Voting Common Stock held directly by BCIP Venture II, 7,138 shares of the Issuer's Voting Common Stock held directly by BCIP Venture II-B, 298,248 shares of the Issuer's Voting Common Stock held directly by Venture Coinvestment Fund II and 11,930 shares of the Issuer's Voting Common Stock held directly by 2019-MD Coinvestment II, in each case, after giving effect to the Distribution and sales referenced in footnote 2 above.</w:t>
      </w:r>
    </w:p>
    <w:p>
      <w:pPr>
        <w:spacing w:after="0" w:line="26"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As a result, BCVI may be deemed to share voting and dispositive power with respect to all of the securities held by the Bain Capital Venture Entities. BCVI disclaims beneficial ownership of such securities except to the extent of its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2 of 2.</w:t>
      </w:r>
    </w:p>
    <w:p>
      <w:pPr>
        <w:sectPr>
          <w:pgSz w:w="11900" w:h="16838" w:orient="portrait"/>
          <w:cols w:equalWidth="0" w:num="1">
            <w:col w:w="10880"/>
          </w:cols>
          <w:pgMar w:left="500" w:top="16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0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40"/>
          </w:cols>
          <w:pgMar w:left="500" w:top="16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859026" TargetMode="External"/><Relationship Id="rId16" Type="http://schemas.openxmlformats.org/officeDocument/2006/relationships/hyperlink" Target="http://www.sec.gov/cgi-bin/browse-edgar?action=getcompany&amp;CIK=0001859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2022-11-21T19:44:54Z</dcterms:created>
  <dcterms:modified xsi:type="dcterms:W3CDTF">2022-11-21T19:44:54Z</dcterms:modified>
</cp:coreProperties>
</file>