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362585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118745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 w:lineRule="exact"/>
        <w:rPr>
          <w:sz w:val="24"/>
          <w:szCs w:val="24"/>
          <w:color w:val="auto"/>
        </w:rPr>
      </w:pPr>
    </w:p>
    <w:p>
      <w:pPr>
        <w:ind w:left="420" w:hanging="399"/>
        <w:spacing w:after="0"/>
        <w:tabs>
          <w:tab w:leader="none" w:pos="4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4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ind w:left="360" w:hanging="339"/>
        <w:spacing w:after="0" w:line="187" w:lineRule="auto"/>
        <w:tabs>
          <w:tab w:leader="none" w:pos="360" w:val="left"/>
        </w:tabs>
        <w:numPr>
          <w:ilvl w:val="0"/>
          <w:numId w:val="2"/>
        </w:numPr>
        <w:rPr>
          <w:rFonts w:ascii="MS PGothic" w:cs="MS PGothic" w:eastAsia="MS PGothic" w:hAnsi="MS PGothic"/>
          <w:sz w:val="38"/>
          <w:szCs w:val="38"/>
          <w:color w:val="auto"/>
          <w:vertAlign w:val="superscript"/>
        </w:rPr>
      </w:pPr>
      <w:r>
        <w:rPr>
          <w:rFonts w:ascii="Arial" w:cs="Arial" w:eastAsia="Arial" w:hAnsi="Arial"/>
          <w:sz w:val="19"/>
          <w:szCs w:val="19"/>
          <w:b w:val="1"/>
          <w:bCs w:val="1"/>
          <w:color w:val="auto"/>
        </w:rPr>
        <w:t>TRANSITION REPORT PURSUANT TO SECTION 13 OR 15(d) OF THE SECURITIES EXCHANGE ACT OF 1934</w:t>
      </w:r>
    </w:p>
    <w:p>
      <w:pPr>
        <w:spacing w:after="0" w:line="244" w:lineRule="exact"/>
        <w:rPr>
          <w:sz w:val="24"/>
          <w:szCs w:val="24"/>
          <w:color w:val="auto"/>
        </w:rPr>
      </w:pPr>
    </w:p>
    <w:tbl>
      <w:tblPr>
        <w:tblLayout w:type="fixed"/>
        <w:tblInd w:w="392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90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r>
      <w:tr>
        <w:trPr>
          <w:trHeight w:val="230"/>
        </w:trPr>
        <w:tc>
          <w:tcPr>
            <w:tcW w:w="3220" w:type="dxa"/>
            <w:vAlign w:val="bottom"/>
            <w:gridSpan w:val="2"/>
          </w:tcPr>
          <w:p>
            <w:pPr>
              <w:ind w:left="260"/>
              <w:spacing w:after="0"/>
              <w:rPr>
                <w:sz w:val="20"/>
                <w:szCs w:val="20"/>
                <w:color w:val="auto"/>
              </w:rPr>
            </w:pPr>
            <w:r>
              <w:rPr>
                <w:rFonts w:ascii="Arial" w:cs="Arial" w:eastAsia="Arial" w:hAnsi="Arial"/>
                <w:sz w:val="16"/>
                <w:szCs w:val="16"/>
                <w:b w:val="1"/>
                <w:bCs w:val="1"/>
                <w:color w:val="auto"/>
              </w:rPr>
              <w:t>Commission File Number: 001-40430</w:t>
            </w:r>
          </w:p>
        </w:tc>
        <w:tc>
          <w:tcPr>
            <w:tcW w:w="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106680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3" w:lineRule="exact"/>
        <w:rPr>
          <w:sz w:val="24"/>
          <w:szCs w:val="24"/>
          <w:color w:val="auto"/>
        </w:rPr>
      </w:pPr>
    </w:p>
    <w:p>
      <w:pPr>
        <w:jc w:val="center"/>
        <w:ind w:right="120"/>
        <w:spacing w:after="0"/>
        <w:rPr>
          <w:sz w:val="20"/>
          <w:szCs w:val="20"/>
          <w:color w:val="auto"/>
        </w:rPr>
      </w:pPr>
      <w:r>
        <w:rPr>
          <w:rFonts w:ascii="Arial" w:cs="Arial" w:eastAsia="Arial" w:hAnsi="Arial"/>
          <w:sz w:val="41"/>
          <w:szCs w:val="41"/>
          <w:b w:val="1"/>
          <w:bCs w:val="1"/>
          <w:color w:val="auto"/>
        </w:rPr>
        <w:t>FLYWIRE CORPORATION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104775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6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Pr>
          <w:p>
            <w:pPr>
              <w:jc w:val="right"/>
              <w:ind w:right="228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48"/>
        </w:trPr>
        <w:tc>
          <w:tcPr>
            <w:tcW w:w="4480" w:type="dxa"/>
            <w:vAlign w:val="bottom"/>
            <w:gridSpan w:val="3"/>
          </w:tcPr>
          <w:p>
            <w:pPr>
              <w:jc w:val="center"/>
              <w:ind w:left="1042"/>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tcPr>
          <w:p>
            <w:pPr>
              <w:jc w:val="center"/>
              <w:ind w:right="2104"/>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89"/>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w w:val="98"/>
              </w:rPr>
              <w:t>Boston, MA</w:t>
            </w: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jc w:val="right"/>
              <w:ind w:right="248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84"/>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0" w:type="dxa"/>
            <w:vAlign w:val="bottom"/>
          </w:tcPr>
          <w:p>
            <w:pPr>
              <w:jc w:val="center"/>
              <w:ind w:right="208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214"/>
        </w:trPr>
        <w:tc>
          <w:tcPr>
            <w:tcW w:w="1120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800" w:type="dxa"/>
            <w:vAlign w:val="bottom"/>
            <w:gridSpan w:val="7"/>
          </w:tcPr>
          <w:p>
            <w:pPr>
              <w:jc w:val="center"/>
              <w:ind w:left="328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rPr>
              <w:t>Title of each class</w:t>
            </w:r>
          </w:p>
        </w:tc>
        <w:tc>
          <w:tcPr>
            <w:tcW w:w="3320" w:type="dxa"/>
            <w:vAlign w:val="bottom"/>
            <w:gridSpan w:val="4"/>
          </w:tcPr>
          <w:p>
            <w:pPr>
              <w:ind w:left="920"/>
              <w:spacing w:after="0"/>
              <w:rPr>
                <w:sz w:val="20"/>
                <w:szCs w:val="20"/>
                <w:color w:val="auto"/>
              </w:rPr>
            </w:pPr>
            <w:r>
              <w:rPr>
                <w:rFonts w:ascii="Arial" w:cs="Arial" w:eastAsia="Arial" w:hAnsi="Arial"/>
                <w:sz w:val="14"/>
                <w:szCs w:val="14"/>
                <w:b w:val="1"/>
                <w:bCs w:val="1"/>
                <w:color w:val="auto"/>
              </w:rPr>
              <w:t>Trading</w:t>
            </w:r>
          </w:p>
        </w:tc>
        <w:tc>
          <w:tcPr>
            <w:tcW w:w="3400" w:type="dxa"/>
            <w:vAlign w:val="bottom"/>
          </w:tcPr>
          <w:p>
            <w:pPr>
              <w:jc w:val="center"/>
              <w:ind w:right="10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69"/>
        </w:trPr>
        <w:tc>
          <w:tcPr>
            <w:tcW w:w="4480" w:type="dxa"/>
            <w:vAlign w:val="bottom"/>
            <w:tcBorders>
              <w:bottom w:val="single" w:sz="8" w:color="auto"/>
            </w:tcBorders>
            <w:gridSpan w:val="3"/>
            <w:vMerge w:val="continue"/>
          </w:tcPr>
          <w:p>
            <w:pPr>
              <w:spacing w:after="0"/>
              <w:rPr>
                <w:sz w:val="14"/>
                <w:szCs w:val="14"/>
                <w:color w:val="auto"/>
              </w:rPr>
            </w:pPr>
          </w:p>
        </w:tc>
        <w:tc>
          <w:tcPr>
            <w:tcW w:w="30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1"/>
        </w:trPr>
        <w:tc>
          <w:tcPr>
            <w:tcW w:w="4480" w:type="dxa"/>
            <w:vAlign w:val="bottom"/>
            <w:gridSpan w:val="3"/>
          </w:tcPr>
          <w:p>
            <w:pPr>
              <w:ind w:left="14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ind w:left="900"/>
              <w:spacing w:after="0"/>
              <w:rPr>
                <w:sz w:val="20"/>
                <w:szCs w:val="20"/>
                <w:color w:val="auto"/>
              </w:rPr>
            </w:pPr>
            <w:r>
              <w:rPr>
                <w:rFonts w:ascii="Arial" w:cs="Arial" w:eastAsia="Arial" w:hAnsi="Arial"/>
                <w:sz w:val="16"/>
                <w:szCs w:val="16"/>
                <w:b w:val="1"/>
                <w:bCs w:val="1"/>
                <w:color w:val="auto"/>
              </w:rPr>
              <w:t>FLYW</w:t>
            </w: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14"/>
        </w:trPr>
        <w:tc>
          <w:tcPr>
            <w:tcW w:w="448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right="140"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 w:lineRule="exact"/>
        <w:rPr>
          <w:sz w:val="24"/>
          <w:szCs w:val="24"/>
          <w:color w:val="auto"/>
        </w:rPr>
      </w:pPr>
    </w:p>
    <w:p>
      <w:pPr>
        <w:ind w:right="60"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 w:lineRule="exact"/>
        <w:rPr>
          <w:sz w:val="24"/>
          <w:szCs w:val="24"/>
          <w:color w:val="auto"/>
        </w:rPr>
      </w:pPr>
    </w:p>
    <w:p>
      <w:pPr>
        <w:jc w:val="both"/>
        <w:ind w:firstLine="509"/>
        <w:spacing w:after="0" w:line="24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 w:lineRule="exact"/>
        <w:rPr>
          <w:sz w:val="24"/>
          <w:szCs w:val="24"/>
          <w:color w:val="auto"/>
        </w:rPr>
      </w:pPr>
    </w:p>
    <w:p>
      <w:pPr>
        <w:jc w:val="both"/>
        <w:ind w:right="160" w:firstLine="509"/>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tabs>
          <w:tab w:leader="none" w:pos="8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firstLine="509"/>
        <w:spacing w:after="0" w:line="259" w:lineRule="auto"/>
        <w:rPr>
          <w:sz w:val="20"/>
          <w:szCs w:val="20"/>
          <w:color w:val="auto"/>
        </w:rPr>
      </w:pPr>
      <w:r>
        <w:rPr>
          <w:rFonts w:ascii="Arial" w:cs="Arial" w:eastAsia="Arial" w:hAnsi="Arial"/>
          <w:sz w:val="16"/>
          <w:szCs w:val="16"/>
          <w:color w:val="auto"/>
        </w:rPr>
        <w:t>As of August 8, 2022, the registrant had 102,278,927 shares of voting common stock, $0.0001 par value per share, outstanding and 5,988,378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60" w:type="dxa"/>
            <w:vAlign w:val="bottom"/>
            <w:gridSpan w:val="7"/>
          </w:tcPr>
          <w:p>
            <w:pPr>
              <w:ind w:left="3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93"/>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Special Note Regarding Forward-Looking Statements</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spacing w:after="0"/>
              <w:rPr>
                <w:sz w:val="20"/>
                <w:szCs w:val="20"/>
                <w:color w:val="auto"/>
              </w:rPr>
            </w:pPr>
            <w:r>
              <w:rPr>
                <w:rFonts w:ascii="Arial" w:cs="Arial" w:eastAsia="Arial" w:hAnsi="Arial"/>
                <w:sz w:val="18"/>
                <w:szCs w:val="18"/>
                <w:b w:val="1"/>
                <w:bCs w:val="1"/>
                <w:color w:val="0000FF"/>
              </w:rPr>
              <w:t>PART I.</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40" w:type="dxa"/>
            <w:vAlign w:val="bottom"/>
            <w:gridSpan w:val="4"/>
            <w:vMerge w:val="continue"/>
          </w:tcPr>
          <w:p>
            <w:pPr>
              <w:spacing w:after="0"/>
              <w:rPr>
                <w:sz w:val="24"/>
                <w:szCs w:val="24"/>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FINANCIAL INFORMATION</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0" w:type="dxa"/>
            <w:vAlign w:val="bottom"/>
            <w:gridSpan w:val="19"/>
          </w:tcPr>
          <w:p>
            <w:pPr>
              <w:spacing w:after="0" w:line="195" w:lineRule="exact"/>
              <w:rPr>
                <w:sz w:val="20"/>
                <w:szCs w:val="20"/>
                <w:color w:val="auto"/>
              </w:rPr>
            </w:pPr>
            <w:r>
              <w:rPr>
                <w:rFonts w:ascii="Arial" w:cs="Arial" w:eastAsia="Arial" w:hAnsi="Arial"/>
                <w:sz w:val="18"/>
                <w:szCs w:val="18"/>
                <w:color w:val="0000FF"/>
              </w:rPr>
              <w:t>Condensed Consolidated Statements of Convertible Preferred Stock, Redeemable Convertible Preferred Stock and</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8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8"/>
              </w:rPr>
              <w:t>Stockholders’ Equity (Deficit)</w:t>
            </w:r>
          </w:p>
        </w:tc>
        <w:tc>
          <w:tcPr>
            <w:tcW w:w="20" w:type="dxa"/>
            <w:vAlign w:val="bottom"/>
            <w:tcBorders>
              <w:top w:val="single" w:sz="8" w:color="0000FF"/>
              <w:bottom w:val="single" w:sz="8" w:color="0000EE"/>
            </w:tcBorders>
          </w:tcPr>
          <w:p>
            <w:pPr>
              <w:spacing w:after="0"/>
              <w:rPr>
                <w:sz w:val="14"/>
                <w:szCs w:val="14"/>
                <w:color w:val="auto"/>
              </w:rPr>
            </w:pPr>
          </w:p>
        </w:tc>
        <w:tc>
          <w:tcPr>
            <w:tcW w:w="6880" w:type="dxa"/>
            <w:vAlign w:val="bottom"/>
            <w:tcBorders>
              <w:top w:val="single" w:sz="8" w:color="0000FF"/>
            </w:tcBorders>
            <w:gridSpan w:val="10"/>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4.</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w w:val="92"/>
              </w:rPr>
              <w:t>PART II.</w:t>
            </w:r>
          </w:p>
        </w:tc>
        <w:tc>
          <w:tcPr>
            <w:tcW w:w="460" w:type="dxa"/>
            <w:vAlign w:val="bottom"/>
            <w:gridSpan w:val="2"/>
          </w:tcPr>
          <w:p>
            <w:pPr>
              <w:spacing w:after="0"/>
              <w:rPr>
                <w:sz w:val="24"/>
                <w:szCs w:val="24"/>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1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8"/>
                <w:szCs w:val="18"/>
                <w:color w:val="0000FF"/>
                <w:w w:val="95"/>
              </w:rPr>
              <w:t>Item 1A.</w:t>
            </w:r>
          </w:p>
        </w:tc>
        <w:tc>
          <w:tcPr>
            <w:tcW w:w="460" w:type="dxa"/>
            <w:vAlign w:val="bottom"/>
            <w:gridSpan w:val="2"/>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66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4.</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8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28575</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ectPr>
          <w:pgSz w:w="11900" w:h="16838" w:orient="portrait"/>
          <w:cols w:equalWidth="0" w:num="2">
            <w:col w:w="10340" w:space="280"/>
            <w:col w:w="580"/>
          </w:cols>
          <w:pgMar w:left="340" w:top="5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64" w:lineRule="exact"/>
        <w:rPr>
          <w:sz w:val="20"/>
          <w:szCs w:val="20"/>
          <w:color w:val="auto"/>
        </w:rPr>
      </w:pPr>
    </w:p>
    <w:p>
      <w:pPr>
        <w:ind w:left="1020" w:right="480" w:hanging="504"/>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169"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70" w:lineRule="exact"/>
        <w:rPr>
          <w:rFonts w:ascii="Arial" w:cs="Arial" w:eastAsia="Arial" w:hAnsi="Arial"/>
          <w:sz w:val="18"/>
          <w:szCs w:val="18"/>
          <w:color w:val="auto"/>
        </w:rPr>
      </w:pPr>
    </w:p>
    <w:p>
      <w:pPr>
        <w:ind w:left="1020" w:hanging="504"/>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legal, social and health risks, including the COVID-19 pandemic and subsequent public health measures that may affect our business or the global economy;</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strategic partners;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new client verticals, including our relatively new business-to-business sector;</w:t>
      </w:r>
    </w:p>
    <w:p>
      <w:pPr>
        <w:spacing w:after="0" w:line="184" w:lineRule="exact"/>
        <w:rPr>
          <w:rFonts w:ascii="Arial" w:cs="Arial" w:eastAsia="Arial" w:hAnsi="Arial"/>
          <w:sz w:val="18"/>
          <w:szCs w:val="18"/>
          <w:color w:val="auto"/>
        </w:rPr>
      </w:pPr>
    </w:p>
    <w:p>
      <w:pPr>
        <w:ind w:left="1020" w:right="76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70" w:lineRule="exact"/>
        <w:rPr>
          <w:rFonts w:ascii="Arial" w:cs="Arial" w:eastAsia="Arial" w:hAnsi="Arial"/>
          <w:sz w:val="18"/>
          <w:szCs w:val="18"/>
          <w:color w:val="auto"/>
        </w:rPr>
      </w:pPr>
    </w:p>
    <w:p>
      <w:pPr>
        <w:ind w:left="1020" w:right="200" w:hanging="504"/>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market price of our common stock.</w:t>
      </w:r>
    </w:p>
    <w:p>
      <w:pPr>
        <w:spacing w:after="0" w:line="18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7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7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6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refers to our voting common stock.</w:t>
      </w:r>
    </w:p>
    <w:p>
      <w:pPr>
        <w:spacing w:after="0" w:line="143"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Investors, the media, and others should note that we intend to announce material information to the public through filings with the Securities and Exchange Commission,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our website are not incorporated into this filing. We have included our investor relations website address only as an inactive textual reference and do not intend it to be an active link to our website.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December 31,</w:t>
            </w:r>
          </w:p>
        </w:tc>
      </w:tr>
      <w:tr>
        <w:trPr>
          <w:trHeight w:val="177"/>
        </w:trPr>
        <w:tc>
          <w:tcPr>
            <w:tcW w:w="7580" w:type="dxa"/>
            <w:vAlign w:val="bottom"/>
          </w:tcPr>
          <w:p>
            <w:pPr>
              <w:spacing w:after="0"/>
              <w:rPr>
                <w:sz w:val="15"/>
                <w:szCs w:val="15"/>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162"/>
        </w:trPr>
        <w:tc>
          <w:tcPr>
            <w:tcW w:w="75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Assets</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1100" w:type="dxa"/>
            <w:vAlign w:val="bottom"/>
            <w:shd w:val="clear" w:color="auto" w:fill="CFF0FC"/>
          </w:tcPr>
          <w:p>
            <w:pPr>
              <w:jc w:val="right"/>
              <w:ind w:right="95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360,584</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385,360</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0"/>
              <w:spacing w:after="0"/>
              <w:rPr>
                <w:sz w:val="20"/>
                <w:szCs w:val="20"/>
                <w:color w:val="auto"/>
              </w:rPr>
            </w:pPr>
            <w:r>
              <w:rPr>
                <w:rFonts w:ascii="Arial" w:cs="Arial" w:eastAsia="Arial" w:hAnsi="Arial"/>
                <w:sz w:val="13"/>
                <w:szCs w:val="13"/>
                <w:color w:val="auto"/>
              </w:rPr>
              <w:t>Restricted cash</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3"/>
                <w:szCs w:val="13"/>
                <w:color w:val="auto"/>
              </w:rPr>
            </w:pPr>
          </w:p>
        </w:tc>
      </w:tr>
      <w:tr>
        <w:trPr>
          <w:trHeight w:val="135"/>
        </w:trPr>
        <w:tc>
          <w:tcPr>
            <w:tcW w:w="758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Accounts receivable, net of allowance for doubtful accounts of $149 and</w:t>
            </w:r>
          </w:p>
        </w:tc>
        <w:tc>
          <w:tcPr>
            <w:tcW w:w="1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8"/>
        </w:trPr>
        <w:tc>
          <w:tcPr>
            <w:tcW w:w="75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$106, respectively</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16,604</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12,968</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0"/>
              <w:spacing w:after="0"/>
              <w:rPr>
                <w:sz w:val="20"/>
                <w:szCs w:val="20"/>
                <w:color w:val="auto"/>
              </w:rPr>
            </w:pPr>
            <w:r>
              <w:rPr>
                <w:rFonts w:ascii="Arial" w:cs="Arial" w:eastAsia="Arial" w:hAnsi="Arial"/>
                <w:sz w:val="13"/>
                <w:szCs w:val="13"/>
                <w:color w:val="auto"/>
              </w:rPr>
              <w:t>Unbilled receivables</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3,960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3,340</w:t>
            </w: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Funds receivable from payment partners</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20,182</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28,286</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0"/>
              <w:spacing w:after="0"/>
              <w:rPr>
                <w:sz w:val="20"/>
                <w:szCs w:val="20"/>
                <w:color w:val="auto"/>
              </w:rPr>
            </w:pPr>
            <w:r>
              <w:rPr>
                <w:rFonts w:ascii="Arial" w:cs="Arial" w:eastAsia="Arial" w:hAnsi="Arial"/>
                <w:sz w:val="13"/>
                <w:szCs w:val="13"/>
                <w:color w:val="auto"/>
              </w:rPr>
              <w:t>Prepaid expenses and other current assets</w:t>
            </w:r>
          </w:p>
        </w:tc>
        <w:tc>
          <w:tcPr>
            <w:tcW w:w="1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12,117</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9,834</w:t>
            </w:r>
          </w:p>
        </w:tc>
        <w:tc>
          <w:tcPr>
            <w:tcW w:w="100" w:type="dxa"/>
            <w:vAlign w:val="bottom"/>
          </w:tcPr>
          <w:p>
            <w:pPr>
              <w:spacing w:after="0"/>
              <w:rPr>
                <w:sz w:val="13"/>
                <w:szCs w:val="13"/>
                <w:color w:val="auto"/>
              </w:rPr>
            </w:pPr>
          </w:p>
        </w:tc>
      </w:tr>
      <w:tr>
        <w:trPr>
          <w:trHeight w:val="161"/>
        </w:trPr>
        <w:tc>
          <w:tcPr>
            <w:tcW w:w="758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current assets</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415,447</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443,788</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11,579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9,442</w:t>
            </w: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Intangible assets, net</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86,079</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93,598</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Goodwill</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81,643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85,841</w:t>
            </w:r>
          </w:p>
        </w:tc>
        <w:tc>
          <w:tcPr>
            <w:tcW w:w="100" w:type="dxa"/>
            <w:vAlign w:val="bottom"/>
          </w:tcPr>
          <w:p>
            <w:pPr>
              <w:spacing w:after="0"/>
              <w:rPr>
                <w:sz w:val="13"/>
                <w:szCs w:val="13"/>
                <w:color w:val="auto"/>
              </w:rPr>
            </w:pPr>
          </w:p>
        </w:tc>
      </w:tr>
      <w:tr>
        <w:trPr>
          <w:trHeight w:val="162"/>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assets</w:t>
            </w:r>
          </w:p>
        </w:tc>
        <w:tc>
          <w:tcPr>
            <w:tcW w:w="11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11,020</w:t>
            </w: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7,176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580" w:type="dxa"/>
            <w:vAlign w:val="bottom"/>
          </w:tcPr>
          <w:p>
            <w:pPr>
              <w:ind w:left="560"/>
              <w:spacing w:after="0"/>
              <w:rPr>
                <w:sz w:val="20"/>
                <w:szCs w:val="20"/>
                <w:color w:val="auto"/>
              </w:rPr>
            </w:pPr>
            <w:r>
              <w:rPr>
                <w:rFonts w:ascii="Arial" w:cs="Arial" w:eastAsia="Arial" w:hAnsi="Arial"/>
                <w:sz w:val="13"/>
                <w:szCs w:val="13"/>
                <w:color w:val="auto"/>
              </w:rPr>
              <w:t>Total assets</w:t>
            </w:r>
          </w:p>
        </w:tc>
        <w:tc>
          <w:tcPr>
            <w:tcW w:w="110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605,768</w:t>
            </w:r>
          </w:p>
        </w:tc>
        <w:tc>
          <w:tcPr>
            <w:tcW w:w="30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639,845</w:t>
            </w:r>
          </w:p>
        </w:tc>
        <w:tc>
          <w:tcPr>
            <w:tcW w:w="100" w:type="dxa"/>
            <w:vAlign w:val="bottom"/>
          </w:tcPr>
          <w:p>
            <w:pPr>
              <w:spacing w:after="0"/>
              <w:rPr>
                <w:sz w:val="13"/>
                <w:szCs w:val="13"/>
                <w:color w:val="auto"/>
              </w:rPr>
            </w:pPr>
          </w:p>
        </w:tc>
      </w:tr>
      <w:tr>
        <w:trPr>
          <w:trHeight w:val="20"/>
        </w:trPr>
        <w:tc>
          <w:tcPr>
            <w:tcW w:w="7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58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Liabilities and Stockholders’ Equity</w:t>
            </w:r>
          </w:p>
        </w:tc>
        <w:tc>
          <w:tcPr>
            <w:tcW w:w="1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1100" w:type="dxa"/>
            <w:vAlign w:val="bottom"/>
            <w:shd w:val="clear" w:color="auto" w:fill="CFF0FC"/>
          </w:tcPr>
          <w:p>
            <w:pPr>
              <w:jc w:val="right"/>
              <w:ind w:right="95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9,242</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10,242</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0"/>
              <w:spacing w:after="0"/>
              <w:rPr>
                <w:sz w:val="20"/>
                <w:szCs w:val="20"/>
                <w:color w:val="auto"/>
              </w:rPr>
            </w:pPr>
            <w:r>
              <w:rPr>
                <w:rFonts w:ascii="Arial" w:cs="Arial" w:eastAsia="Arial" w:hAnsi="Arial"/>
                <w:sz w:val="13"/>
                <w:szCs w:val="13"/>
                <w:color w:val="auto"/>
              </w:rPr>
              <w:t>Funds payable to clients</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62,314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71,302</w:t>
            </w: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Accrued expenses and other current liabilities</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27,456</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22,726</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5,338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5,488</w:t>
            </w:r>
          </w:p>
        </w:tc>
        <w:tc>
          <w:tcPr>
            <w:tcW w:w="100" w:type="dxa"/>
            <w:vAlign w:val="bottom"/>
          </w:tcPr>
          <w:p>
            <w:pPr>
              <w:spacing w:after="0"/>
              <w:rPr>
                <w:sz w:val="13"/>
                <w:szCs w:val="13"/>
                <w:color w:val="auto"/>
              </w:rPr>
            </w:pPr>
          </w:p>
        </w:tc>
      </w:tr>
      <w:tr>
        <w:trPr>
          <w:trHeight w:val="162"/>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Contingent consideration</w:t>
            </w:r>
          </w:p>
        </w:tc>
        <w:tc>
          <w:tcPr>
            <w:tcW w:w="11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1,517</w:t>
            </w: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580" w:type="dxa"/>
            <w:vAlign w:val="bottom"/>
          </w:tcPr>
          <w:p>
            <w:pPr>
              <w:ind w:left="560"/>
              <w:spacing w:after="0"/>
              <w:rPr>
                <w:sz w:val="20"/>
                <w:szCs w:val="20"/>
                <w:color w:val="auto"/>
              </w:rPr>
            </w:pPr>
            <w:r>
              <w:rPr>
                <w:rFonts w:ascii="Arial" w:cs="Arial" w:eastAsia="Arial" w:hAnsi="Arial"/>
                <w:sz w:val="13"/>
                <w:szCs w:val="13"/>
                <w:color w:val="auto"/>
              </w:rPr>
              <w:t>Total current liabilities</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105,867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117,477</w:t>
            </w: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Deferred tax liabilities</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7,546</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8,401</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Contingent consideration, net of current portion</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3,590</w:t>
            </w: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Long-term debt</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25,939</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25,939</w:t>
            </w:r>
          </w:p>
        </w:tc>
        <w:tc>
          <w:tcPr>
            <w:tcW w:w="100" w:type="dxa"/>
            <w:vAlign w:val="bottom"/>
            <w:shd w:val="clear" w:color="auto" w:fill="CFF0FC"/>
          </w:tcPr>
          <w:p>
            <w:pPr>
              <w:spacing w:after="0"/>
              <w:rPr>
                <w:sz w:val="14"/>
                <w:szCs w:val="14"/>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1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3,192</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2,237</w:t>
            </w:r>
          </w:p>
        </w:tc>
        <w:tc>
          <w:tcPr>
            <w:tcW w:w="100" w:type="dxa"/>
            <w:vAlign w:val="bottom"/>
          </w:tcPr>
          <w:p>
            <w:pPr>
              <w:spacing w:after="0"/>
              <w:rPr>
                <w:sz w:val="13"/>
                <w:szCs w:val="13"/>
                <w:color w:val="auto"/>
              </w:rPr>
            </w:pPr>
          </w:p>
        </w:tc>
      </w:tr>
      <w:tr>
        <w:trPr>
          <w:trHeight w:val="155"/>
        </w:trPr>
        <w:tc>
          <w:tcPr>
            <w:tcW w:w="75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Total liabilities</w:t>
            </w:r>
          </w:p>
        </w:tc>
        <w:tc>
          <w:tcPr>
            <w:tcW w:w="11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143,231</w:t>
            </w:r>
          </w:p>
        </w:tc>
        <w:tc>
          <w:tcPr>
            <w:tcW w:w="3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157,644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580" w:type="dxa"/>
            <w:vAlign w:val="bottom"/>
          </w:tcPr>
          <w:p>
            <w:pPr>
              <w:ind w:left="20"/>
              <w:spacing w:after="0"/>
              <w:rPr>
                <w:sz w:val="20"/>
                <w:szCs w:val="20"/>
                <w:color w:val="auto"/>
              </w:rPr>
            </w:pPr>
            <w:r>
              <w:rPr>
                <w:rFonts w:ascii="Arial" w:cs="Arial" w:eastAsia="Arial" w:hAnsi="Arial"/>
                <w:sz w:val="13"/>
                <w:szCs w:val="13"/>
                <w:color w:val="auto"/>
              </w:rPr>
              <w:t>Commitments and contingencies (Note 16)</w:t>
            </w: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Stockholders’ equity:</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29"/>
        </w:trPr>
        <w:tc>
          <w:tcPr>
            <w:tcW w:w="7580" w:type="dxa"/>
            <w:vAlign w:val="bottom"/>
          </w:tcPr>
          <w:p>
            <w:pPr>
              <w:ind w:left="200"/>
              <w:spacing w:after="0" w:line="129" w:lineRule="exact"/>
              <w:rPr>
                <w:sz w:val="20"/>
                <w:szCs w:val="20"/>
                <w:color w:val="auto"/>
              </w:rPr>
            </w:pPr>
            <w:r>
              <w:rPr>
                <w:rFonts w:ascii="Arial" w:cs="Arial" w:eastAsia="Arial" w:hAnsi="Arial"/>
                <w:sz w:val="13"/>
                <w:szCs w:val="13"/>
                <w:color w:val="auto"/>
              </w:rPr>
              <w:t>Preferred stock, $0.0001 par value; 10,000,000 shares authorized as of June 30, 2022 and December 31,</w:t>
            </w: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7580" w:type="dxa"/>
            <w:vAlign w:val="bottom"/>
          </w:tcPr>
          <w:p>
            <w:pPr>
              <w:ind w:left="300"/>
              <w:spacing w:after="0"/>
              <w:rPr>
                <w:sz w:val="20"/>
                <w:szCs w:val="20"/>
                <w:color w:val="auto"/>
              </w:rPr>
            </w:pPr>
            <w:r>
              <w:rPr>
                <w:rFonts w:ascii="Arial" w:cs="Arial" w:eastAsia="Arial" w:hAnsi="Arial"/>
                <w:sz w:val="13"/>
                <w:szCs w:val="13"/>
                <w:color w:val="auto"/>
              </w:rPr>
              <w:t>2021; and no shares issued and outstanding as of June 30, 2022 and December 31, 2021</w:t>
            </w:r>
          </w:p>
        </w:tc>
        <w:tc>
          <w:tcPr>
            <w:tcW w:w="110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8"/>
        </w:trPr>
        <w:tc>
          <w:tcPr>
            <w:tcW w:w="7580" w:type="dxa"/>
            <w:vAlign w:val="bottom"/>
            <w:shd w:val="clear" w:color="auto" w:fill="CFF0FC"/>
          </w:tcPr>
          <w:p>
            <w:pPr>
              <w:ind w:left="200"/>
              <w:spacing w:after="0" w:line="138" w:lineRule="exact"/>
              <w:rPr>
                <w:sz w:val="20"/>
                <w:szCs w:val="20"/>
                <w:color w:val="auto"/>
              </w:rPr>
            </w:pPr>
            <w:r>
              <w:rPr>
                <w:rFonts w:ascii="Arial" w:cs="Arial" w:eastAsia="Arial" w:hAnsi="Arial"/>
                <w:sz w:val="13"/>
                <w:szCs w:val="13"/>
                <w:color w:val="auto"/>
              </w:rPr>
              <w:t>Voting common stock, $0.0001 par value; 2,000,000,000 shares authorized as of</w:t>
            </w:r>
          </w:p>
        </w:tc>
        <w:tc>
          <w:tcPr>
            <w:tcW w:w="1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1"/>
        </w:trPr>
        <w:tc>
          <w:tcPr>
            <w:tcW w:w="7580" w:type="dxa"/>
            <w:vAlign w:val="bottom"/>
            <w:shd w:val="clear" w:color="auto" w:fill="CFF0FC"/>
          </w:tcPr>
          <w:p>
            <w:pPr>
              <w:ind w:left="300"/>
              <w:spacing w:after="0" w:line="121" w:lineRule="exact"/>
              <w:rPr>
                <w:sz w:val="20"/>
                <w:szCs w:val="20"/>
                <w:color w:val="auto"/>
              </w:rPr>
            </w:pPr>
            <w:r>
              <w:rPr>
                <w:rFonts w:ascii="Arial" w:cs="Arial" w:eastAsia="Arial" w:hAnsi="Arial"/>
                <w:sz w:val="13"/>
                <w:szCs w:val="13"/>
                <w:color w:val="auto"/>
              </w:rPr>
              <w:t>June 30, 2022 and December 31, 2021; 104,230,946 shares issued and 101,913,224</w:t>
            </w:r>
          </w:p>
        </w:tc>
        <w:tc>
          <w:tcPr>
            <w:tcW w:w="1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58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shares outstanding as of June 30, 2022; 102,771,899 shares issued and 100,454,177 shares outstanding</w:t>
            </w:r>
          </w:p>
        </w:tc>
        <w:tc>
          <w:tcPr>
            <w:tcW w:w="1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8"/>
        </w:trPr>
        <w:tc>
          <w:tcPr>
            <w:tcW w:w="75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as of December 31, 2021</w:t>
            </w: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4"/>
                <w:szCs w:val="14"/>
                <w:color w:val="auto"/>
              </w:rPr>
            </w:pPr>
          </w:p>
        </w:tc>
      </w:tr>
      <w:tr>
        <w:trPr>
          <w:trHeight w:val="129"/>
        </w:trPr>
        <w:tc>
          <w:tcPr>
            <w:tcW w:w="7580" w:type="dxa"/>
            <w:vAlign w:val="bottom"/>
          </w:tcPr>
          <w:p>
            <w:pPr>
              <w:ind w:left="200"/>
              <w:spacing w:after="0" w:line="129" w:lineRule="exact"/>
              <w:rPr>
                <w:sz w:val="20"/>
                <w:szCs w:val="20"/>
                <w:color w:val="auto"/>
              </w:rPr>
            </w:pPr>
            <w:r>
              <w:rPr>
                <w:rFonts w:ascii="Arial" w:cs="Arial" w:eastAsia="Arial" w:hAnsi="Arial"/>
                <w:sz w:val="13"/>
                <w:szCs w:val="13"/>
                <w:color w:val="auto"/>
              </w:rPr>
              <w:t>Non-voting common stock, $0.0001 par value; 10,000,000 shares authorized as of</w:t>
            </w: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7580" w:type="dxa"/>
            <w:vAlign w:val="bottom"/>
          </w:tcPr>
          <w:p>
            <w:pPr>
              <w:ind w:left="300"/>
              <w:spacing w:after="0" w:line="121" w:lineRule="exact"/>
              <w:rPr>
                <w:sz w:val="20"/>
                <w:szCs w:val="20"/>
                <w:color w:val="auto"/>
              </w:rPr>
            </w:pPr>
            <w:r>
              <w:rPr>
                <w:rFonts w:ascii="Arial" w:cs="Arial" w:eastAsia="Arial" w:hAnsi="Arial"/>
                <w:sz w:val="13"/>
                <w:szCs w:val="13"/>
                <w:color w:val="auto"/>
              </w:rPr>
              <w:t>June 30, 2022 and December 31, 2021; 5,988,378 shares issued and outstanding as</w:t>
            </w:r>
          </w:p>
        </w:tc>
        <w:tc>
          <w:tcPr>
            <w:tcW w:w="1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9"/>
        </w:trPr>
        <w:tc>
          <w:tcPr>
            <w:tcW w:w="7580" w:type="dxa"/>
            <w:vAlign w:val="bottom"/>
          </w:tcPr>
          <w:p>
            <w:pPr>
              <w:ind w:left="300"/>
              <w:spacing w:after="0"/>
              <w:rPr>
                <w:sz w:val="20"/>
                <w:szCs w:val="20"/>
                <w:color w:val="auto"/>
              </w:rPr>
            </w:pPr>
            <w:r>
              <w:rPr>
                <w:rFonts w:ascii="Arial" w:cs="Arial" w:eastAsia="Arial" w:hAnsi="Arial"/>
                <w:sz w:val="13"/>
                <w:szCs w:val="13"/>
                <w:color w:val="auto"/>
              </w:rPr>
              <w:t>of June 30, 2022 and December 31, 2021</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r>
      <w:tr>
        <w:trPr>
          <w:trHeight w:val="171"/>
        </w:trPr>
        <w:tc>
          <w:tcPr>
            <w:tcW w:w="75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Treasury voting common stock, 2,317,722 shares as of June 30, 2022 and December 31, 2021, held at cost</w:t>
            </w:r>
          </w:p>
        </w:tc>
        <w:tc>
          <w:tcPr>
            <w:tcW w:w="1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(748 )</w:t>
            </w:r>
          </w:p>
        </w:tc>
        <w:tc>
          <w:tcPr>
            <w:tcW w:w="2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(748 )</w:t>
            </w:r>
          </w:p>
        </w:tc>
      </w:tr>
      <w:tr>
        <w:trPr>
          <w:trHeight w:val="156"/>
        </w:trPr>
        <w:tc>
          <w:tcPr>
            <w:tcW w:w="7580" w:type="dxa"/>
            <w:vAlign w:val="bottom"/>
          </w:tcPr>
          <w:p>
            <w:pPr>
              <w:ind w:left="380"/>
              <w:spacing w:after="0"/>
              <w:rPr>
                <w:sz w:val="20"/>
                <w:szCs w:val="20"/>
                <w:color w:val="auto"/>
              </w:rPr>
            </w:pPr>
            <w:r>
              <w:rPr>
                <w:rFonts w:ascii="Arial" w:cs="Arial" w:eastAsia="Arial" w:hAnsi="Arial"/>
                <w:sz w:val="13"/>
                <w:szCs w:val="13"/>
                <w:color w:val="auto"/>
              </w:rPr>
              <w:t>Additional paid-in capital</w:t>
            </w:r>
          </w:p>
        </w:tc>
        <w:tc>
          <w:tcPr>
            <w:tcW w:w="1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623,611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609,194</w:t>
            </w:r>
          </w:p>
        </w:tc>
        <w:tc>
          <w:tcPr>
            <w:tcW w:w="100" w:type="dxa"/>
            <w:vAlign w:val="bottom"/>
          </w:tcPr>
          <w:p>
            <w:pPr>
              <w:spacing w:after="0"/>
              <w:rPr>
                <w:sz w:val="13"/>
                <w:szCs w:val="13"/>
                <w:color w:val="auto"/>
              </w:rPr>
            </w:pPr>
          </w:p>
        </w:tc>
      </w:tr>
      <w:tr>
        <w:trPr>
          <w:trHeight w:val="168"/>
        </w:trPr>
        <w:tc>
          <w:tcPr>
            <w:tcW w:w="75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Accumulated other comprehensive loss</w:t>
            </w:r>
          </w:p>
        </w:tc>
        <w:tc>
          <w:tcPr>
            <w:tcW w:w="1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(534 )</w:t>
            </w:r>
          </w:p>
        </w:tc>
        <w:tc>
          <w:tcPr>
            <w:tcW w:w="2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(399 )</w:t>
            </w:r>
          </w:p>
        </w:tc>
      </w:tr>
      <w:tr>
        <w:trPr>
          <w:trHeight w:val="156"/>
        </w:trPr>
        <w:tc>
          <w:tcPr>
            <w:tcW w:w="7580" w:type="dxa"/>
            <w:vAlign w:val="bottom"/>
          </w:tcPr>
          <w:p>
            <w:pPr>
              <w:ind w:left="380"/>
              <w:spacing w:after="0"/>
              <w:rPr>
                <w:sz w:val="20"/>
                <w:szCs w:val="20"/>
                <w:color w:val="auto"/>
              </w:rPr>
            </w:pPr>
            <w:r>
              <w:rPr>
                <w:rFonts w:ascii="Arial" w:cs="Arial" w:eastAsia="Arial" w:hAnsi="Arial"/>
                <w:sz w:val="13"/>
                <w:szCs w:val="13"/>
                <w:color w:val="auto"/>
              </w:rPr>
              <w:t>Accumulated deficit</w:t>
            </w:r>
          </w:p>
        </w:tc>
        <w:tc>
          <w:tcPr>
            <w:tcW w:w="1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w w:val="97"/>
              </w:rPr>
              <w:t>(159,803 )</w:t>
            </w:r>
          </w:p>
        </w:tc>
        <w:tc>
          <w:tcPr>
            <w:tcW w:w="240" w:type="dxa"/>
            <w:vAlign w:val="bottom"/>
          </w:tcPr>
          <w:p>
            <w:pPr>
              <w:spacing w:after="0"/>
              <w:rPr>
                <w:sz w:val="13"/>
                <w:szCs w:val="13"/>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(125,857 )</w:t>
            </w:r>
          </w:p>
        </w:tc>
      </w:tr>
      <w:tr>
        <w:trPr>
          <w:trHeight w:val="155"/>
        </w:trPr>
        <w:tc>
          <w:tcPr>
            <w:tcW w:w="75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3"/>
                <w:szCs w:val="13"/>
                <w:color w:val="auto"/>
              </w:rPr>
              <w:t>Total stockholders’ equity</w:t>
            </w:r>
          </w:p>
        </w:tc>
        <w:tc>
          <w:tcPr>
            <w:tcW w:w="11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462,537</w:t>
            </w:r>
          </w:p>
        </w:tc>
        <w:tc>
          <w:tcPr>
            <w:tcW w:w="3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482,201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580" w:type="dxa"/>
            <w:vAlign w:val="bottom"/>
          </w:tcPr>
          <w:p>
            <w:pPr>
              <w:ind w:left="480"/>
              <w:spacing w:after="0"/>
              <w:rPr>
                <w:sz w:val="20"/>
                <w:szCs w:val="20"/>
                <w:color w:val="auto"/>
              </w:rPr>
            </w:pPr>
            <w:r>
              <w:rPr>
                <w:rFonts w:ascii="Arial" w:cs="Arial" w:eastAsia="Arial" w:hAnsi="Arial"/>
                <w:sz w:val="13"/>
                <w:szCs w:val="13"/>
                <w:color w:val="auto"/>
              </w:rPr>
              <w:t>Total liabilities and stockholders’ equity</w:t>
            </w:r>
          </w:p>
        </w:tc>
        <w:tc>
          <w:tcPr>
            <w:tcW w:w="110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605,768</w:t>
            </w:r>
          </w:p>
        </w:tc>
        <w:tc>
          <w:tcPr>
            <w:tcW w:w="30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639,845</w:t>
            </w:r>
          </w:p>
        </w:tc>
        <w:tc>
          <w:tcPr>
            <w:tcW w:w="100" w:type="dxa"/>
            <w:vAlign w:val="bottom"/>
          </w:tcPr>
          <w:p>
            <w:pPr>
              <w:spacing w:after="0"/>
              <w:rPr>
                <w:sz w:val="13"/>
                <w:szCs w:val="13"/>
                <w:color w:val="auto"/>
              </w:rPr>
            </w:pPr>
          </w:p>
        </w:tc>
      </w:tr>
      <w:tr>
        <w:trPr>
          <w:trHeight w:val="20"/>
        </w:trPr>
        <w:tc>
          <w:tcPr>
            <w:tcW w:w="7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-3167380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-3167380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-2311400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-1677670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-136525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54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 processing services costs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46,073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80"/>
              <w:spacing w:after="0"/>
              <w:rPr>
                <w:sz w:val="20"/>
                <w:szCs w:val="20"/>
                <w:color w:val="auto"/>
              </w:rPr>
            </w:pPr>
            <w:r>
              <w:rPr>
                <w:rFonts w:ascii="Arial" w:cs="Arial" w:eastAsia="Arial" w:hAnsi="Arial"/>
                <w:sz w:val="18"/>
                <w:szCs w:val="18"/>
                <w:color w:val="auto"/>
              </w:rPr>
              <w:t>Technology and development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costs and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73,934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145,591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(17,397 )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(7,559 )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(24,501 )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(14,025 )</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(266 )</w:t>
            </w:r>
          </w:p>
        </w:tc>
        <w:tc>
          <w:tcPr>
            <w:tcW w:w="1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(629 )</w:t>
            </w:r>
          </w:p>
        </w:tc>
        <w:tc>
          <w:tcPr>
            <w:tcW w:w="18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(484 )</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(1,250 )</w:t>
            </w:r>
          </w:p>
        </w:tc>
        <w:tc>
          <w:tcPr>
            <w:tcW w:w="0" w:type="dxa"/>
            <w:vAlign w:val="bottom"/>
          </w:tcPr>
          <w:p>
            <w:pPr>
              <w:spacing w:after="0"/>
              <w:rPr>
                <w:sz w:val="1"/>
                <w:szCs w:val="1"/>
                <w:color w:val="auto"/>
              </w:rPr>
            </w:pPr>
          </w:p>
        </w:tc>
      </w:tr>
      <w:tr>
        <w:trPr>
          <w:trHeight w:val="188"/>
        </w:trPr>
        <w:tc>
          <w:tcPr>
            <w:tcW w:w="5640" w:type="dxa"/>
            <w:vAlign w:val="bottom"/>
            <w:shd w:val="clear" w:color="auto" w:fill="CFF0FC"/>
          </w:tcPr>
          <w:p>
            <w:pPr>
              <w:ind w:left="280"/>
              <w:spacing w:after="0" w:line="188" w:lineRule="exact"/>
              <w:rPr>
                <w:sz w:val="20"/>
                <w:szCs w:val="20"/>
                <w:color w:val="auto"/>
              </w:rPr>
            </w:pPr>
            <w:r>
              <w:rPr>
                <w:rFonts w:ascii="Arial" w:cs="Arial" w:eastAsia="Arial" w:hAnsi="Arial"/>
                <w:sz w:val="18"/>
                <w:szCs w:val="18"/>
                <w:color w:val="auto"/>
              </w:rPr>
              <w:t>Change in fair value of preferred stock warrant</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(9,803 )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(10,758 )</w:t>
            </w:r>
          </w:p>
        </w:tc>
        <w:tc>
          <w:tcPr>
            <w:tcW w:w="0" w:type="dxa"/>
            <w:vAlign w:val="bottom"/>
          </w:tcPr>
          <w:p>
            <w:pPr>
              <w:spacing w:after="0"/>
              <w:rPr>
                <w:sz w:val="1"/>
                <w:szCs w:val="1"/>
                <w:color w:val="auto"/>
              </w:rPr>
            </w:pPr>
          </w:p>
        </w:tc>
      </w:tr>
      <w:tr>
        <w:trPr>
          <w:trHeight w:val="216"/>
        </w:trPr>
        <w:tc>
          <w:tcPr>
            <w:tcW w:w="56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(5,056 )</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(7,383 )</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other expenses, net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(22,719 )</w:t>
            </w:r>
          </w:p>
        </w:tc>
        <w:tc>
          <w:tcPr>
            <w:tcW w:w="18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(17,873 )</w:t>
            </w:r>
          </w:p>
        </w:tc>
        <w:tc>
          <w:tcPr>
            <w:tcW w:w="18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(32,368 )</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(26,327 )</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(23,797 )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(18,146 )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(33,946 )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(26,798 )</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(45 )</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(76 )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(135 )</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(23,842 )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(18,222 )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(34,081 )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(26,535 )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4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Net loss attributable to common stockholders – basic</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(23,797 )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(18,154 )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(33,946 )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(26,811 )</w:t>
            </w: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ind w:left="180"/>
              <w:spacing w:after="0" w:line="176" w:lineRule="exact"/>
              <w:rPr>
                <w:sz w:val="20"/>
                <w:szCs w:val="20"/>
                <w:color w:val="auto"/>
              </w:rPr>
            </w:pPr>
            <w:r>
              <w:rPr>
                <w:rFonts w:ascii="Arial" w:cs="Arial" w:eastAsia="Arial" w:hAnsi="Arial"/>
                <w:sz w:val="18"/>
                <w:szCs w:val="18"/>
                <w:color w:val="auto"/>
              </w:rPr>
              <w:t>and diluted</w:t>
            </w:r>
          </w:p>
        </w:tc>
        <w:tc>
          <w:tcPr>
            <w:tcW w:w="160" w:type="dxa"/>
            <w:vAlign w:val="bottom"/>
            <w:vMerge w:val="continue"/>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40" w:type="dxa"/>
            <w:vAlign w:val="bottom"/>
          </w:tcPr>
          <w:p>
            <w:pPr>
              <w:ind w:left="20"/>
              <w:spacing w:after="0" w:line="169" w:lineRule="exact"/>
              <w:rPr>
                <w:sz w:val="20"/>
                <w:szCs w:val="20"/>
                <w:color w:val="auto"/>
              </w:rPr>
            </w:pPr>
            <w:r>
              <w:rPr>
                <w:rFonts w:ascii="Arial" w:cs="Arial" w:eastAsia="Arial" w:hAnsi="Arial"/>
                <w:sz w:val="18"/>
                <w:szCs w:val="18"/>
                <w:color w:val="auto"/>
              </w:rPr>
              <w:t>Net loss per share attributable to common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(0.22 )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(0.35 )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(0.32 )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(0.73 )</w:t>
            </w:r>
          </w:p>
        </w:tc>
        <w:tc>
          <w:tcPr>
            <w:tcW w:w="0" w:type="dxa"/>
            <w:vAlign w:val="bottom"/>
          </w:tcPr>
          <w:p>
            <w:pPr>
              <w:spacing w:after="0"/>
              <w:rPr>
                <w:sz w:val="1"/>
                <w:szCs w:val="1"/>
                <w:color w:val="auto"/>
              </w:rPr>
            </w:pPr>
          </w:p>
        </w:tc>
      </w:tr>
      <w:tr>
        <w:trPr>
          <w:trHeight w:val="176"/>
        </w:trPr>
        <w:tc>
          <w:tcPr>
            <w:tcW w:w="5640" w:type="dxa"/>
            <w:vAlign w:val="bottom"/>
          </w:tcPr>
          <w:p>
            <w:pPr>
              <w:ind w:left="180"/>
              <w:spacing w:after="0" w:line="176" w:lineRule="exact"/>
              <w:rPr>
                <w:sz w:val="20"/>
                <w:szCs w:val="20"/>
                <w:color w:val="auto"/>
              </w:rPr>
            </w:pPr>
            <w:r>
              <w:rPr>
                <w:rFonts w:ascii="Arial" w:cs="Arial" w:eastAsia="Arial" w:hAnsi="Arial"/>
                <w:sz w:val="18"/>
                <w:szCs w:val="18"/>
                <w:color w:val="auto"/>
              </w:rPr>
              <w:t>stockholders – basic and diluted</w:t>
            </w:r>
          </w:p>
        </w:tc>
        <w:tc>
          <w:tcPr>
            <w:tcW w:w="16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4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Weighted average common shares outstanding – basic</w:t>
            </w:r>
          </w:p>
        </w:tc>
        <w:tc>
          <w:tcPr>
            <w:tcW w:w="16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107,426,898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52,496,862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107,085,233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36,886,657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ind w:left="180"/>
              <w:spacing w:after="0" w:line="176" w:lineRule="exact"/>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-2473960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-2473960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-2473960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-1506220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-1506220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-1506220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-1506220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-1223645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-1223645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-1223645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-941070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-941070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-941070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-538480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-521970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-538480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-521970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-538480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-521970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CONVERTIBLE PREFERRED STOCK, REDEEMABLE CONVERTIBLE PREFERRED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12"/>
          </w:tcPr>
          <w:p>
            <w:pPr>
              <w:jc w:val="center"/>
              <w:ind w:right="460"/>
              <w:spacing w:after="0"/>
              <w:rPr>
                <w:sz w:val="20"/>
                <w:szCs w:val="20"/>
                <w:color w:val="auto"/>
              </w:rPr>
            </w:pPr>
            <w:r>
              <w:rPr>
                <w:rFonts w:ascii="Arial" w:cs="Arial" w:eastAsia="Arial" w:hAnsi="Arial"/>
                <w:sz w:val="11"/>
                <w:szCs w:val="11"/>
                <w:b w:val="1"/>
                <w:bCs w:val="1"/>
                <w:color w:val="auto"/>
                <w:w w:val="98"/>
              </w:rPr>
              <w:t>Three Months Ended June 30, 2022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restart"/>
          </w:tcPr>
          <w:p>
            <w:pPr>
              <w:jc w:val="center"/>
              <w:ind w:right="26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Borders>
              <w:right w:val="single" w:sz="8" w:color="auto"/>
            </w:tcBorders>
            <w:gridSpan w:val="5"/>
            <w:vMerge w:val="restart"/>
          </w:tcPr>
          <w:p>
            <w:pPr>
              <w:jc w:val="center"/>
              <w:ind w:right="460"/>
              <w:spacing w:after="0"/>
              <w:rPr>
                <w:sz w:val="20"/>
                <w:szCs w:val="20"/>
                <w:color w:val="auto"/>
              </w:rPr>
            </w:pPr>
            <w:r>
              <w:rPr>
                <w:rFonts w:ascii="Arial" w:cs="Arial" w:eastAsia="Arial" w:hAnsi="Arial"/>
                <w:sz w:val="11"/>
                <w:szCs w:val="11"/>
                <w:b w:val="1"/>
                <w:bCs w:val="1"/>
                <w:color w:val="auto"/>
                <w:w w:val="98"/>
              </w:rPr>
              <w:t>Redeemable</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vMerge w:val="restart"/>
          </w:tcPr>
          <w:p>
            <w:pPr>
              <w:jc w:val="center"/>
              <w:ind w:left="26"/>
              <w:spacing w:after="0"/>
              <w:rPr>
                <w:sz w:val="20"/>
                <w:szCs w:val="20"/>
                <w:color w:val="auto"/>
              </w:rPr>
            </w:pPr>
            <w:r>
              <w:rPr>
                <w:rFonts w:ascii="Arial" w:cs="Arial" w:eastAsia="Arial" w:hAnsi="Arial"/>
                <w:sz w:val="11"/>
                <w:szCs w:val="11"/>
                <w:b w:val="1"/>
                <w:bCs w:val="1"/>
                <w:color w:val="auto"/>
                <w:w w:val="94"/>
              </w:rPr>
              <w:t>Non-Voting</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1500" w:type="dxa"/>
            <w:vAlign w:val="bottom"/>
            <w:gridSpan w:val="5"/>
            <w:vMerge w:val="restart"/>
          </w:tcPr>
          <w:p>
            <w:pPr>
              <w:jc w:val="right"/>
              <w:ind w:right="600"/>
              <w:spacing w:after="0"/>
              <w:rPr>
                <w:sz w:val="20"/>
                <w:szCs w:val="20"/>
                <w:color w:val="auto"/>
              </w:rPr>
            </w:pPr>
            <w:r>
              <w:rPr>
                <w:rFonts w:ascii="Arial" w:cs="Arial" w:eastAsia="Arial" w:hAnsi="Arial"/>
                <w:sz w:val="11"/>
                <w:szCs w:val="11"/>
                <w:b w:val="1"/>
                <w:bCs w:val="1"/>
                <w:color w:val="auto"/>
              </w:rPr>
              <w:t>Convertible</w:t>
            </w:r>
          </w:p>
        </w:tc>
        <w:tc>
          <w:tcPr>
            <w:tcW w:w="1580" w:type="dxa"/>
            <w:vAlign w:val="bottom"/>
            <w:tcBorders>
              <w:right w:val="single" w:sz="8" w:color="auto"/>
            </w:tcBorders>
            <w:gridSpan w:val="5"/>
            <w:vMerge w:val="continue"/>
          </w:tcPr>
          <w:p>
            <w:pPr>
              <w:spacing w:after="0"/>
              <w:rPr>
                <w:sz w:val="9"/>
                <w:szCs w:val="9"/>
                <w:color w:val="auto"/>
              </w:rPr>
            </w:pPr>
          </w:p>
        </w:tc>
        <w:tc>
          <w:tcPr>
            <w:tcW w:w="96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rPr>
              <w:t>Voting</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5"/>
            <w:vMerge w:val="restart"/>
          </w:tcPr>
          <w:p>
            <w:pPr>
              <w:jc w:val="right"/>
              <w:ind w:right="380"/>
              <w:spacing w:after="0"/>
              <w:rPr>
                <w:sz w:val="20"/>
                <w:szCs w:val="20"/>
                <w:color w:val="auto"/>
              </w:rPr>
            </w:pPr>
            <w:r>
              <w:rPr>
                <w:rFonts w:ascii="Arial" w:cs="Arial" w:eastAsia="Arial" w:hAnsi="Arial"/>
                <w:sz w:val="11"/>
                <w:szCs w:val="11"/>
                <w:b w:val="1"/>
                <w:bCs w:val="1"/>
                <w:color w:val="auto"/>
              </w:rPr>
              <w:t>Treasury Voting</w:t>
            </w:r>
          </w:p>
        </w:tc>
        <w:tc>
          <w:tcPr>
            <w:tcW w:w="620" w:type="dxa"/>
            <w:vAlign w:val="bottom"/>
            <w:gridSpan w:val="3"/>
          </w:tcPr>
          <w:p>
            <w:pPr>
              <w:ind w:left="40"/>
              <w:spacing w:after="0" w:line="110" w:lineRule="exact"/>
              <w:rPr>
                <w:sz w:val="20"/>
                <w:szCs w:val="20"/>
                <w:color w:val="auto"/>
              </w:rPr>
            </w:pPr>
            <w:r>
              <w:rPr>
                <w:rFonts w:ascii="Arial" w:cs="Arial" w:eastAsia="Arial" w:hAnsi="Arial"/>
                <w:sz w:val="11"/>
                <w:szCs w:val="11"/>
                <w:b w:val="1"/>
                <w:bCs w:val="1"/>
                <w:color w:val="auto"/>
              </w:rPr>
              <w:t>Additi</w:t>
            </w:r>
          </w:p>
        </w:tc>
        <w:tc>
          <w:tcPr>
            <w:tcW w:w="120" w:type="dxa"/>
            <w:vAlign w:val="bottom"/>
          </w:tcPr>
          <w:p>
            <w:pPr>
              <w:spacing w:after="0"/>
              <w:rPr>
                <w:sz w:val="9"/>
                <w:szCs w:val="9"/>
                <w:color w:val="auto"/>
              </w:rPr>
            </w:pPr>
          </w:p>
        </w:tc>
        <w:tc>
          <w:tcPr>
            <w:tcW w:w="820" w:type="dxa"/>
            <w:vAlign w:val="bottom"/>
            <w:gridSpan w:val="2"/>
          </w:tcPr>
          <w:p>
            <w:pPr>
              <w:jc w:val="center"/>
              <w:ind w:right="380"/>
              <w:spacing w:after="0" w:line="110"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00"/>
              <w:spacing w:after="0" w:line="110"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580" w:type="dxa"/>
            <w:vAlign w:val="bottom"/>
            <w:tcBorders>
              <w:right w:val="single" w:sz="8" w:color="auto"/>
            </w:tcBorders>
            <w:gridSpan w:val="5"/>
          </w:tcPr>
          <w:p>
            <w:pPr>
              <w:jc w:val="center"/>
              <w:ind w:right="46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9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26"/>
              <w:spacing w:after="0" w:line="122"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vMerge w:val="continue"/>
          </w:tcPr>
          <w:p>
            <w:pPr>
              <w:spacing w:after="0"/>
              <w:rPr>
                <w:sz w:val="10"/>
                <w:szCs w:val="10"/>
                <w:color w:val="auto"/>
              </w:rPr>
            </w:pPr>
          </w:p>
        </w:tc>
        <w:tc>
          <w:tcPr>
            <w:tcW w:w="6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onal</w:t>
            </w:r>
          </w:p>
        </w:tc>
        <w:tc>
          <w:tcPr>
            <w:tcW w:w="94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96"/>
              </w:rPr>
              <w:t>Comprehensi</w:t>
            </w:r>
          </w:p>
        </w:tc>
        <w:tc>
          <w:tcPr>
            <w:tcW w:w="72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98"/>
              </w:rPr>
              <w:t>Accumul</w:t>
            </w:r>
          </w:p>
        </w:tc>
        <w:tc>
          <w:tcPr>
            <w:tcW w:w="7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Stockholde</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1"/>
                <w:szCs w:val="11"/>
                <w:b w:val="1"/>
                <w:bCs w:val="1"/>
                <w:color w:val="auto"/>
              </w:rPr>
              <w:t>Preferred Stock</w:t>
            </w:r>
          </w:p>
        </w:tc>
        <w:tc>
          <w:tcPr>
            <w:tcW w:w="1580" w:type="dxa"/>
            <w:vAlign w:val="bottom"/>
            <w:tcBorders>
              <w:right w:val="single" w:sz="8" w:color="auto"/>
            </w:tcBorders>
            <w:gridSpan w:val="5"/>
          </w:tcPr>
          <w:p>
            <w:pPr>
              <w:jc w:val="center"/>
              <w:ind w:right="460"/>
              <w:spacing w:after="0"/>
              <w:rPr>
                <w:sz w:val="20"/>
                <w:szCs w:val="20"/>
                <w:color w:val="auto"/>
              </w:rPr>
            </w:pPr>
            <w:r>
              <w:rPr>
                <w:rFonts w:ascii="Arial" w:cs="Arial" w:eastAsia="Arial" w:hAnsi="Arial"/>
                <w:sz w:val="11"/>
                <w:szCs w:val="11"/>
                <w:b w:val="1"/>
                <w:bCs w:val="1"/>
                <w:color w:val="auto"/>
                <w:w w:val="97"/>
              </w:rPr>
              <w:t>Preferred Stock</w:t>
            </w: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gridSpan w:val="2"/>
          </w:tcPr>
          <w:p>
            <w:pPr>
              <w:jc w:val="center"/>
              <w:ind w:right="188"/>
              <w:spacing w:after="0"/>
              <w:rPr>
                <w:sz w:val="20"/>
                <w:szCs w:val="20"/>
                <w:color w:val="auto"/>
              </w:rPr>
            </w:pPr>
            <w:r>
              <w:rPr>
                <w:rFonts w:ascii="Arial" w:cs="Arial" w:eastAsia="Arial" w:hAnsi="Arial"/>
                <w:sz w:val="11"/>
                <w:szCs w:val="11"/>
                <w:b w:val="1"/>
                <w:bCs w:val="1"/>
                <w:color w:val="auto"/>
                <w:w w:val="79"/>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1"/>
                <w:szCs w:val="11"/>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7"/>
              </w:rPr>
              <w:t>ve</w:t>
            </w:r>
          </w:p>
        </w:tc>
        <w:tc>
          <w:tcPr>
            <w:tcW w:w="80" w:type="dxa"/>
            <w:vAlign w:val="bottom"/>
          </w:tcPr>
          <w:p>
            <w:pPr>
              <w:spacing w:after="0"/>
              <w:rPr>
                <w:sz w:val="11"/>
                <w:szCs w:val="11"/>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7"/>
              </w:rPr>
              <w:t>ated</w:t>
            </w:r>
          </w:p>
        </w:tc>
        <w:tc>
          <w:tcPr>
            <w:tcW w:w="80" w:type="dxa"/>
            <w:vAlign w:val="bottom"/>
          </w:tcPr>
          <w:p>
            <w:pPr>
              <w:spacing w:after="0"/>
              <w:rPr>
                <w:sz w:val="11"/>
                <w:szCs w:val="11"/>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rs’</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top w:val="single" w:sz="8" w:color="auto"/>
            </w:tcBorders>
          </w:tcPr>
          <w:p>
            <w:pPr>
              <w:jc w:val="right"/>
              <w:ind w:right="26"/>
              <w:spacing w:after="0" w:line="100" w:lineRule="exact"/>
              <w:rPr>
                <w:sz w:val="20"/>
                <w:szCs w:val="20"/>
                <w:color w:val="auto"/>
              </w:rPr>
            </w:pPr>
            <w:r>
              <w:rPr>
                <w:rFonts w:ascii="Arial" w:cs="Arial" w:eastAsia="Arial" w:hAnsi="Arial"/>
                <w:sz w:val="11"/>
                <w:szCs w:val="11"/>
                <w:b w:val="1"/>
                <w:bCs w:val="1"/>
                <w:color w:val="auto"/>
                <w:w w:val="84"/>
              </w:rPr>
              <w:t>Share</w:t>
            </w:r>
          </w:p>
        </w:tc>
        <w:tc>
          <w:tcPr>
            <w:tcW w:w="1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78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jc w:val="right"/>
              <w:ind w:right="146"/>
              <w:spacing w:after="0"/>
              <w:rPr>
                <w:sz w:val="20"/>
                <w:szCs w:val="20"/>
                <w:color w:val="auto"/>
              </w:rPr>
            </w:pPr>
            <w:r>
              <w:rPr>
                <w:rFonts w:ascii="Arial" w:cs="Arial" w:eastAsia="Arial" w:hAnsi="Arial"/>
                <w:sz w:val="11"/>
                <w:szCs w:val="11"/>
                <w:b w:val="1"/>
                <w:bCs w:val="1"/>
                <w:color w:val="auto"/>
              </w:rPr>
              <w:t>s</w:t>
            </w:r>
          </w:p>
        </w:tc>
        <w:tc>
          <w:tcPr>
            <w:tcW w:w="160" w:type="dxa"/>
            <w:vAlign w:val="bottom"/>
          </w:tcPr>
          <w:p>
            <w:pPr>
              <w:spacing w:after="0"/>
              <w:rPr>
                <w:sz w:val="12"/>
                <w:szCs w:val="12"/>
                <w:color w:val="auto"/>
              </w:rPr>
            </w:pPr>
          </w:p>
        </w:tc>
        <w:tc>
          <w:tcPr>
            <w:tcW w:w="66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(Loss)</w:t>
            </w:r>
          </w:p>
        </w:tc>
        <w:tc>
          <w:tcPr>
            <w:tcW w:w="72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6"/>
        </w:trPr>
        <w:tc>
          <w:tcPr>
            <w:tcW w:w="1240" w:type="dxa"/>
            <w:vAlign w:val="bottom"/>
            <w:shd w:val="clear" w:color="auto" w:fill="CFF0FC"/>
          </w:tcPr>
          <w:p>
            <w:pPr>
              <w:ind w:left="20"/>
              <w:spacing w:after="0" w:line="106" w:lineRule="exact"/>
              <w:rPr>
                <w:sz w:val="20"/>
                <w:szCs w:val="20"/>
                <w:color w:val="auto"/>
              </w:rPr>
            </w:pPr>
            <w:r>
              <w:rPr>
                <w:rFonts w:ascii="Arial" w:cs="Arial" w:eastAsia="Arial" w:hAnsi="Arial"/>
                <w:sz w:val="11"/>
                <w:szCs w:val="11"/>
                <w:b w:val="1"/>
                <w:bCs w:val="1"/>
                <w:color w:val="auto"/>
              </w:rPr>
              <w:t>Balances at March</w:t>
            </w:r>
          </w:p>
        </w:tc>
        <w:tc>
          <w:tcPr>
            <w:tcW w:w="5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top w:val="single" w:sz="8" w:color="auto"/>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top w:val="single" w:sz="8" w:color="auto"/>
              <w:right w:val="single" w:sz="8" w:color="CFF0FC"/>
            </w:tcBorders>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103,40</w:t>
            </w:r>
          </w:p>
        </w:tc>
        <w:tc>
          <w:tcPr>
            <w:tcW w:w="180" w:type="dxa"/>
            <w:vAlign w:val="bottom"/>
            <w:shd w:val="clear" w:color="auto" w:fill="CFF0FC"/>
          </w:tcPr>
          <w:p>
            <w:pPr>
              <w:spacing w:after="0"/>
              <w:rPr>
                <w:sz w:val="9"/>
                <w:szCs w:val="9"/>
                <w:color w:val="auto"/>
              </w:rPr>
            </w:pPr>
          </w:p>
        </w:tc>
        <w:tc>
          <w:tcPr>
            <w:tcW w:w="280" w:type="dxa"/>
            <w:vAlign w:val="bottom"/>
            <w:tcBorders>
              <w:top w:val="single" w:sz="8" w:color="auto"/>
              <w:left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top w:val="single" w:sz="8" w:color="auto"/>
              <w:right w:val="single" w:sz="8" w:color="CFF0FC"/>
            </w:tcBorders>
            <w:shd w:val="clear" w:color="auto" w:fill="CFF0FC"/>
          </w:tcPr>
          <w:p>
            <w:pPr>
              <w:jc w:val="right"/>
              <w:ind w:right="26"/>
              <w:spacing w:after="0" w:line="106" w:lineRule="exact"/>
              <w:rPr>
                <w:sz w:val="20"/>
                <w:szCs w:val="20"/>
                <w:color w:val="auto"/>
              </w:rPr>
            </w:pPr>
            <w:r>
              <w:rPr>
                <w:rFonts w:ascii="Arial" w:cs="Arial" w:eastAsia="Arial" w:hAnsi="Arial"/>
                <w:sz w:val="11"/>
                <w:szCs w:val="11"/>
                <w:color w:val="auto"/>
              </w:rPr>
              <w:t>5,98</w:t>
            </w:r>
          </w:p>
        </w:tc>
        <w:tc>
          <w:tcPr>
            <w:tcW w:w="160" w:type="dxa"/>
            <w:vAlign w:val="bottom"/>
            <w:shd w:val="clear" w:color="auto" w:fill="CFF0FC"/>
          </w:tcPr>
          <w:p>
            <w:pPr>
              <w:spacing w:after="0"/>
              <w:rPr>
                <w:sz w:val="9"/>
                <w:szCs w:val="9"/>
                <w:color w:val="auto"/>
              </w:rPr>
            </w:pPr>
          </w:p>
        </w:tc>
        <w:tc>
          <w:tcPr>
            <w:tcW w:w="320" w:type="dxa"/>
            <w:vAlign w:val="bottom"/>
            <w:tcBorders>
              <w:top w:val="single" w:sz="8" w:color="auto"/>
              <w:left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tcBorders>
              <w:top w:val="single" w:sz="8" w:color="auto"/>
              <w:right w:val="single" w:sz="8" w:color="CFF0FC"/>
            </w:tcBorders>
            <w:gridSpan w:val="2"/>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(2,31</w:t>
            </w:r>
          </w:p>
        </w:tc>
        <w:tc>
          <w:tcPr>
            <w:tcW w:w="140" w:type="dxa"/>
            <w:vAlign w:val="bottom"/>
            <w:shd w:val="clear" w:color="auto" w:fill="CFF0FC"/>
          </w:tcPr>
          <w:p>
            <w:pPr>
              <w:spacing w:after="0"/>
              <w:rPr>
                <w:sz w:val="9"/>
                <w:szCs w:val="9"/>
                <w:color w:val="auto"/>
              </w:rPr>
            </w:pPr>
          </w:p>
        </w:tc>
        <w:tc>
          <w:tcPr>
            <w:tcW w:w="200" w:type="dxa"/>
            <w:vAlign w:val="bottom"/>
            <w:tcBorders>
              <w:top w:val="single" w:sz="8" w:color="auto"/>
              <w:left w:val="single" w:sz="8" w:color="CFF0FC"/>
            </w:tcBorders>
            <w:shd w:val="clear" w:color="auto" w:fill="CFF0FC"/>
          </w:tcPr>
          <w:p>
            <w:pPr>
              <w:spacing w:after="0"/>
              <w:rPr>
                <w:sz w:val="9"/>
                <w:szCs w:val="9"/>
                <w:color w:val="auto"/>
              </w:rPr>
            </w:pPr>
          </w:p>
        </w:tc>
        <w:tc>
          <w:tcPr>
            <w:tcW w:w="34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300" w:type="dxa"/>
            <w:vAlign w:val="bottom"/>
            <w:tcBorders>
              <w:top w:val="single" w:sz="8" w:color="auto"/>
              <w:right w:val="single" w:sz="8" w:color="CFF0FC"/>
            </w:tcBorders>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615,</w:t>
            </w: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(136,00</w:t>
            </w: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40" w:type="dxa"/>
            <w:vAlign w:val="bottom"/>
            <w:shd w:val="clear" w:color="auto" w:fill="CFF0FC"/>
          </w:tcPr>
          <w:p>
            <w:pPr>
              <w:ind w:left="20"/>
              <w:spacing w:after="0" w:line="120" w:lineRule="exact"/>
              <w:rPr>
                <w:sz w:val="20"/>
                <w:szCs w:val="20"/>
                <w:color w:val="auto"/>
              </w:rPr>
            </w:pPr>
            <w:r>
              <w:rPr>
                <w:rFonts w:ascii="Arial" w:cs="Arial" w:eastAsia="Arial" w:hAnsi="Arial"/>
                <w:sz w:val="11"/>
                <w:szCs w:val="11"/>
                <w:b w:val="1"/>
                <w:bCs w:val="1"/>
                <w:color w:val="auto"/>
              </w:rPr>
              <w:t>31, 2022</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tcBorders>
              <w:lef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jc w:val="right"/>
              <w:ind w:right="26"/>
              <w:spacing w:after="0" w:line="120" w:lineRule="exact"/>
              <w:rPr>
                <w:sz w:val="20"/>
                <w:szCs w:val="20"/>
                <w:color w:val="auto"/>
              </w:rPr>
            </w:pPr>
            <w:r>
              <w:rPr>
                <w:rFonts w:ascii="Arial" w:cs="Arial" w:eastAsia="Arial" w:hAnsi="Arial"/>
                <w:sz w:val="11"/>
                <w:szCs w:val="11"/>
                <w:color w:val="auto"/>
              </w:rPr>
              <w:t>8,37</w:t>
            </w: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tcBorders>
              <w:right w:val="single" w:sz="8" w:color="CFF0FC"/>
            </w:tcBorders>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vMerge w:val="continue"/>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ind w:left="3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9,781</w:t>
            </w:r>
          </w:p>
        </w:tc>
        <w:tc>
          <w:tcPr>
            <w:tcW w:w="180" w:type="dxa"/>
            <w:vAlign w:val="bottom"/>
            <w:shd w:val="clear" w:color="auto" w:fill="CFF0FC"/>
          </w:tcPr>
          <w:p>
            <w:pPr>
              <w:spacing w:after="0"/>
              <w:rPr>
                <w:sz w:val="12"/>
                <w:szCs w:val="12"/>
                <w:color w:val="auto"/>
              </w:rPr>
            </w:pPr>
          </w:p>
        </w:tc>
        <w:tc>
          <w:tcPr>
            <w:tcW w:w="280" w:type="dxa"/>
            <w:vAlign w:val="bottom"/>
            <w:tcBorders>
              <w:left w:val="single" w:sz="8" w:color="CFF0FC"/>
            </w:tcBorders>
            <w:shd w:val="clear" w:color="auto" w:fill="CFF0FC"/>
          </w:tcPr>
          <w:p>
            <w:pPr>
              <w:jc w:val="right"/>
              <w:ind w:right="146"/>
              <w:spacing w:after="0"/>
              <w:rPr>
                <w:sz w:val="20"/>
                <w:szCs w:val="20"/>
                <w:color w:val="auto"/>
              </w:rPr>
            </w:pPr>
            <w:r>
              <w:rPr>
                <w:rFonts w:ascii="Arial" w:cs="Arial" w:eastAsia="Arial" w:hAnsi="Arial"/>
                <w:sz w:val="11"/>
                <w:szCs w:val="11"/>
                <w:color w:val="auto"/>
                <w:w w:val="97"/>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8</w:t>
            </w:r>
          </w:p>
        </w:tc>
        <w:tc>
          <w:tcPr>
            <w:tcW w:w="480" w:type="dxa"/>
            <w:vAlign w:val="bottom"/>
            <w:gridSpan w:val="2"/>
            <w:shd w:val="clear" w:color="auto" w:fill="CFF0FC"/>
          </w:tcPr>
          <w:p>
            <w:pPr>
              <w:jc w:val="right"/>
              <w:ind w:right="208"/>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7,722 )</w:t>
            </w:r>
          </w:p>
        </w:tc>
        <w:tc>
          <w:tcPr>
            <w:tcW w:w="14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(748 )</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349</w:t>
            </w: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(489 )</w:t>
            </w: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478,117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40" w:type="dxa"/>
            <w:vAlign w:val="bottom"/>
          </w:tcPr>
          <w:p>
            <w:pPr>
              <w:ind w:left="20"/>
              <w:spacing w:after="0" w:line="119" w:lineRule="exact"/>
              <w:rPr>
                <w:sz w:val="20"/>
                <w:szCs w:val="20"/>
                <w:color w:val="auto"/>
              </w:rPr>
            </w:pPr>
            <w:r>
              <w:rPr>
                <w:rFonts w:ascii="Arial" w:cs="Arial" w:eastAsia="Arial" w:hAnsi="Arial"/>
                <w:sz w:val="11"/>
                <w:szCs w:val="11"/>
                <w:color w:val="auto"/>
              </w:rPr>
              <w:t>Issuance of common</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stock upon exercise</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of stock options, net</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jc w:val="right"/>
              <w:ind w:right="6"/>
              <w:spacing w:after="0" w:line="108" w:lineRule="exact"/>
              <w:rPr>
                <w:sz w:val="20"/>
                <w:szCs w:val="20"/>
                <w:color w:val="auto"/>
              </w:rPr>
            </w:pPr>
            <w:r>
              <w:rPr>
                <w:rFonts w:ascii="Arial" w:cs="Arial" w:eastAsia="Arial" w:hAnsi="Arial"/>
                <w:sz w:val="11"/>
                <w:szCs w:val="11"/>
                <w:color w:val="auto"/>
              </w:rPr>
              <w:t>788,40</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120"/>
              <w:spacing w:after="0"/>
              <w:rPr>
                <w:sz w:val="20"/>
                <w:szCs w:val="20"/>
                <w:color w:val="auto"/>
              </w:rPr>
            </w:pPr>
            <w:r>
              <w:rPr>
                <w:rFonts w:ascii="Arial" w:cs="Arial" w:eastAsia="Arial" w:hAnsi="Arial"/>
                <w:sz w:val="11"/>
                <w:szCs w:val="11"/>
                <w:color w:val="auto"/>
              </w:rPr>
              <w:t>of shares withheld</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(175 )</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(175 )</w:t>
            </w: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Issuance of common</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tcBorders>
              <w:lef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stock upon</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settlement</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tcBorders>
              <w:lef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ind w:left="3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32,758</w:t>
            </w:r>
          </w:p>
        </w:tc>
        <w:tc>
          <w:tcPr>
            <w:tcW w:w="180" w:type="dxa"/>
            <w:vAlign w:val="bottom"/>
            <w:shd w:val="clear" w:color="auto" w:fill="CFF0FC"/>
          </w:tcPr>
          <w:p>
            <w:pPr>
              <w:spacing w:after="0"/>
              <w:rPr>
                <w:sz w:val="12"/>
                <w:szCs w:val="12"/>
                <w:color w:val="auto"/>
              </w:rPr>
            </w:pPr>
          </w:p>
        </w:tc>
        <w:tc>
          <w:tcPr>
            <w:tcW w:w="28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320" w:type="dxa"/>
            <w:vAlign w:val="bottom"/>
            <w:tcBorders>
              <w:left w:val="single" w:sz="8" w:color="CFF0FC"/>
            </w:tcBorders>
            <w:shd w:val="clear" w:color="auto" w:fill="CFF0FC"/>
          </w:tcPr>
          <w:p>
            <w:pPr>
              <w:spacing w:after="0"/>
              <w:rPr>
                <w:sz w:val="12"/>
                <w:szCs w:val="12"/>
                <w:color w:val="auto"/>
              </w:rPr>
            </w:pPr>
          </w:p>
        </w:tc>
        <w:tc>
          <w:tcPr>
            <w:tcW w:w="3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1240" w:type="dxa"/>
            <w:vAlign w:val="bottom"/>
          </w:tcPr>
          <w:p>
            <w:pPr>
              <w:ind w:left="20"/>
              <w:spacing w:after="0" w:line="119" w:lineRule="exact"/>
              <w:rPr>
                <w:sz w:val="20"/>
                <w:szCs w:val="20"/>
                <w:color w:val="auto"/>
              </w:rPr>
            </w:pPr>
            <w:r>
              <w:rPr>
                <w:rFonts w:ascii="Arial" w:cs="Arial" w:eastAsia="Arial" w:hAnsi="Arial"/>
                <w:sz w:val="11"/>
                <w:szCs w:val="11"/>
                <w:color w:val="auto"/>
              </w:rPr>
              <w:t>Foreign currency</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translation</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(45 )</w:t>
            </w:r>
          </w:p>
        </w:tc>
        <w:tc>
          <w:tcPr>
            <w:tcW w:w="8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Stock-based</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tcBorders>
              <w:lef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8,43</w:t>
            </w:r>
          </w:p>
        </w:tc>
        <w:tc>
          <w:tcPr>
            <w:tcW w:w="2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compensation</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vMerge w:val="continue"/>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ind w:left="3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320" w:type="dxa"/>
            <w:vAlign w:val="bottom"/>
            <w:tcBorders>
              <w:left w:val="single" w:sz="8" w:color="CFF0FC"/>
            </w:tcBorders>
            <w:shd w:val="clear" w:color="auto" w:fill="CFF0FC"/>
          </w:tcPr>
          <w:p>
            <w:pPr>
              <w:spacing w:after="0"/>
              <w:rPr>
                <w:sz w:val="12"/>
                <w:szCs w:val="12"/>
                <w:color w:val="auto"/>
              </w:rPr>
            </w:pPr>
          </w:p>
        </w:tc>
        <w:tc>
          <w:tcPr>
            <w:tcW w:w="3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40" w:type="dxa"/>
            <w:vAlign w:val="bottom"/>
          </w:tcPr>
          <w:p>
            <w:pPr>
              <w:ind w:left="20"/>
              <w:spacing w:after="0"/>
              <w:rPr>
                <w:sz w:val="20"/>
                <w:szCs w:val="20"/>
                <w:color w:val="auto"/>
              </w:rPr>
            </w:pPr>
            <w:r>
              <w:rPr>
                <w:rFonts w:ascii="Arial" w:cs="Arial" w:eastAsia="Arial" w:hAnsi="Arial"/>
                <w:sz w:val="11"/>
                <w:szCs w:val="11"/>
                <w:color w:val="auto"/>
              </w:rPr>
              <w:t>Net loss</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w w:val="99"/>
              </w:rPr>
              <w:t>(23,797 )</w:t>
            </w:r>
          </w:p>
        </w:tc>
        <w:tc>
          <w:tcPr>
            <w:tcW w:w="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(23,797 )</w:t>
            </w:r>
          </w:p>
        </w:tc>
        <w:tc>
          <w:tcPr>
            <w:tcW w:w="0" w:type="dxa"/>
            <w:vAlign w:val="bottom"/>
          </w:tcPr>
          <w:p>
            <w:pPr>
              <w:spacing w:after="0"/>
              <w:rPr>
                <w:sz w:val="1"/>
                <w:szCs w:val="1"/>
                <w:color w:val="auto"/>
              </w:rPr>
            </w:pPr>
          </w:p>
        </w:tc>
      </w:tr>
      <w:tr>
        <w:trPr>
          <w:trHeight w:val="105"/>
        </w:trPr>
        <w:tc>
          <w:tcPr>
            <w:tcW w:w="1240" w:type="dxa"/>
            <w:vAlign w:val="bottom"/>
            <w:shd w:val="clear" w:color="auto" w:fill="CFF0FC"/>
          </w:tcPr>
          <w:p>
            <w:pPr>
              <w:ind w:left="20"/>
              <w:spacing w:after="0" w:line="105" w:lineRule="exact"/>
              <w:rPr>
                <w:sz w:val="20"/>
                <w:szCs w:val="20"/>
                <w:color w:val="auto"/>
              </w:rPr>
            </w:pPr>
            <w:r>
              <w:rPr>
                <w:rFonts w:ascii="Arial" w:cs="Arial" w:eastAsia="Arial" w:hAnsi="Arial"/>
                <w:sz w:val="11"/>
                <w:szCs w:val="11"/>
                <w:b w:val="1"/>
                <w:bCs w:val="1"/>
                <w:color w:val="auto"/>
              </w:rPr>
              <w:t>Balances at June 30,</w:t>
            </w:r>
          </w:p>
        </w:tc>
        <w:tc>
          <w:tcPr>
            <w:tcW w:w="5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top w:val="single" w:sz="8" w:color="auto"/>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top w:val="single" w:sz="8" w:color="auto"/>
              <w:right w:val="single" w:sz="8" w:color="CFF0FC"/>
            </w:tcBorders>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104,23</w:t>
            </w:r>
          </w:p>
        </w:tc>
        <w:tc>
          <w:tcPr>
            <w:tcW w:w="180" w:type="dxa"/>
            <w:vAlign w:val="bottom"/>
            <w:shd w:val="clear" w:color="auto" w:fill="CFF0FC"/>
          </w:tcPr>
          <w:p>
            <w:pPr>
              <w:spacing w:after="0"/>
              <w:rPr>
                <w:sz w:val="9"/>
                <w:szCs w:val="9"/>
                <w:color w:val="auto"/>
              </w:rPr>
            </w:pPr>
          </w:p>
        </w:tc>
        <w:tc>
          <w:tcPr>
            <w:tcW w:w="280" w:type="dxa"/>
            <w:vAlign w:val="bottom"/>
            <w:tcBorders>
              <w:top w:val="single" w:sz="8" w:color="auto"/>
              <w:left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top w:val="single" w:sz="8" w:color="auto"/>
              <w:right w:val="single" w:sz="8" w:color="CFF0FC"/>
            </w:tcBorders>
            <w:shd w:val="clear" w:color="auto" w:fill="CFF0FC"/>
          </w:tcPr>
          <w:p>
            <w:pPr>
              <w:jc w:val="right"/>
              <w:ind w:right="26"/>
              <w:spacing w:after="0" w:line="105" w:lineRule="exact"/>
              <w:rPr>
                <w:sz w:val="20"/>
                <w:szCs w:val="20"/>
                <w:color w:val="auto"/>
              </w:rPr>
            </w:pPr>
            <w:r>
              <w:rPr>
                <w:rFonts w:ascii="Arial" w:cs="Arial" w:eastAsia="Arial" w:hAnsi="Arial"/>
                <w:sz w:val="11"/>
                <w:szCs w:val="11"/>
                <w:color w:val="auto"/>
              </w:rPr>
              <w:t>5,98</w:t>
            </w:r>
          </w:p>
        </w:tc>
        <w:tc>
          <w:tcPr>
            <w:tcW w:w="160" w:type="dxa"/>
            <w:vAlign w:val="bottom"/>
            <w:shd w:val="clear" w:color="auto" w:fill="CFF0FC"/>
          </w:tcPr>
          <w:p>
            <w:pPr>
              <w:spacing w:after="0"/>
              <w:rPr>
                <w:sz w:val="9"/>
                <w:szCs w:val="9"/>
                <w:color w:val="auto"/>
              </w:rPr>
            </w:pPr>
          </w:p>
        </w:tc>
        <w:tc>
          <w:tcPr>
            <w:tcW w:w="320" w:type="dxa"/>
            <w:vAlign w:val="bottom"/>
            <w:tcBorders>
              <w:top w:val="single" w:sz="8" w:color="auto"/>
              <w:left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tcBorders>
              <w:top w:val="single" w:sz="8" w:color="auto"/>
              <w:right w:val="single" w:sz="8" w:color="CFF0FC"/>
            </w:tcBorders>
            <w:gridSpan w:val="2"/>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(2,31</w:t>
            </w:r>
          </w:p>
        </w:tc>
        <w:tc>
          <w:tcPr>
            <w:tcW w:w="140" w:type="dxa"/>
            <w:vAlign w:val="bottom"/>
            <w:shd w:val="clear" w:color="auto" w:fill="CFF0FC"/>
          </w:tcPr>
          <w:p>
            <w:pPr>
              <w:spacing w:after="0"/>
              <w:rPr>
                <w:sz w:val="9"/>
                <w:szCs w:val="9"/>
                <w:color w:val="auto"/>
              </w:rPr>
            </w:pPr>
          </w:p>
        </w:tc>
        <w:tc>
          <w:tcPr>
            <w:tcW w:w="200" w:type="dxa"/>
            <w:vAlign w:val="bottom"/>
            <w:tcBorders>
              <w:top w:val="single" w:sz="8" w:color="auto"/>
              <w:left w:val="single" w:sz="8" w:color="CFF0FC"/>
            </w:tcBorders>
            <w:shd w:val="clear" w:color="auto" w:fill="CFF0FC"/>
          </w:tcPr>
          <w:p>
            <w:pPr>
              <w:spacing w:after="0"/>
              <w:rPr>
                <w:sz w:val="9"/>
                <w:szCs w:val="9"/>
                <w:color w:val="auto"/>
              </w:rPr>
            </w:pPr>
          </w:p>
        </w:tc>
        <w:tc>
          <w:tcPr>
            <w:tcW w:w="34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300" w:type="dxa"/>
            <w:vAlign w:val="bottom"/>
            <w:tcBorders>
              <w:top w:val="single" w:sz="8" w:color="auto"/>
              <w:right w:val="single" w:sz="8" w:color="CFF0FC"/>
            </w:tcBorders>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623,</w:t>
            </w: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(159,80</w:t>
            </w: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40" w:type="dxa"/>
            <w:vAlign w:val="bottom"/>
            <w:shd w:val="clear" w:color="auto" w:fill="CFF0FC"/>
          </w:tcPr>
          <w:p>
            <w:pPr>
              <w:ind w:left="20"/>
              <w:spacing w:after="0" w:line="120" w:lineRule="exact"/>
              <w:rPr>
                <w:sz w:val="20"/>
                <w:szCs w:val="20"/>
                <w:color w:val="auto"/>
              </w:rPr>
            </w:pPr>
            <w:r>
              <w:rPr>
                <w:rFonts w:ascii="Arial" w:cs="Arial" w:eastAsia="Arial" w:hAnsi="Arial"/>
                <w:sz w:val="11"/>
                <w:szCs w:val="11"/>
                <w:b w:val="1"/>
                <w:bCs w:val="1"/>
                <w:color w:val="auto"/>
              </w:rPr>
              <w:t>2022</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tcBorders>
              <w:lef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jc w:val="right"/>
              <w:ind w:right="26"/>
              <w:spacing w:after="0" w:line="120" w:lineRule="exact"/>
              <w:rPr>
                <w:sz w:val="20"/>
                <w:szCs w:val="20"/>
                <w:color w:val="auto"/>
              </w:rPr>
            </w:pPr>
            <w:r>
              <w:rPr>
                <w:rFonts w:ascii="Arial" w:cs="Arial" w:eastAsia="Arial" w:hAnsi="Arial"/>
                <w:sz w:val="11"/>
                <w:szCs w:val="11"/>
                <w:color w:val="auto"/>
              </w:rPr>
              <w:t>8,37</w:t>
            </w: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tcBorders>
              <w:right w:val="single" w:sz="8" w:color="CFF0FC"/>
            </w:tcBorders>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vMerge w:val="continue"/>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Borders>
              <w:right w:val="single" w:sz="8" w:color="auto"/>
            </w:tcBorders>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0,946</w:t>
            </w:r>
          </w:p>
        </w:tc>
        <w:tc>
          <w:tcPr>
            <w:tcW w:w="180" w:type="dxa"/>
            <w:vAlign w:val="bottom"/>
            <w:shd w:val="clear" w:color="auto" w:fill="CFF0FC"/>
          </w:tcPr>
          <w:p>
            <w:pPr>
              <w:spacing w:after="0"/>
              <w:rPr>
                <w:sz w:val="11"/>
                <w:szCs w:val="11"/>
                <w:color w:val="auto"/>
              </w:rPr>
            </w:pPr>
          </w:p>
        </w:tc>
        <w:tc>
          <w:tcPr>
            <w:tcW w:w="280" w:type="dxa"/>
            <w:vAlign w:val="bottom"/>
            <w:tcBorders>
              <w:left w:val="single" w:sz="8" w:color="CFF0FC"/>
            </w:tcBorders>
            <w:shd w:val="clear" w:color="auto" w:fill="CFF0FC"/>
          </w:tcPr>
          <w:p>
            <w:pPr>
              <w:jc w:val="right"/>
              <w:ind w:right="146"/>
              <w:spacing w:after="0"/>
              <w:rPr>
                <w:sz w:val="20"/>
                <w:szCs w:val="20"/>
                <w:color w:val="auto"/>
              </w:rPr>
            </w:pPr>
            <w:r>
              <w:rPr>
                <w:rFonts w:ascii="Arial" w:cs="Arial" w:eastAsia="Arial" w:hAnsi="Arial"/>
                <w:sz w:val="11"/>
                <w:szCs w:val="11"/>
                <w:color w:val="auto"/>
                <w:w w:val="97"/>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36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8</w:t>
            </w:r>
          </w:p>
        </w:tc>
        <w:tc>
          <w:tcPr>
            <w:tcW w:w="160" w:type="dxa"/>
            <w:vAlign w:val="bottom"/>
            <w:shd w:val="clear" w:color="auto" w:fill="CFF0FC"/>
          </w:tcPr>
          <w:p>
            <w:pPr>
              <w:spacing w:after="0"/>
              <w:rPr>
                <w:sz w:val="11"/>
                <w:szCs w:val="11"/>
                <w:color w:val="auto"/>
              </w:rPr>
            </w:pPr>
          </w:p>
        </w:tc>
        <w:tc>
          <w:tcPr>
            <w:tcW w:w="320" w:type="dxa"/>
            <w:vAlign w:val="bottom"/>
            <w:tcBorders>
              <w:left w:val="single" w:sz="8" w:color="CFF0FC"/>
            </w:tcBorders>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tcBorders>
              <w:right w:val="single" w:sz="8" w:color="CFF0FC"/>
            </w:tcBorders>
            <w:gridSpan w:val="5"/>
            <w:shd w:val="clear" w:color="auto" w:fill="CFF0FC"/>
          </w:tcPr>
          <w:p>
            <w:pPr>
              <w:jc w:val="right"/>
              <w:spacing w:after="0"/>
              <w:rPr>
                <w:sz w:val="20"/>
                <w:szCs w:val="20"/>
                <w:color w:val="auto"/>
              </w:rPr>
            </w:pPr>
            <w:r>
              <w:rPr>
                <w:rFonts w:ascii="Arial" w:cs="Arial" w:eastAsia="Arial" w:hAnsi="Arial"/>
                <w:sz w:val="11"/>
                <w:szCs w:val="11"/>
                <w:color w:val="auto"/>
              </w:rPr>
              <w:t>7,722 )   $   (748 )</w:t>
            </w: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611</w:t>
            </w:r>
          </w:p>
        </w:tc>
        <w:tc>
          <w:tcPr>
            <w:tcW w:w="2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(534 )</w:t>
            </w: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462,537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CFF0FC"/>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12"/>
          </w:tcPr>
          <w:p>
            <w:pPr>
              <w:jc w:val="center"/>
              <w:ind w:right="440"/>
              <w:spacing w:after="0"/>
              <w:rPr>
                <w:sz w:val="20"/>
                <w:szCs w:val="20"/>
                <w:color w:val="auto"/>
              </w:rPr>
            </w:pPr>
            <w:r>
              <w:rPr>
                <w:rFonts w:ascii="Arial" w:cs="Arial" w:eastAsia="Arial" w:hAnsi="Arial"/>
                <w:sz w:val="11"/>
                <w:szCs w:val="11"/>
                <w:b w:val="1"/>
                <w:bCs w:val="1"/>
                <w:color w:val="auto"/>
                <w:w w:val="97"/>
              </w:rPr>
              <w:t>Three Months Ended June 30, 2021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vMerge w:val="restart"/>
          </w:tcPr>
          <w:p>
            <w:pPr>
              <w:jc w:val="center"/>
              <w:ind w:right="160"/>
              <w:spacing w:after="0"/>
              <w:rPr>
                <w:sz w:val="20"/>
                <w:szCs w:val="20"/>
                <w:color w:val="auto"/>
              </w:rPr>
            </w:pPr>
            <w:r>
              <w:rPr>
                <w:rFonts w:ascii="Arial" w:cs="Arial" w:eastAsia="Arial" w:hAnsi="Arial"/>
                <w:sz w:val="11"/>
                <w:szCs w:val="11"/>
                <w:b w:val="1"/>
                <w:bCs w:val="1"/>
                <w:color w:val="auto"/>
                <w:w w:val="96"/>
              </w:rPr>
              <w:t>Additi</w:t>
            </w:r>
          </w:p>
        </w:tc>
        <w:tc>
          <w:tcPr>
            <w:tcW w:w="94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95"/>
              </w:rPr>
              <w:t>Accumulated</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00" w:type="dxa"/>
            <w:vAlign w:val="bottom"/>
            <w:gridSpan w:val="5"/>
            <w:vMerge w:val="restart"/>
          </w:tcPr>
          <w:p>
            <w:pPr>
              <w:jc w:val="right"/>
              <w:ind w:right="560"/>
              <w:spacing w:after="0"/>
              <w:rPr>
                <w:sz w:val="20"/>
                <w:szCs w:val="20"/>
                <w:color w:val="auto"/>
              </w:rPr>
            </w:pPr>
            <w:r>
              <w:rPr>
                <w:rFonts w:ascii="Arial" w:cs="Arial" w:eastAsia="Arial" w:hAnsi="Arial"/>
                <w:sz w:val="11"/>
                <w:szCs w:val="11"/>
                <w:b w:val="1"/>
                <w:bCs w:val="1"/>
                <w:color w:val="auto"/>
              </w:rPr>
              <w:t>Convertible</w:t>
            </w:r>
          </w:p>
        </w:tc>
        <w:tc>
          <w:tcPr>
            <w:tcW w:w="1580" w:type="dxa"/>
            <w:vAlign w:val="bottom"/>
            <w:tcBorders>
              <w:right w:val="single" w:sz="8" w:color="auto"/>
            </w:tcBorders>
            <w:gridSpan w:val="5"/>
          </w:tcPr>
          <w:p>
            <w:pPr>
              <w:ind w:left="300"/>
              <w:spacing w:after="0" w:line="122" w:lineRule="exact"/>
              <w:rPr>
                <w:sz w:val="20"/>
                <w:szCs w:val="20"/>
                <w:color w:val="auto"/>
              </w:rPr>
            </w:pPr>
            <w:r>
              <w:rPr>
                <w:rFonts w:ascii="Arial" w:cs="Arial" w:eastAsia="Arial" w:hAnsi="Arial"/>
                <w:sz w:val="11"/>
                <w:szCs w:val="11"/>
                <w:b w:val="1"/>
                <w:bCs w:val="1"/>
                <w:color w:val="auto"/>
              </w:rPr>
              <w:t>Redeemable</w:t>
            </w:r>
          </w:p>
        </w:tc>
        <w:tc>
          <w:tcPr>
            <w:tcW w:w="960" w:type="dxa"/>
            <w:vAlign w:val="bottom"/>
            <w:gridSpan w:val="3"/>
            <w:vMerge w:val="restart"/>
          </w:tcPr>
          <w:p>
            <w:pPr>
              <w:jc w:val="center"/>
              <w:ind w:left="206"/>
              <w:spacing w:after="0"/>
              <w:rPr>
                <w:sz w:val="20"/>
                <w:szCs w:val="20"/>
                <w:color w:val="auto"/>
              </w:rPr>
            </w:pPr>
            <w:r>
              <w:rPr>
                <w:rFonts w:ascii="Arial" w:cs="Arial" w:eastAsia="Arial" w:hAnsi="Arial"/>
                <w:sz w:val="11"/>
                <w:szCs w:val="11"/>
                <w:b w:val="1"/>
                <w:bCs w:val="1"/>
                <w:color w:val="auto"/>
                <w:w w:val="99"/>
              </w:rPr>
              <w:t>Voting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66"/>
              <w:spacing w:after="0" w:line="122" w:lineRule="exact"/>
              <w:rPr>
                <w:sz w:val="20"/>
                <w:szCs w:val="20"/>
                <w:color w:val="auto"/>
              </w:rPr>
            </w:pPr>
            <w:r>
              <w:rPr>
                <w:rFonts w:ascii="Arial" w:cs="Arial" w:eastAsia="Arial" w:hAnsi="Arial"/>
                <w:sz w:val="11"/>
                <w:szCs w:val="11"/>
                <w:b w:val="1"/>
                <w:bCs w:val="1"/>
                <w:color w:val="auto"/>
                <w:w w:val="97"/>
              </w:rPr>
              <w:t>Non-Voting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vMerge w:val="restart"/>
          </w:tcPr>
          <w:p>
            <w:pPr>
              <w:jc w:val="right"/>
              <w:ind w:right="320"/>
              <w:spacing w:after="0"/>
              <w:rPr>
                <w:sz w:val="20"/>
                <w:szCs w:val="20"/>
                <w:color w:val="auto"/>
              </w:rPr>
            </w:pPr>
            <w:r>
              <w:rPr>
                <w:rFonts w:ascii="Arial" w:cs="Arial" w:eastAsia="Arial" w:hAnsi="Arial"/>
                <w:sz w:val="11"/>
                <w:szCs w:val="11"/>
                <w:b w:val="1"/>
                <w:bCs w:val="1"/>
                <w:color w:val="auto"/>
              </w:rPr>
              <w:t>Treasury Voting</w:t>
            </w:r>
          </w:p>
        </w:tc>
        <w:tc>
          <w:tcPr>
            <w:tcW w:w="120" w:type="dxa"/>
            <w:vAlign w:val="bottom"/>
          </w:tcPr>
          <w:p>
            <w:pPr>
              <w:spacing w:after="0"/>
              <w:rPr>
                <w:sz w:val="10"/>
                <w:szCs w:val="10"/>
                <w:color w:val="auto"/>
              </w:rPr>
            </w:pPr>
          </w:p>
        </w:tc>
        <w:tc>
          <w:tcPr>
            <w:tcW w:w="5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7"/>
              </w:rPr>
              <w:t>onal</w:t>
            </w:r>
          </w:p>
        </w:tc>
        <w:tc>
          <w:tcPr>
            <w:tcW w:w="120" w:type="dxa"/>
            <w:vAlign w:val="bottom"/>
          </w:tcPr>
          <w:p>
            <w:pPr>
              <w:spacing w:after="0"/>
              <w:rPr>
                <w:sz w:val="10"/>
                <w:szCs w:val="10"/>
                <w:color w:val="auto"/>
              </w:rPr>
            </w:pPr>
          </w:p>
        </w:tc>
        <w:tc>
          <w:tcPr>
            <w:tcW w:w="8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rPr>
              <w:t>Other</w:t>
            </w:r>
          </w:p>
        </w:tc>
        <w:tc>
          <w:tcPr>
            <w:tcW w:w="72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98"/>
              </w:rPr>
              <w:t>Accumul</w:t>
            </w: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1580" w:type="dxa"/>
            <w:vAlign w:val="bottom"/>
            <w:tcBorders>
              <w:right w:val="single" w:sz="8" w:color="auto"/>
            </w:tcBorders>
            <w:gridSpan w:val="5"/>
          </w:tcPr>
          <w:p>
            <w:pPr>
              <w:ind w:left="320"/>
              <w:spacing w:after="0" w:line="108" w:lineRule="exact"/>
              <w:rPr>
                <w:sz w:val="20"/>
                <w:szCs w:val="20"/>
                <w:color w:val="auto"/>
              </w:rPr>
            </w:pPr>
            <w:r>
              <w:rPr>
                <w:rFonts w:ascii="Arial" w:cs="Arial" w:eastAsia="Arial" w:hAnsi="Arial"/>
                <w:sz w:val="11"/>
                <w:szCs w:val="11"/>
                <w:b w:val="1"/>
                <w:bCs w:val="1"/>
                <w:color w:val="auto"/>
              </w:rPr>
              <w:t>Convertible</w:t>
            </w:r>
          </w:p>
        </w:tc>
        <w:tc>
          <w:tcPr>
            <w:tcW w:w="9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tcPr>
          <w:p>
            <w:pPr>
              <w:jc w:val="center"/>
              <w:ind w:left="166"/>
              <w:spacing w:after="0" w:line="108" w:lineRule="exact"/>
              <w:rPr>
                <w:sz w:val="20"/>
                <w:szCs w:val="20"/>
                <w:color w:val="auto"/>
              </w:rPr>
            </w:pPr>
            <w:r>
              <w:rPr>
                <w:rFonts w:ascii="Arial" w:cs="Arial" w:eastAsia="Arial" w:hAnsi="Arial"/>
                <w:sz w:val="11"/>
                <w:szCs w:val="11"/>
                <w:b w:val="1"/>
                <w:bCs w:val="1"/>
                <w:color w:val="auto"/>
                <w:w w:val="96"/>
              </w:rPr>
              <w:t>Common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620" w:type="dxa"/>
            <w:vAlign w:val="bottom"/>
            <w:gridSpan w:val="3"/>
          </w:tcPr>
          <w:p>
            <w:pPr>
              <w:jc w:val="center"/>
              <w:ind w:right="160"/>
              <w:spacing w:after="0" w:line="108" w:lineRule="exact"/>
              <w:rPr>
                <w:sz w:val="20"/>
                <w:szCs w:val="20"/>
                <w:color w:val="auto"/>
              </w:rPr>
            </w:pPr>
            <w:r>
              <w:rPr>
                <w:rFonts w:ascii="Arial" w:cs="Arial" w:eastAsia="Arial" w:hAnsi="Arial"/>
                <w:sz w:val="11"/>
                <w:szCs w:val="11"/>
                <w:b w:val="1"/>
                <w:bCs w:val="1"/>
                <w:color w:val="auto"/>
                <w:w w:val="96"/>
              </w:rPr>
              <w:t>Paid-</w:t>
            </w:r>
          </w:p>
        </w:tc>
        <w:tc>
          <w:tcPr>
            <w:tcW w:w="94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9"/>
              </w:rPr>
              <w:t>Comprehensi</w:t>
            </w:r>
          </w:p>
        </w:tc>
        <w:tc>
          <w:tcPr>
            <w:tcW w:w="720" w:type="dxa"/>
            <w:vAlign w:val="bottom"/>
            <w:gridSpan w:val="3"/>
            <w:vMerge w:val="continue"/>
          </w:tcPr>
          <w:p>
            <w:pPr>
              <w:spacing w:after="0"/>
              <w:rPr>
                <w:sz w:val="9"/>
                <w:szCs w:val="9"/>
                <w:color w:val="auto"/>
              </w:rPr>
            </w:pPr>
          </w:p>
        </w:tc>
        <w:tc>
          <w:tcPr>
            <w:tcW w:w="7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Stockholde</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1"/>
                <w:szCs w:val="11"/>
                <w:b w:val="1"/>
                <w:bCs w:val="1"/>
                <w:color w:val="auto"/>
              </w:rPr>
              <w:t>Preferred Stock</w:t>
            </w:r>
          </w:p>
        </w:tc>
        <w:tc>
          <w:tcPr>
            <w:tcW w:w="1580" w:type="dxa"/>
            <w:vAlign w:val="bottom"/>
            <w:tcBorders>
              <w:right w:val="single" w:sz="8" w:color="auto"/>
            </w:tcBorders>
            <w:gridSpan w:val="5"/>
          </w:tcPr>
          <w:p>
            <w:pPr>
              <w:ind w:left="220"/>
              <w:spacing w:after="0"/>
              <w:rPr>
                <w:sz w:val="20"/>
                <w:szCs w:val="20"/>
                <w:color w:val="auto"/>
              </w:rPr>
            </w:pPr>
            <w:r>
              <w:rPr>
                <w:rFonts w:ascii="Arial" w:cs="Arial" w:eastAsia="Arial" w:hAnsi="Arial"/>
                <w:sz w:val="11"/>
                <w:szCs w:val="11"/>
                <w:b w:val="1"/>
                <w:bCs w:val="1"/>
                <w:color w:val="auto"/>
              </w:rPr>
              <w:t>Preferred Stock</w:t>
            </w:r>
          </w:p>
        </w:tc>
        <w:tc>
          <w:tcPr>
            <w:tcW w:w="142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96"/>
              </w:rPr>
              <w:t>Common Stock</w:t>
            </w:r>
          </w:p>
        </w:tc>
        <w:tc>
          <w:tcPr>
            <w:tcW w:w="360" w:type="dxa"/>
            <w:vAlign w:val="bottom"/>
          </w:tcPr>
          <w:p>
            <w:pPr>
              <w:spacing w:after="0"/>
              <w:rPr>
                <w:sz w:val="12"/>
                <w:szCs w:val="12"/>
                <w:color w:val="auto"/>
              </w:rPr>
            </w:pPr>
          </w:p>
        </w:tc>
        <w:tc>
          <w:tcPr>
            <w:tcW w:w="480" w:type="dxa"/>
            <w:vAlign w:val="bottom"/>
            <w:gridSpan w:val="2"/>
          </w:tcPr>
          <w:p>
            <w:pPr>
              <w:jc w:val="center"/>
              <w:ind w:right="88"/>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5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In</w:t>
            </w:r>
          </w:p>
        </w:tc>
        <w:tc>
          <w:tcPr>
            <w:tcW w:w="12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ve</w:t>
            </w:r>
          </w:p>
        </w:tc>
        <w:tc>
          <w:tcPr>
            <w:tcW w:w="80" w:type="dxa"/>
            <w:vAlign w:val="bottom"/>
          </w:tcPr>
          <w:p>
            <w:pPr>
              <w:spacing w:after="0"/>
              <w:rPr>
                <w:sz w:val="12"/>
                <w:szCs w:val="12"/>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ated</w:t>
            </w: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5"/>
              </w:rPr>
              <w:t>rs’ Equity</w:t>
            </w: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rPr>
              <w:t>Share</w:t>
            </w:r>
          </w:p>
        </w:tc>
        <w:tc>
          <w:tcPr>
            <w:tcW w:w="1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3"/>
          </w:tcPr>
          <w:p>
            <w:pPr>
              <w:jc w:val="center"/>
              <w:ind w:right="140"/>
              <w:spacing w:after="0" w:line="94" w:lineRule="exact"/>
              <w:rPr>
                <w:sz w:val="20"/>
                <w:szCs w:val="20"/>
                <w:color w:val="auto"/>
              </w:rPr>
            </w:pPr>
            <w:r>
              <w:rPr>
                <w:rFonts w:ascii="Arial" w:cs="Arial" w:eastAsia="Arial" w:hAnsi="Arial"/>
                <w:sz w:val="10"/>
                <w:szCs w:val="10"/>
                <w:b w:val="1"/>
                <w:bCs w:val="1"/>
                <w:color w:val="auto"/>
              </w:rPr>
              <w:t>Capita</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7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880" w:type="dxa"/>
            <w:vAlign w:val="bottom"/>
            <w:tcBorders>
              <w:right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740" w:type="dxa"/>
            <w:vAlign w:val="bottom"/>
            <w:gridSpan w:val="4"/>
          </w:tcPr>
          <w:p>
            <w:pPr>
              <w:ind w:left="10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jc w:val="right"/>
              <w:ind w:right="86"/>
              <w:spacing w:after="0"/>
              <w:rPr>
                <w:sz w:val="20"/>
                <w:szCs w:val="20"/>
                <w:color w:val="auto"/>
              </w:rPr>
            </w:pPr>
            <w:r>
              <w:rPr>
                <w:rFonts w:ascii="Arial" w:cs="Arial" w:eastAsia="Arial" w:hAnsi="Arial"/>
                <w:sz w:val="11"/>
                <w:szCs w:val="11"/>
                <w:b w:val="1"/>
                <w:bCs w:val="1"/>
                <w:color w:val="auto"/>
              </w:rPr>
              <w:t>s</w:t>
            </w:r>
          </w:p>
        </w:tc>
        <w:tc>
          <w:tcPr>
            <w:tcW w:w="160" w:type="dxa"/>
            <w:vAlign w:val="bottom"/>
          </w:tcPr>
          <w:p>
            <w:pPr>
              <w:spacing w:after="0"/>
              <w:rPr>
                <w:sz w:val="13"/>
                <w:szCs w:val="13"/>
                <w:color w:val="auto"/>
              </w:rPr>
            </w:pPr>
          </w:p>
        </w:tc>
        <w:tc>
          <w:tcPr>
            <w:tcW w:w="660" w:type="dxa"/>
            <w:vAlign w:val="bottom"/>
            <w:gridSpan w:val="4"/>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7"/>
              </w:rPr>
              <w:t>Shares</w:t>
            </w:r>
          </w:p>
        </w:tc>
        <w:tc>
          <w:tcPr>
            <w:tcW w:w="70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3"/>
                <w:szCs w:val="13"/>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l</w:t>
            </w:r>
          </w:p>
        </w:tc>
        <w:tc>
          <w:tcPr>
            <w:tcW w:w="12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3"/>
                <w:szCs w:val="13"/>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94"/>
        </w:trPr>
        <w:tc>
          <w:tcPr>
            <w:tcW w:w="1240" w:type="dxa"/>
            <w:vAlign w:val="bottom"/>
            <w:shd w:val="clear" w:color="auto" w:fill="CFF0FC"/>
          </w:tcPr>
          <w:p>
            <w:pPr>
              <w:ind w:left="20"/>
              <w:spacing w:after="0" w:line="94" w:lineRule="exact"/>
              <w:rPr>
                <w:sz w:val="20"/>
                <w:szCs w:val="20"/>
                <w:color w:val="auto"/>
              </w:rPr>
            </w:pPr>
            <w:r>
              <w:rPr>
                <w:rFonts w:ascii="Arial" w:cs="Arial" w:eastAsia="Arial" w:hAnsi="Arial"/>
                <w:sz w:val="10"/>
                <w:szCs w:val="10"/>
                <w:b w:val="1"/>
                <w:bCs w:val="1"/>
                <w:color w:val="auto"/>
              </w:rPr>
              <w:t>Balances at March</w:t>
            </w:r>
          </w:p>
        </w:tc>
        <w:tc>
          <w:tcPr>
            <w:tcW w:w="500" w:type="dxa"/>
            <w:vAlign w:val="bottom"/>
            <w:tcBorders>
              <w:top w:val="single" w:sz="8" w:color="auto"/>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54,208</w:t>
            </w: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right w:val="single" w:sz="8" w:color="CFF0FC"/>
            </w:tcBorders>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480" w:type="dxa"/>
            <w:vAlign w:val="bottom"/>
            <w:tcBorders>
              <w:top w:val="single" w:sz="8" w:color="auto"/>
              <w:right w:val="single" w:sz="8" w:color="CFF0FC"/>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13,811</w:t>
            </w:r>
          </w:p>
        </w:tc>
        <w:tc>
          <w:tcPr>
            <w:tcW w:w="220" w:type="dxa"/>
            <w:vAlign w:val="bottom"/>
            <w:tcBorders>
              <w:right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340" w:type="dxa"/>
            <w:vAlign w:val="bottom"/>
            <w:tcBorders>
              <w:right w:val="single" w:sz="8" w:color="auto"/>
            </w:tcBorders>
            <w:shd w:val="clear" w:color="auto" w:fill="CFF0FC"/>
          </w:tcPr>
          <w:p>
            <w:pPr>
              <w:spacing w:after="0"/>
              <w:rPr>
                <w:sz w:val="8"/>
                <w:szCs w:val="8"/>
                <w:color w:val="auto"/>
              </w:rPr>
            </w:pPr>
          </w:p>
        </w:tc>
        <w:tc>
          <w:tcPr>
            <w:tcW w:w="500" w:type="dxa"/>
            <w:vAlign w:val="bottom"/>
            <w:tcBorders>
              <w:top w:val="single" w:sz="8" w:color="auto"/>
              <w:right w:val="single" w:sz="8" w:color="CFF0FC"/>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25,397</w:t>
            </w:r>
          </w:p>
        </w:tc>
        <w:tc>
          <w:tcPr>
            <w:tcW w:w="180" w:type="dxa"/>
            <w:vAlign w:val="bottom"/>
            <w:shd w:val="clear" w:color="auto" w:fill="CFF0FC"/>
          </w:tcPr>
          <w:p>
            <w:pPr>
              <w:spacing w:after="0"/>
              <w:rPr>
                <w:sz w:val="8"/>
                <w:szCs w:val="8"/>
                <w:color w:val="auto"/>
              </w:rPr>
            </w:pPr>
          </w:p>
        </w:tc>
        <w:tc>
          <w:tcPr>
            <w:tcW w:w="280" w:type="dxa"/>
            <w:vAlign w:val="bottom"/>
            <w:tcBorders>
              <w:top w:val="single" w:sz="8" w:color="auto"/>
              <w:left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00" w:type="dxa"/>
            <w:vAlign w:val="bottom"/>
            <w:tcBorders>
              <w:right w:val="single" w:sz="8" w:color="CFF0FC"/>
            </w:tcBorders>
            <w:shd w:val="clear" w:color="auto" w:fill="CFF0FC"/>
          </w:tcPr>
          <w:p>
            <w:pPr>
              <w:spacing w:after="0"/>
              <w:rPr>
                <w:sz w:val="8"/>
                <w:szCs w:val="8"/>
                <w:color w:val="auto"/>
              </w:rPr>
            </w:pPr>
          </w:p>
        </w:tc>
        <w:tc>
          <w:tcPr>
            <w:tcW w:w="360" w:type="dxa"/>
            <w:vAlign w:val="bottom"/>
            <w:tcBorders>
              <w:top w:val="single" w:sz="8" w:color="auto"/>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20" w:type="dxa"/>
            <w:vAlign w:val="bottom"/>
            <w:tcBorders>
              <w:top w:val="single" w:sz="8" w:color="auto"/>
              <w:left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tcBorders>
              <w:top w:val="single" w:sz="8" w:color="auto"/>
              <w:right w:val="single" w:sz="8" w:color="CFF0FC"/>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(2,31</w:t>
            </w:r>
          </w:p>
        </w:tc>
        <w:tc>
          <w:tcPr>
            <w:tcW w:w="140" w:type="dxa"/>
            <w:vAlign w:val="bottom"/>
            <w:shd w:val="clear" w:color="auto" w:fill="CFF0FC"/>
          </w:tcPr>
          <w:p>
            <w:pPr>
              <w:spacing w:after="0"/>
              <w:rPr>
                <w:sz w:val="8"/>
                <w:szCs w:val="8"/>
                <w:color w:val="auto"/>
              </w:rPr>
            </w:pPr>
          </w:p>
        </w:tc>
        <w:tc>
          <w:tcPr>
            <w:tcW w:w="200" w:type="dxa"/>
            <w:vAlign w:val="bottom"/>
            <w:tcBorders>
              <w:top w:val="single" w:sz="8" w:color="auto"/>
              <w:left w:val="single" w:sz="8" w:color="CFF0FC"/>
            </w:tcBorders>
            <w:shd w:val="clear" w:color="auto" w:fill="CFF0FC"/>
          </w:tcPr>
          <w:p>
            <w:pPr>
              <w:spacing w:after="0"/>
              <w:rPr>
                <w:sz w:val="8"/>
                <w:szCs w:val="8"/>
                <w:color w:val="auto"/>
              </w:rPr>
            </w:pPr>
          </w:p>
        </w:tc>
        <w:tc>
          <w:tcPr>
            <w:tcW w:w="340" w:type="dxa"/>
            <w:vAlign w:val="bottom"/>
            <w:tcBorders>
              <w:top w:val="single" w:sz="8" w:color="auto"/>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tcBorders>
              <w:top w:val="single" w:sz="8" w:color="auto"/>
              <w:left w:val="single" w:sz="8" w:color="CFF0FC"/>
            </w:tcBorders>
            <w:shd w:val="clear" w:color="auto" w:fill="CFF0FC"/>
          </w:tcPr>
          <w:p>
            <w:pPr>
              <w:spacing w:after="0"/>
              <w:rPr>
                <w:sz w:val="8"/>
                <w:szCs w:val="8"/>
                <w:color w:val="auto"/>
              </w:rPr>
            </w:pPr>
          </w:p>
        </w:tc>
        <w:tc>
          <w:tcPr>
            <w:tcW w:w="300" w:type="dxa"/>
            <w:vAlign w:val="bottom"/>
            <w:tcBorders>
              <w:top w:val="single" w:sz="8" w:color="auto"/>
              <w:right w:val="single" w:sz="8" w:color="CFF0FC"/>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29,7</w:t>
            </w:r>
          </w:p>
        </w:tc>
        <w:tc>
          <w:tcPr>
            <w:tcW w:w="200" w:type="dxa"/>
            <w:vAlign w:val="bottom"/>
            <w:tcBorders>
              <w:right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right w:val="single" w:sz="8" w:color="CFF0FC"/>
            </w:tcBorders>
            <w:shd w:val="clear" w:color="auto" w:fill="CFF0FC"/>
          </w:tcPr>
          <w:p>
            <w:pPr>
              <w:spacing w:after="0"/>
              <w:rPr>
                <w:sz w:val="8"/>
                <w:szCs w:val="8"/>
                <w:color w:val="auto"/>
              </w:rPr>
            </w:pPr>
          </w:p>
        </w:tc>
        <w:tc>
          <w:tcPr>
            <w:tcW w:w="200" w:type="dxa"/>
            <w:vAlign w:val="bottom"/>
            <w:tcBorders>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(106,42</w:t>
            </w:r>
          </w:p>
        </w:tc>
        <w:tc>
          <w:tcPr>
            <w:tcW w:w="220" w:type="dxa"/>
            <w:vAlign w:val="bottom"/>
            <w:tcBorders>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31, 2021</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110,401</w:t>
            </w:r>
          </w:p>
        </w:tc>
        <w:tc>
          <w:tcPr>
            <w:tcW w:w="240" w:type="dxa"/>
            <w:vAlign w:val="bottom"/>
            <w:tcBorders>
              <w:right w:val="single" w:sz="8" w:color="CFF0FC"/>
            </w:tcBorders>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,856</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179,509</w:t>
            </w:r>
          </w:p>
        </w:tc>
        <w:tc>
          <w:tcPr>
            <w:tcW w:w="340" w:type="dxa"/>
            <w:vAlign w:val="bottom"/>
            <w:tcBorders>
              <w:right w:val="single" w:sz="8" w:color="auto"/>
            </w:tcBorders>
            <w:shd w:val="clear" w:color="auto" w:fill="CFF0FC"/>
          </w:tcPr>
          <w:p>
            <w:pPr>
              <w:spacing w:after="0"/>
              <w:rPr>
                <w:sz w:val="14"/>
                <w:szCs w:val="14"/>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,964</w:t>
            </w:r>
          </w:p>
        </w:tc>
        <w:tc>
          <w:tcPr>
            <w:tcW w:w="180" w:type="dxa"/>
            <w:vAlign w:val="bottom"/>
            <w:shd w:val="clear" w:color="auto" w:fill="CFF0FC"/>
          </w:tcPr>
          <w:p>
            <w:pPr>
              <w:spacing w:after="0"/>
              <w:rPr>
                <w:sz w:val="14"/>
                <w:szCs w:val="14"/>
                <w:color w:val="auto"/>
              </w:rPr>
            </w:pPr>
          </w:p>
        </w:tc>
        <w:tc>
          <w:tcPr>
            <w:tcW w:w="280" w:type="dxa"/>
            <w:vAlign w:val="bottom"/>
            <w:tcBorders>
              <w:left w:val="single" w:sz="8" w:color="CFF0FC"/>
            </w:tcBorders>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w:t>
            </w:r>
          </w:p>
        </w:tc>
        <w:tc>
          <w:tcPr>
            <w:tcW w:w="200" w:type="dxa"/>
            <w:vAlign w:val="bottom"/>
            <w:tcBorders>
              <w:right w:val="single" w:sz="8" w:color="CFF0FC"/>
            </w:tcBorders>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7,722 )</w:t>
            </w:r>
          </w:p>
        </w:tc>
        <w:tc>
          <w:tcPr>
            <w:tcW w:w="200" w:type="dxa"/>
            <w:vAlign w:val="bottom"/>
            <w:tcBorders>
              <w:lef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(748 )</w:t>
            </w:r>
          </w:p>
        </w:tc>
        <w:tc>
          <w:tcPr>
            <w:tcW w:w="12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34</w:t>
            </w:r>
          </w:p>
        </w:tc>
        <w:tc>
          <w:tcPr>
            <w:tcW w:w="2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2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(77,310 )</w:t>
            </w:r>
          </w:p>
        </w:tc>
        <w:tc>
          <w:tcPr>
            <w:tcW w:w="0" w:type="dxa"/>
            <w:vAlign w:val="bottom"/>
          </w:tcPr>
          <w:p>
            <w:pPr>
              <w:spacing w:after="0"/>
              <w:rPr>
                <w:sz w:val="1"/>
                <w:szCs w:val="1"/>
                <w:color w:val="auto"/>
              </w:rPr>
            </w:pPr>
          </w:p>
        </w:tc>
      </w:tr>
      <w:tr>
        <w:trPr>
          <w:trHeight w:val="105"/>
        </w:trPr>
        <w:tc>
          <w:tcPr>
            <w:tcW w:w="1240" w:type="dxa"/>
            <w:vAlign w:val="bottom"/>
          </w:tcPr>
          <w:p>
            <w:pPr>
              <w:ind w:left="20"/>
              <w:spacing w:after="0" w:line="105" w:lineRule="exact"/>
              <w:rPr>
                <w:sz w:val="20"/>
                <w:szCs w:val="20"/>
                <w:color w:val="auto"/>
              </w:rPr>
            </w:pPr>
            <w:r>
              <w:rPr>
                <w:rFonts w:ascii="Arial" w:cs="Arial" w:eastAsia="Arial" w:hAnsi="Arial"/>
                <w:sz w:val="11"/>
                <w:szCs w:val="11"/>
                <w:color w:val="auto"/>
              </w:rPr>
              <w:t>Issuance of common</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stock in connection</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with initial public</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offering, net of</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underwriting</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discounts and</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12,006</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268,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120"/>
              <w:spacing w:after="0"/>
              <w:rPr>
                <w:sz w:val="20"/>
                <w:szCs w:val="20"/>
                <w:color w:val="auto"/>
              </w:rPr>
            </w:pPr>
            <w:r>
              <w:rPr>
                <w:rFonts w:ascii="Arial" w:cs="Arial" w:eastAsia="Arial" w:hAnsi="Arial"/>
                <w:sz w:val="11"/>
                <w:szCs w:val="11"/>
                <w:color w:val="auto"/>
              </w:rPr>
              <w:t>commissions</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268,694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2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Costs incurred in</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connection</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with initial</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tcBorders>
              <w:lef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(4,8</w:t>
            </w:r>
          </w:p>
        </w:tc>
        <w:tc>
          <w:tcPr>
            <w:tcW w:w="2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tcBorders>
              <w:left w:val="single" w:sz="8" w:color="CFF0FC"/>
            </w:tcBorders>
            <w:shd w:val="clear" w:color="auto" w:fill="CFF0FC"/>
          </w:tcPr>
          <w:p>
            <w:pPr>
              <w:spacing w:after="0"/>
              <w:rPr>
                <w:sz w:val="13"/>
                <w:szCs w:val="13"/>
                <w:color w:val="auto"/>
              </w:rPr>
            </w:pPr>
          </w:p>
        </w:tc>
        <w:tc>
          <w:tcPr>
            <w:tcW w:w="4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320" w:type="dxa"/>
            <w:vAlign w:val="bottom"/>
            <w:tcBorders>
              <w:left w:val="single" w:sz="8" w:color="CFF0FC"/>
            </w:tcBorders>
            <w:shd w:val="clear" w:color="auto" w:fill="CFF0FC"/>
          </w:tcPr>
          <w:p>
            <w:pPr>
              <w:spacing w:after="0"/>
              <w:rPr>
                <w:sz w:val="13"/>
                <w:szCs w:val="13"/>
                <w:color w:val="auto"/>
              </w:rPr>
            </w:pP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60 )</w:t>
            </w:r>
          </w:p>
        </w:tc>
        <w:tc>
          <w:tcPr>
            <w:tcW w:w="12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(4,860 )</w:t>
            </w:r>
          </w:p>
        </w:tc>
        <w:tc>
          <w:tcPr>
            <w:tcW w:w="0" w:type="dxa"/>
            <w:vAlign w:val="bottom"/>
          </w:tcPr>
          <w:p>
            <w:pPr>
              <w:spacing w:after="0"/>
              <w:rPr>
                <w:sz w:val="1"/>
                <w:szCs w:val="1"/>
                <w:color w:val="auto"/>
              </w:rPr>
            </w:pPr>
          </w:p>
        </w:tc>
      </w:tr>
      <w:tr>
        <w:trPr>
          <w:trHeight w:val="105"/>
        </w:trPr>
        <w:tc>
          <w:tcPr>
            <w:tcW w:w="1240" w:type="dxa"/>
            <w:vAlign w:val="bottom"/>
          </w:tcPr>
          <w:p>
            <w:pPr>
              <w:ind w:left="20"/>
              <w:spacing w:after="0" w:line="105" w:lineRule="exact"/>
              <w:rPr>
                <w:sz w:val="20"/>
                <w:szCs w:val="20"/>
                <w:color w:val="auto"/>
              </w:rPr>
            </w:pPr>
            <w:r>
              <w:rPr>
                <w:rFonts w:ascii="Arial" w:cs="Arial" w:eastAsia="Arial" w:hAnsi="Arial"/>
                <w:sz w:val="11"/>
                <w:szCs w:val="11"/>
                <w:color w:val="auto"/>
              </w:rPr>
              <w:t>Accretion of</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redeemable</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convertible preferred</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120"/>
              <w:spacing w:after="0"/>
              <w:rPr>
                <w:sz w:val="20"/>
                <w:szCs w:val="20"/>
                <w:color w:val="auto"/>
              </w:rPr>
            </w:pPr>
            <w:r>
              <w:rPr>
                <w:rFonts w:ascii="Arial" w:cs="Arial" w:eastAsia="Arial" w:hAnsi="Arial"/>
                <w:sz w:val="11"/>
                <w:szCs w:val="11"/>
                <w:color w:val="auto"/>
              </w:rPr>
              <w:t>stock</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w:t>
            </w:r>
          </w:p>
        </w:tc>
        <w:tc>
          <w:tcPr>
            <w:tcW w:w="340" w:type="dxa"/>
            <w:vAlign w:val="bottom"/>
            <w:tcBorders>
              <w:right w:val="single" w:sz="8" w:color="auto"/>
            </w:tcBorders>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(8 )</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09"/>
        </w:trPr>
        <w:tc>
          <w:tcPr>
            <w:tcW w:w="12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Series C</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Convertible</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Preferred</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tcBorders>
              <w:lef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Stock upon net</w:t>
            </w:r>
          </w:p>
        </w:tc>
        <w:tc>
          <w:tcPr>
            <w:tcW w:w="500" w:type="dxa"/>
            <w:vAlign w:val="bottom"/>
            <w:shd w:val="clear" w:color="auto" w:fill="CFF0FC"/>
          </w:tcPr>
          <w:p>
            <w:pPr>
              <w:jc w:val="right"/>
              <w:spacing w:after="0" w:line="108" w:lineRule="exact"/>
              <w:rPr>
                <w:sz w:val="20"/>
                <w:szCs w:val="20"/>
                <w:color w:val="auto"/>
              </w:rPr>
            </w:pPr>
            <w:r>
              <w:rPr>
                <w:rFonts w:ascii="Arial" w:cs="Arial" w:eastAsia="Arial" w:hAnsi="Arial"/>
                <w:sz w:val="11"/>
                <w:szCs w:val="11"/>
                <w:color w:val="auto"/>
              </w:rPr>
              <w:t>182,46</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exercise of warrants</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6,417</w:t>
            </w:r>
          </w:p>
        </w:tc>
        <w:tc>
          <w:tcPr>
            <w:tcW w:w="24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tcBorders>
              <w:left w:val="single" w:sz="8" w:color="CFF0FC"/>
            </w:tcBorders>
            <w:shd w:val="clear" w:color="auto" w:fill="CFF0FC"/>
          </w:tcPr>
          <w:p>
            <w:pPr>
              <w:spacing w:after="0"/>
              <w:rPr>
                <w:sz w:val="13"/>
                <w:szCs w:val="13"/>
                <w:color w:val="auto"/>
              </w:rPr>
            </w:pPr>
          </w:p>
        </w:tc>
        <w:tc>
          <w:tcPr>
            <w:tcW w:w="4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320" w:type="dxa"/>
            <w:vAlign w:val="bottom"/>
            <w:tcBorders>
              <w:left w:val="single" w:sz="8" w:color="CFF0FC"/>
            </w:tcBorders>
            <w:shd w:val="clear" w:color="auto" w:fill="CFF0FC"/>
          </w:tcPr>
          <w:p>
            <w:pPr>
              <w:spacing w:after="0"/>
              <w:rPr>
                <w:sz w:val="13"/>
                <w:szCs w:val="13"/>
                <w:color w:val="auto"/>
              </w:rPr>
            </w:pP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240" w:type="dxa"/>
            <w:vAlign w:val="bottom"/>
          </w:tcPr>
          <w:p>
            <w:pPr>
              <w:ind w:left="20"/>
              <w:spacing w:after="0" w:line="105" w:lineRule="exact"/>
              <w:rPr>
                <w:sz w:val="20"/>
                <w:szCs w:val="20"/>
                <w:color w:val="auto"/>
              </w:rPr>
            </w:pPr>
            <w:r>
              <w:rPr>
                <w:rFonts w:ascii="Arial" w:cs="Arial" w:eastAsia="Arial" w:hAnsi="Arial"/>
                <w:sz w:val="11"/>
                <w:szCs w:val="11"/>
                <w:color w:val="auto"/>
              </w:rPr>
              <w:t>Conversion of</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convertible</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preferred stock upon</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(54,39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(116,81</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54,390</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116,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120"/>
              <w:spacing w:after="0"/>
              <w:rPr>
                <w:sz w:val="20"/>
                <w:szCs w:val="20"/>
                <w:color w:val="auto"/>
              </w:rPr>
            </w:pPr>
            <w:r>
              <w:rPr>
                <w:rFonts w:ascii="Arial" w:cs="Arial" w:eastAsia="Arial" w:hAnsi="Arial"/>
                <w:sz w:val="11"/>
                <w:szCs w:val="11"/>
                <w:color w:val="auto"/>
              </w:rPr>
              <w:t>initial public offering</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0,928 )</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8 )</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,928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813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116,818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2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Conversion of</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redeemable</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convertible preferred</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80" w:type="dxa"/>
            <w:vAlign w:val="bottom"/>
            <w:tcBorders>
              <w:lef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5,98</w:t>
            </w: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stock upon initial</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(13,81</w:t>
            </w: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(179,51</w:t>
            </w: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7,823,</w:t>
            </w:r>
          </w:p>
        </w:tc>
        <w:tc>
          <w:tcPr>
            <w:tcW w:w="180" w:type="dxa"/>
            <w:vAlign w:val="bottom"/>
            <w:shd w:val="clear" w:color="auto" w:fill="CFF0FC"/>
          </w:tcPr>
          <w:p>
            <w:pPr>
              <w:spacing w:after="0"/>
              <w:rPr>
                <w:sz w:val="9"/>
                <w:szCs w:val="9"/>
                <w:color w:val="auto"/>
              </w:rPr>
            </w:pPr>
          </w:p>
        </w:tc>
        <w:tc>
          <w:tcPr>
            <w:tcW w:w="28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8,37</w:t>
            </w: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179,</w:t>
            </w:r>
          </w:p>
        </w:tc>
        <w:tc>
          <w:tcPr>
            <w:tcW w:w="2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1,856 )</w:t>
            </w:r>
          </w:p>
        </w:tc>
        <w:tc>
          <w:tcPr>
            <w:tcW w:w="12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7 )</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478</w:t>
            </w:r>
          </w:p>
        </w:tc>
        <w:tc>
          <w:tcPr>
            <w:tcW w:w="180" w:type="dxa"/>
            <w:vAlign w:val="bottom"/>
            <w:shd w:val="clear" w:color="auto" w:fill="CFF0FC"/>
          </w:tcPr>
          <w:p>
            <w:pPr>
              <w:spacing w:after="0"/>
              <w:rPr>
                <w:sz w:val="13"/>
                <w:szCs w:val="13"/>
                <w:color w:val="auto"/>
              </w:rPr>
            </w:pPr>
          </w:p>
        </w:tc>
        <w:tc>
          <w:tcPr>
            <w:tcW w:w="280" w:type="dxa"/>
            <w:vAlign w:val="bottom"/>
            <w:tcBorders>
              <w:left w:val="single" w:sz="8" w:color="CFF0FC"/>
            </w:tcBorders>
            <w:shd w:val="clear" w:color="auto" w:fill="CFF0FC"/>
          </w:tcPr>
          <w:p>
            <w:pPr>
              <w:spacing w:after="0"/>
              <w:rPr>
                <w:sz w:val="13"/>
                <w:szCs w:val="13"/>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w:t>
            </w:r>
          </w:p>
        </w:tc>
        <w:tc>
          <w:tcPr>
            <w:tcW w:w="200" w:type="dxa"/>
            <w:vAlign w:val="bottom"/>
            <w:tcBorders>
              <w:right w:val="single" w:sz="8" w:color="CFF0FC"/>
            </w:tcBorders>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160" w:type="dxa"/>
            <w:vAlign w:val="bottom"/>
            <w:shd w:val="clear" w:color="auto" w:fill="CFF0FC"/>
          </w:tcPr>
          <w:p>
            <w:pPr>
              <w:spacing w:after="0"/>
              <w:rPr>
                <w:sz w:val="13"/>
                <w:szCs w:val="13"/>
                <w:color w:val="auto"/>
              </w:rPr>
            </w:pPr>
          </w:p>
        </w:tc>
        <w:tc>
          <w:tcPr>
            <w:tcW w:w="320" w:type="dxa"/>
            <w:vAlign w:val="bottom"/>
            <w:tcBorders>
              <w:left w:val="single" w:sz="8" w:color="CFF0FC"/>
            </w:tcBorders>
            <w:shd w:val="clear" w:color="auto" w:fill="CFF0FC"/>
          </w:tcPr>
          <w:p>
            <w:pPr>
              <w:spacing w:after="0"/>
              <w:rPr>
                <w:sz w:val="13"/>
                <w:szCs w:val="13"/>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515</w:t>
            </w:r>
          </w:p>
        </w:tc>
        <w:tc>
          <w:tcPr>
            <w:tcW w:w="2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179,517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240" w:type="dxa"/>
            <w:vAlign w:val="bottom"/>
          </w:tcPr>
          <w:p>
            <w:pPr>
              <w:ind w:left="20"/>
              <w:spacing w:after="0" w:line="105" w:lineRule="exact"/>
              <w:rPr>
                <w:sz w:val="20"/>
                <w:szCs w:val="20"/>
                <w:color w:val="auto"/>
              </w:rPr>
            </w:pPr>
            <w:r>
              <w:rPr>
                <w:rFonts w:ascii="Arial" w:cs="Arial" w:eastAsia="Arial" w:hAnsi="Arial"/>
                <w:sz w:val="11"/>
                <w:szCs w:val="11"/>
                <w:color w:val="auto"/>
              </w:rPr>
              <w:t>Issuance of common</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stock upon exercise</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1"/>
                <w:szCs w:val="11"/>
                <w:color w:val="auto"/>
              </w:rPr>
              <w:t>1,112,</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1"/>
                <w:szCs w:val="11"/>
                <w:color w:val="auto"/>
              </w:rPr>
              <w:t>1,38</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240" w:type="dxa"/>
            <w:vAlign w:val="bottom"/>
          </w:tcPr>
          <w:p>
            <w:pPr>
              <w:ind w:left="120"/>
              <w:spacing w:after="0"/>
              <w:rPr>
                <w:sz w:val="20"/>
                <w:szCs w:val="20"/>
                <w:color w:val="auto"/>
              </w:rPr>
            </w:pPr>
            <w:r>
              <w:rPr>
                <w:rFonts w:ascii="Arial" w:cs="Arial" w:eastAsia="Arial" w:hAnsi="Arial"/>
                <w:sz w:val="11"/>
                <w:szCs w:val="11"/>
                <w:color w:val="auto"/>
              </w:rPr>
              <w:t>of stock options</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030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-3304540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-3304540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-3304540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-3304540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-3304540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-3304540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-3304540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-3304540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-3304540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-3304540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-3304540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-3304540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-3304540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2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5"/>
        </w:trPr>
        <w:tc>
          <w:tcPr>
            <w:tcW w:w="1500" w:type="dxa"/>
            <w:vAlign w:val="bottom"/>
            <w:gridSpan w:val="3"/>
            <w:shd w:val="clear" w:color="auto" w:fill="CFF0FC"/>
          </w:tcPr>
          <w:p>
            <w:pPr>
              <w:ind w:left="20"/>
              <w:spacing w:after="0" w:line="105" w:lineRule="exact"/>
              <w:rPr>
                <w:sz w:val="20"/>
                <w:szCs w:val="20"/>
                <w:color w:val="auto"/>
              </w:rPr>
            </w:pPr>
            <w:r>
              <w:rPr>
                <w:rFonts w:ascii="Arial" w:cs="Arial" w:eastAsia="Arial" w:hAnsi="Arial"/>
                <w:sz w:val="11"/>
                <w:szCs w:val="11"/>
                <w:color w:val="auto"/>
              </w:rPr>
              <w:t>Reclassification of</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1500" w:type="dxa"/>
            <w:vAlign w:val="bottom"/>
            <w:gridSpan w:val="3"/>
            <w:shd w:val="clear" w:color="auto" w:fill="CFF0FC"/>
          </w:tcPr>
          <w:p>
            <w:pPr>
              <w:ind w:left="120"/>
              <w:spacing w:after="0" w:line="108" w:lineRule="exact"/>
              <w:rPr>
                <w:sz w:val="20"/>
                <w:szCs w:val="20"/>
                <w:color w:val="auto"/>
              </w:rPr>
            </w:pPr>
            <w:r>
              <w:rPr>
                <w:rFonts w:ascii="Arial" w:cs="Arial" w:eastAsia="Arial" w:hAnsi="Arial"/>
                <w:sz w:val="11"/>
                <w:szCs w:val="11"/>
                <w:color w:val="auto"/>
              </w:rPr>
              <w:t>warrant liability</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1"/>
        </w:trPr>
        <w:tc>
          <w:tcPr>
            <w:tcW w:w="1500" w:type="dxa"/>
            <w:vAlign w:val="bottom"/>
            <w:gridSpan w:val="3"/>
            <w:shd w:val="clear" w:color="auto" w:fill="CFF0FC"/>
          </w:tcPr>
          <w:p>
            <w:pPr>
              <w:ind w:left="120"/>
              <w:spacing w:after="0" w:line="122" w:lineRule="exact"/>
              <w:rPr>
                <w:sz w:val="20"/>
                <w:szCs w:val="20"/>
                <w:color w:val="auto"/>
              </w:rPr>
            </w:pPr>
            <w:r>
              <w:rPr>
                <w:rFonts w:ascii="Arial" w:cs="Arial" w:eastAsia="Arial" w:hAnsi="Arial"/>
                <w:sz w:val="11"/>
                <w:szCs w:val="11"/>
                <w:color w:val="auto"/>
              </w:rPr>
              <w:t>to additional</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08"/>
        </w:trPr>
        <w:tc>
          <w:tcPr>
            <w:tcW w:w="1500" w:type="dxa"/>
            <w:vAlign w:val="bottom"/>
            <w:gridSpan w:val="3"/>
            <w:shd w:val="clear" w:color="auto" w:fill="CFF0FC"/>
          </w:tcPr>
          <w:p>
            <w:pPr>
              <w:ind w:left="120"/>
              <w:spacing w:after="0" w:line="108" w:lineRule="exact"/>
              <w:rPr>
                <w:sz w:val="20"/>
                <w:szCs w:val="20"/>
                <w:color w:val="auto"/>
              </w:rPr>
            </w:pPr>
            <w:r>
              <w:rPr>
                <w:rFonts w:ascii="Arial" w:cs="Arial" w:eastAsia="Arial" w:hAnsi="Arial"/>
                <w:sz w:val="11"/>
                <w:szCs w:val="11"/>
                <w:color w:val="auto"/>
              </w:rPr>
              <w:t>paid-in capital</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1500" w:type="dxa"/>
            <w:vAlign w:val="bottom"/>
            <w:gridSpan w:val="3"/>
            <w:shd w:val="clear" w:color="auto" w:fill="CFF0FC"/>
          </w:tcPr>
          <w:p>
            <w:pPr>
              <w:ind w:left="120"/>
              <w:spacing w:after="0" w:line="108" w:lineRule="exact"/>
              <w:rPr>
                <w:sz w:val="20"/>
                <w:szCs w:val="20"/>
                <w:color w:val="auto"/>
              </w:rPr>
            </w:pPr>
            <w:r>
              <w:rPr>
                <w:rFonts w:ascii="Arial" w:cs="Arial" w:eastAsia="Arial" w:hAnsi="Arial"/>
                <w:sz w:val="11"/>
                <w:szCs w:val="11"/>
                <w:color w:val="auto"/>
              </w:rPr>
              <w:t>upon initial</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8" w:lineRule="exact"/>
              <w:rPr>
                <w:sz w:val="20"/>
                <w:szCs w:val="20"/>
                <w:color w:val="auto"/>
              </w:rPr>
            </w:pPr>
            <w:r>
              <w:rPr>
                <w:rFonts w:ascii="Arial" w:cs="Arial" w:eastAsia="Arial" w:hAnsi="Arial"/>
                <w:sz w:val="11"/>
                <w:szCs w:val="11"/>
                <w:color w:val="auto"/>
              </w:rPr>
              <w:t>6,27</w:t>
            </w: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52"/>
        </w:trPr>
        <w:tc>
          <w:tcPr>
            <w:tcW w:w="15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7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960" w:type="dxa"/>
            <w:vAlign w:val="bottom"/>
            <w:gridSpan w:val="3"/>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76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6,272</w:t>
            </w:r>
          </w:p>
        </w:tc>
        <w:tc>
          <w:tcPr>
            <w:tcW w:w="100" w:type="dxa"/>
            <w:vAlign w:val="bottom"/>
            <w:shd w:val="clear" w:color="auto" w:fill="CFF0FC"/>
          </w:tcPr>
          <w:p>
            <w:pPr>
              <w:spacing w:after="0"/>
              <w:rPr>
                <w:sz w:val="13"/>
                <w:szCs w:val="13"/>
                <w:color w:val="auto"/>
              </w:rPr>
            </w:pPr>
          </w:p>
        </w:tc>
      </w:tr>
      <w:tr>
        <w:trPr>
          <w:trHeight w:val="105"/>
        </w:trPr>
        <w:tc>
          <w:tcPr>
            <w:tcW w:w="1500" w:type="dxa"/>
            <w:vAlign w:val="bottom"/>
            <w:gridSpan w:val="3"/>
          </w:tcPr>
          <w:p>
            <w:pPr>
              <w:ind w:left="20"/>
              <w:spacing w:after="0" w:line="105" w:lineRule="exact"/>
              <w:rPr>
                <w:sz w:val="20"/>
                <w:szCs w:val="20"/>
                <w:color w:val="auto"/>
              </w:rPr>
            </w:pPr>
            <w:r>
              <w:rPr>
                <w:rFonts w:ascii="Arial" w:cs="Arial" w:eastAsia="Arial" w:hAnsi="Arial"/>
                <w:sz w:val="11"/>
                <w:szCs w:val="11"/>
                <w:color w:val="auto"/>
              </w:rPr>
              <w:t>Exercise of common</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6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265,50</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7"/>
        </w:trPr>
        <w:tc>
          <w:tcPr>
            <w:tcW w:w="1500" w:type="dxa"/>
            <w:vAlign w:val="bottom"/>
            <w:gridSpan w:val="3"/>
          </w:tcPr>
          <w:p>
            <w:pPr>
              <w:ind w:left="120"/>
              <w:spacing w:after="0"/>
              <w:rPr>
                <w:sz w:val="20"/>
                <w:szCs w:val="20"/>
                <w:color w:val="auto"/>
              </w:rPr>
            </w:pPr>
            <w:r>
              <w:rPr>
                <w:rFonts w:ascii="Arial" w:cs="Arial" w:eastAsia="Arial" w:hAnsi="Arial"/>
                <w:sz w:val="11"/>
                <w:szCs w:val="11"/>
                <w:color w:val="auto"/>
              </w:rPr>
              <w:t>stock warrants</w:t>
            </w:r>
          </w:p>
        </w:tc>
        <w:tc>
          <w:tcPr>
            <w:tcW w:w="70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960" w:type="dxa"/>
            <w:vAlign w:val="bottom"/>
            <w:gridSpan w:val="3"/>
          </w:tcPr>
          <w:p>
            <w:pPr>
              <w:ind w:left="360"/>
              <w:spacing w:after="0"/>
              <w:rPr>
                <w:sz w:val="20"/>
                <w:szCs w:val="20"/>
                <w:color w:val="auto"/>
              </w:rPr>
            </w:pPr>
            <w:r>
              <w:rPr>
                <w:rFonts w:ascii="Arial" w:cs="Arial" w:eastAsia="Arial" w:hAnsi="Arial"/>
                <w:sz w:val="11"/>
                <w:szCs w:val="11"/>
                <w:color w:val="auto"/>
              </w:rPr>
              <w: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294</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2"/>
                <w:szCs w:val="12"/>
                <w:color w:val="auto"/>
              </w:rPr>
            </w:pPr>
          </w:p>
        </w:tc>
      </w:tr>
      <w:tr>
        <w:trPr>
          <w:trHeight w:val="109"/>
        </w:trPr>
        <w:tc>
          <w:tcPr>
            <w:tcW w:w="1500" w:type="dxa"/>
            <w:vAlign w:val="bottom"/>
            <w:gridSpan w:val="3"/>
            <w:shd w:val="clear" w:color="auto" w:fill="CFF0FC"/>
          </w:tcPr>
          <w:p>
            <w:pPr>
              <w:ind w:left="20"/>
              <w:spacing w:after="0" w:line="109" w:lineRule="exact"/>
              <w:rPr>
                <w:sz w:val="20"/>
                <w:szCs w:val="20"/>
                <w:color w:val="auto"/>
              </w:rPr>
            </w:pPr>
            <w:r>
              <w:rPr>
                <w:rFonts w:ascii="Arial" w:cs="Arial" w:eastAsia="Arial" w:hAnsi="Arial"/>
                <w:sz w:val="11"/>
                <w:szCs w:val="11"/>
                <w:color w:val="auto"/>
              </w:rPr>
              <w:t>Foreign currency</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8"/>
        </w:trPr>
        <w:tc>
          <w:tcPr>
            <w:tcW w:w="1500" w:type="dxa"/>
            <w:vAlign w:val="bottom"/>
            <w:gridSpan w:val="3"/>
            <w:shd w:val="clear" w:color="auto" w:fill="CFF0FC"/>
          </w:tcPr>
          <w:p>
            <w:pPr>
              <w:ind w:left="120"/>
              <w:spacing w:after="0" w:line="108" w:lineRule="exact"/>
              <w:rPr>
                <w:sz w:val="20"/>
                <w:szCs w:val="20"/>
                <w:color w:val="auto"/>
              </w:rPr>
            </w:pPr>
            <w:r>
              <w:rPr>
                <w:rFonts w:ascii="Arial" w:cs="Arial" w:eastAsia="Arial" w:hAnsi="Arial"/>
                <w:sz w:val="11"/>
                <w:szCs w:val="11"/>
                <w:color w:val="auto"/>
              </w:rPr>
              <w:t>translation</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52"/>
        </w:trPr>
        <w:tc>
          <w:tcPr>
            <w:tcW w:w="15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adjustment</w:t>
            </w:r>
          </w:p>
        </w:tc>
        <w:tc>
          <w:tcPr>
            <w:tcW w:w="7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960" w:type="dxa"/>
            <w:vAlign w:val="bottom"/>
            <w:gridSpan w:val="3"/>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76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(76 )</w:t>
            </w: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(76 )</w:t>
            </w:r>
          </w:p>
        </w:tc>
      </w:tr>
      <w:tr>
        <w:trPr>
          <w:trHeight w:val="105"/>
        </w:trPr>
        <w:tc>
          <w:tcPr>
            <w:tcW w:w="1500" w:type="dxa"/>
            <w:vAlign w:val="bottom"/>
            <w:gridSpan w:val="3"/>
          </w:tcPr>
          <w:p>
            <w:pPr>
              <w:ind w:left="20"/>
              <w:spacing w:after="0" w:line="105" w:lineRule="exact"/>
              <w:rPr>
                <w:sz w:val="20"/>
                <w:szCs w:val="20"/>
                <w:color w:val="auto"/>
              </w:rPr>
            </w:pPr>
            <w:r>
              <w:rPr>
                <w:rFonts w:ascii="Arial" w:cs="Arial" w:eastAsia="Arial" w:hAnsi="Arial"/>
                <w:sz w:val="11"/>
                <w:szCs w:val="11"/>
                <w:color w:val="auto"/>
              </w:rPr>
              <w:t>Stock-based</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1500" w:type="dxa"/>
            <w:vAlign w:val="bottom"/>
            <w:gridSpan w:val="3"/>
          </w:tcPr>
          <w:p>
            <w:pPr>
              <w:ind w:left="120"/>
              <w:spacing w:after="0" w:line="108" w:lineRule="exact"/>
              <w:rPr>
                <w:sz w:val="20"/>
                <w:szCs w:val="20"/>
                <w:color w:val="auto"/>
              </w:rPr>
            </w:pPr>
            <w:r>
              <w:rPr>
                <w:rFonts w:ascii="Arial" w:cs="Arial" w:eastAsia="Arial" w:hAnsi="Arial"/>
                <w:sz w:val="11"/>
                <w:szCs w:val="11"/>
                <w:color w:val="auto"/>
              </w:rPr>
              <w:t>compensation</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1"/>
                <w:szCs w:val="11"/>
                <w:color w:val="auto"/>
              </w:rPr>
              <w:t>2,39</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7"/>
        </w:trPr>
        <w:tc>
          <w:tcPr>
            <w:tcW w:w="1500" w:type="dxa"/>
            <w:vAlign w:val="bottom"/>
            <w:gridSpan w:val="3"/>
          </w:tcPr>
          <w:p>
            <w:pPr>
              <w:ind w:left="120"/>
              <w:spacing w:after="0"/>
              <w:rPr>
                <w:sz w:val="20"/>
                <w:szCs w:val="20"/>
                <w:color w:val="auto"/>
              </w:rPr>
            </w:pPr>
            <w:r>
              <w:rPr>
                <w:rFonts w:ascii="Arial" w:cs="Arial" w:eastAsia="Arial" w:hAnsi="Arial"/>
                <w:sz w:val="11"/>
                <w:szCs w:val="11"/>
                <w:color w:val="auto"/>
              </w:rPr>
              <w:t>expense</w:t>
            </w:r>
          </w:p>
        </w:tc>
        <w:tc>
          <w:tcPr>
            <w:tcW w:w="70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960" w:type="dxa"/>
            <w:vAlign w:val="bottom"/>
            <w:gridSpan w:val="3"/>
          </w:tcPr>
          <w:p>
            <w:pPr>
              <w:ind w:left="360"/>
              <w:spacing w:after="0"/>
              <w:rPr>
                <w:sz w:val="20"/>
                <w:szCs w:val="20"/>
                <w:color w:val="auto"/>
              </w:rPr>
            </w:pPr>
            <w:r>
              <w:rPr>
                <w:rFonts w:ascii="Arial" w:cs="Arial" w:eastAsia="Arial" w:hAnsi="Arial"/>
                <w:sz w:val="11"/>
                <w:szCs w:val="11"/>
                <w:color w:val="auto"/>
              </w:rPr>
              <w: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2,396</w:t>
            </w:r>
          </w:p>
        </w:tc>
        <w:tc>
          <w:tcPr>
            <w:tcW w:w="100" w:type="dxa"/>
            <w:vAlign w:val="bottom"/>
          </w:tcPr>
          <w:p>
            <w:pPr>
              <w:spacing w:after="0"/>
              <w:rPr>
                <w:sz w:val="12"/>
                <w:szCs w:val="12"/>
                <w:color w:val="auto"/>
              </w:rPr>
            </w:pPr>
          </w:p>
        </w:tc>
      </w:tr>
      <w:tr>
        <w:trPr>
          <w:trHeight w:val="136"/>
        </w:trPr>
        <w:tc>
          <w:tcPr>
            <w:tcW w:w="124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260" w:type="dxa"/>
            <w:vAlign w:val="bottom"/>
            <w:gridSpan w:val="2"/>
            <w:shd w:val="clear" w:color="auto" w:fill="CFF0FC"/>
          </w:tcPr>
          <w:p>
            <w:pPr>
              <w:spacing w:after="0"/>
              <w:rPr>
                <w:sz w:val="11"/>
                <w:szCs w:val="11"/>
                <w:color w:val="auto"/>
              </w:rPr>
            </w:pPr>
          </w:p>
        </w:tc>
        <w:tc>
          <w:tcPr>
            <w:tcW w:w="240" w:type="dxa"/>
            <w:vAlign w:val="bottom"/>
            <w:shd w:val="clear" w:color="auto" w:fill="CFF0FC"/>
          </w:tcPr>
          <w:p>
            <w:pPr>
              <w:ind w:left="12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48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9"/>
              </w:rPr>
              <w:t>(18,146 )</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(18,146 )</w:t>
            </w:r>
          </w:p>
        </w:tc>
      </w:tr>
      <w:tr>
        <w:trPr>
          <w:trHeight w:val="90"/>
        </w:trPr>
        <w:tc>
          <w:tcPr>
            <w:tcW w:w="1240" w:type="dxa"/>
            <w:vAlign w:val="bottom"/>
            <w:tcBorders>
              <w:top w:val="single" w:sz="8" w:color="CFF0FC"/>
            </w:tcBorders>
          </w:tcPr>
          <w:p>
            <w:pPr>
              <w:ind w:left="20"/>
              <w:spacing w:after="0" w:line="91" w:lineRule="exact"/>
              <w:rPr>
                <w:sz w:val="20"/>
                <w:szCs w:val="20"/>
                <w:color w:val="auto"/>
              </w:rPr>
            </w:pPr>
            <w:r>
              <w:rPr>
                <w:rFonts w:ascii="Arial" w:cs="Arial" w:eastAsia="Arial" w:hAnsi="Arial"/>
                <w:sz w:val="10"/>
                <w:szCs w:val="10"/>
                <w:b w:val="1"/>
                <w:bCs w:val="1"/>
                <w:color w:val="auto"/>
              </w:rPr>
              <w:t>Balances at June 30,</w:t>
            </w:r>
          </w:p>
        </w:tc>
        <w:tc>
          <w:tcPr>
            <w:tcW w:w="260" w:type="dxa"/>
            <w:vAlign w:val="bottom"/>
            <w:tcBorders>
              <w:top w:val="single" w:sz="8" w:color="auto"/>
            </w:tcBorders>
            <w:gridSpan w:val="2"/>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40" w:type="dxa"/>
            <w:vAlign w:val="bottom"/>
            <w:tcBorders>
              <w:top w:val="single" w:sz="8" w:color="CFF0FC"/>
              <w:right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360" w:type="dxa"/>
            <w:vAlign w:val="bottom"/>
            <w:tcBorders>
              <w:top w:val="single" w:sz="8" w:color="auto"/>
            </w:tcBorders>
          </w:tcPr>
          <w:p>
            <w:pPr>
              <w:jc w:val="right"/>
              <w:spacing w:after="0" w:line="91" w:lineRule="exact"/>
              <w:rPr>
                <w:sz w:val="20"/>
                <w:szCs w:val="20"/>
                <w:color w:val="auto"/>
              </w:rPr>
            </w:pPr>
            <w:r>
              <w:rPr>
                <w:rFonts w:ascii="Arial" w:cs="Arial" w:eastAsia="Arial" w:hAnsi="Arial"/>
                <w:sz w:val="10"/>
                <w:szCs w:val="10"/>
                <w:color w:val="auto"/>
              </w:rPr>
              <w:t>5,98</w:t>
            </w:r>
          </w:p>
        </w:tc>
        <w:tc>
          <w:tcPr>
            <w:tcW w:w="200" w:type="dxa"/>
            <w:vAlign w:val="bottom"/>
            <w:tcBorders>
              <w:top w:val="single" w:sz="8" w:color="CFF0FC"/>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r>
      <w:tr>
        <w:trPr>
          <w:trHeight w:val="118"/>
        </w:trPr>
        <w:tc>
          <w:tcPr>
            <w:tcW w:w="12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100,99</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8,37</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(2,31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600,</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(124,57</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7"/>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120"/>
              <w:spacing w:after="0"/>
              <w:rPr>
                <w:sz w:val="20"/>
                <w:szCs w:val="20"/>
                <w:color w:val="auto"/>
              </w:rPr>
            </w:pPr>
            <w:r>
              <w:rPr>
                <w:rFonts w:ascii="Arial" w:cs="Arial" w:eastAsia="Arial" w:hAnsi="Arial"/>
                <w:sz w:val="11"/>
                <w:szCs w:val="11"/>
                <w:color w:val="auto"/>
                <w:w w:val="97"/>
              </w:rPr>
              <w:t>—$</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960" w:type="dxa"/>
            <w:vAlign w:val="bottom"/>
            <w:gridSpan w:val="3"/>
          </w:tcPr>
          <w:p>
            <w:pPr>
              <w:ind w:left="360"/>
              <w:spacing w:after="0"/>
              <w:rPr>
                <w:sz w:val="20"/>
                <w:szCs w:val="20"/>
                <w:color w:val="auto"/>
              </w:rPr>
            </w:pPr>
            <w:r>
              <w:rPr>
                <w:rFonts w:ascii="Arial" w:cs="Arial" w:eastAsia="Arial" w:hAnsi="Arial"/>
                <w:sz w:val="11"/>
                <w:szCs w:val="11"/>
                <w:color w:val="auto"/>
                <w:w w:val="97"/>
              </w:rPr>
              <w: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5,903</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10</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80"/>
              <w:spacing w:after="0"/>
              <w:rPr>
                <w:sz w:val="20"/>
                <w:szCs w:val="20"/>
                <w:color w:val="auto"/>
              </w:rPr>
            </w:pPr>
            <w:r>
              <w:rPr>
                <w:rFonts w:ascii="Arial" w:cs="Arial" w:eastAsia="Arial" w:hAnsi="Arial"/>
                <w:sz w:val="11"/>
                <w:szCs w:val="11"/>
                <w:color w:val="auto"/>
              </w:rPr>
              <w:t>7,722 )   $</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(748 )</w:t>
            </w:r>
          </w:p>
        </w:tc>
        <w:tc>
          <w:tcPr>
            <w:tcW w:w="380" w:type="dxa"/>
            <w:vAlign w:val="bottom"/>
          </w:tcPr>
          <w:p>
            <w:pPr>
              <w:jc w:val="right"/>
              <w:spacing w:after="0"/>
              <w:rPr>
                <w:sz w:val="20"/>
                <w:szCs w:val="20"/>
                <w:color w:val="auto"/>
              </w:rPr>
            </w:pPr>
            <w:r>
              <w:rPr>
                <w:rFonts w:ascii="Arial" w:cs="Arial" w:eastAsia="Arial" w:hAnsi="Arial"/>
                <w:sz w:val="11"/>
                <w:szCs w:val="11"/>
                <w:color w:val="auto"/>
              </w:rPr>
              <w:t>$  236</w:t>
            </w:r>
          </w:p>
        </w:tc>
        <w:tc>
          <w:tcPr>
            <w:tcW w:w="5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0 )</w:t>
            </w:r>
          </w:p>
        </w:tc>
        <w:tc>
          <w:tcPr>
            <w:tcW w:w="620" w:type="dxa"/>
            <w:vAlign w:val="bottom"/>
          </w:tcPr>
          <w:p>
            <w:pPr>
              <w:jc w:val="right"/>
              <w:spacing w:after="0"/>
              <w:rPr>
                <w:sz w:val="20"/>
                <w:szCs w:val="20"/>
                <w:color w:val="auto"/>
              </w:rPr>
            </w:pPr>
            <w:r>
              <w:rPr>
                <w:rFonts w:ascii="Arial" w:cs="Arial" w:eastAsia="Arial" w:hAnsi="Arial"/>
                <w:sz w:val="11"/>
                <w:szCs w:val="11"/>
                <w:color w:val="auto"/>
              </w:rPr>
              <w:t>$   474,978</w:t>
            </w:r>
          </w:p>
        </w:tc>
        <w:tc>
          <w:tcPr>
            <w:tcW w:w="10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-247650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-247650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-247650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-247650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-247650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-247650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-247650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-247650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-247650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-247650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12"/>
          </w:tcPr>
          <w:p>
            <w:pPr>
              <w:jc w:val="center"/>
              <w:ind w:right="500"/>
              <w:spacing w:after="0"/>
              <w:rPr>
                <w:sz w:val="20"/>
                <w:szCs w:val="20"/>
                <w:color w:val="auto"/>
              </w:rPr>
            </w:pPr>
            <w:r>
              <w:rPr>
                <w:rFonts w:ascii="Arial" w:cs="Arial" w:eastAsia="Arial" w:hAnsi="Arial"/>
                <w:sz w:val="11"/>
                <w:szCs w:val="11"/>
                <w:b w:val="1"/>
                <w:bCs w:val="1"/>
                <w:color w:val="auto"/>
                <w:w w:val="97"/>
              </w:rPr>
              <w:t>Six Months Ended June 30, 2022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00" w:type="dxa"/>
            <w:vAlign w:val="bottom"/>
            <w:gridSpan w:val="5"/>
            <w:vMerge w:val="restart"/>
          </w:tcPr>
          <w:p>
            <w:pPr>
              <w:jc w:val="right"/>
              <w:ind w:right="600"/>
              <w:spacing w:after="0"/>
              <w:rPr>
                <w:sz w:val="20"/>
                <w:szCs w:val="20"/>
                <w:color w:val="auto"/>
              </w:rPr>
            </w:pPr>
            <w:r>
              <w:rPr>
                <w:rFonts w:ascii="Arial" w:cs="Arial" w:eastAsia="Arial" w:hAnsi="Arial"/>
                <w:sz w:val="11"/>
                <w:szCs w:val="11"/>
                <w:b w:val="1"/>
                <w:bCs w:val="1"/>
                <w:color w:val="auto"/>
              </w:rPr>
              <w:t>Convertible</w:t>
            </w:r>
          </w:p>
        </w:tc>
        <w:tc>
          <w:tcPr>
            <w:tcW w:w="1580" w:type="dxa"/>
            <w:vAlign w:val="bottom"/>
            <w:tcBorders>
              <w:right w:val="single" w:sz="8" w:color="auto"/>
            </w:tcBorders>
            <w:gridSpan w:val="5"/>
          </w:tcPr>
          <w:p>
            <w:pPr>
              <w:jc w:val="center"/>
              <w:ind w:right="460"/>
              <w:spacing w:after="0" w:line="122" w:lineRule="exact"/>
              <w:rPr>
                <w:sz w:val="20"/>
                <w:szCs w:val="20"/>
                <w:color w:val="auto"/>
              </w:rPr>
            </w:pPr>
            <w:r>
              <w:rPr>
                <w:rFonts w:ascii="Arial" w:cs="Arial" w:eastAsia="Arial" w:hAnsi="Arial"/>
                <w:sz w:val="11"/>
                <w:szCs w:val="11"/>
                <w:b w:val="1"/>
                <w:bCs w:val="1"/>
                <w:color w:val="auto"/>
                <w:w w:val="98"/>
              </w:rPr>
              <w:t>Redeemable</w:t>
            </w:r>
          </w:p>
        </w:tc>
        <w:tc>
          <w:tcPr>
            <w:tcW w:w="1020" w:type="dxa"/>
            <w:vAlign w:val="bottom"/>
            <w:gridSpan w:val="3"/>
            <w:vMerge w:val="restart"/>
          </w:tcPr>
          <w:p>
            <w:pPr>
              <w:jc w:val="right"/>
              <w:ind w:right="266"/>
              <w:spacing w:after="0"/>
              <w:rPr>
                <w:sz w:val="20"/>
                <w:szCs w:val="20"/>
                <w:color w:val="auto"/>
              </w:rPr>
            </w:pPr>
            <w:r>
              <w:rPr>
                <w:rFonts w:ascii="Arial" w:cs="Arial" w:eastAsia="Arial" w:hAnsi="Arial"/>
                <w:sz w:val="11"/>
                <w:szCs w:val="11"/>
                <w:b w:val="1"/>
                <w:bCs w:val="1"/>
                <w:color w:val="auto"/>
              </w:rPr>
              <w:t>Voting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27"/>
              <w:spacing w:after="0" w:line="122" w:lineRule="exact"/>
              <w:rPr>
                <w:sz w:val="20"/>
                <w:szCs w:val="20"/>
                <w:color w:val="auto"/>
              </w:rPr>
            </w:pPr>
            <w:r>
              <w:rPr>
                <w:rFonts w:ascii="Arial" w:cs="Arial" w:eastAsia="Arial" w:hAnsi="Arial"/>
                <w:sz w:val="11"/>
                <w:szCs w:val="11"/>
                <w:b w:val="1"/>
                <w:bCs w:val="1"/>
                <w:color w:val="auto"/>
                <w:w w:val="94"/>
              </w:rPr>
              <w:t>Non-Voting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vMerge w:val="restart"/>
          </w:tcPr>
          <w:p>
            <w:pPr>
              <w:jc w:val="right"/>
              <w:ind w:right="380"/>
              <w:spacing w:after="0"/>
              <w:rPr>
                <w:sz w:val="20"/>
                <w:szCs w:val="20"/>
                <w:color w:val="auto"/>
              </w:rPr>
            </w:pPr>
            <w:r>
              <w:rPr>
                <w:rFonts w:ascii="Arial" w:cs="Arial" w:eastAsia="Arial" w:hAnsi="Arial"/>
                <w:sz w:val="11"/>
                <w:szCs w:val="11"/>
                <w:b w:val="1"/>
                <w:bCs w:val="1"/>
                <w:color w:val="auto"/>
              </w:rPr>
              <w:t>Treasury Voting</w:t>
            </w:r>
          </w:p>
        </w:tc>
        <w:tc>
          <w:tcPr>
            <w:tcW w:w="5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Additi</w:t>
            </w:r>
          </w:p>
        </w:tc>
        <w:tc>
          <w:tcPr>
            <w:tcW w:w="180" w:type="dxa"/>
            <w:vAlign w:val="bottom"/>
          </w:tcPr>
          <w:p>
            <w:pPr>
              <w:spacing w:after="0"/>
              <w:rPr>
                <w:sz w:val="10"/>
                <w:szCs w:val="10"/>
                <w:color w:val="auto"/>
              </w:rPr>
            </w:pPr>
          </w:p>
        </w:tc>
        <w:tc>
          <w:tcPr>
            <w:tcW w:w="80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95"/>
              </w:rPr>
              <w:t>Other</w:t>
            </w:r>
          </w:p>
        </w:tc>
        <w:tc>
          <w:tcPr>
            <w:tcW w:w="720" w:type="dxa"/>
            <w:vAlign w:val="bottom"/>
            <w:gridSpan w:val="3"/>
            <w:vMerge w:val="restart"/>
          </w:tcPr>
          <w:p>
            <w:pPr>
              <w:jc w:val="center"/>
              <w:ind w:right="260"/>
              <w:spacing w:after="0"/>
              <w:rPr>
                <w:sz w:val="20"/>
                <w:szCs w:val="20"/>
                <w:color w:val="auto"/>
              </w:rPr>
            </w:pPr>
            <w:r>
              <w:rPr>
                <w:rFonts w:ascii="Arial" w:cs="Arial" w:eastAsia="Arial" w:hAnsi="Arial"/>
                <w:sz w:val="11"/>
                <w:szCs w:val="11"/>
                <w:b w:val="1"/>
                <w:bCs w:val="1"/>
                <w:color w:val="auto"/>
                <w:w w:val="98"/>
              </w:rPr>
              <w:t>Accumul</w:t>
            </w: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1580" w:type="dxa"/>
            <w:vAlign w:val="bottom"/>
            <w:tcBorders>
              <w:right w:val="single" w:sz="8" w:color="auto"/>
            </w:tcBorders>
            <w:gridSpan w:val="5"/>
          </w:tcPr>
          <w:p>
            <w:pPr>
              <w:jc w:val="center"/>
              <w:ind w:right="460"/>
              <w:spacing w:after="0" w:line="108" w:lineRule="exact"/>
              <w:rPr>
                <w:sz w:val="20"/>
                <w:szCs w:val="20"/>
                <w:color w:val="auto"/>
              </w:rPr>
            </w:pPr>
            <w:r>
              <w:rPr>
                <w:rFonts w:ascii="Arial" w:cs="Arial" w:eastAsia="Arial" w:hAnsi="Arial"/>
                <w:sz w:val="11"/>
                <w:szCs w:val="11"/>
                <w:b w:val="1"/>
                <w:bCs w:val="1"/>
                <w:color w:val="auto"/>
                <w:w w:val="99"/>
              </w:rPr>
              <w:t>Convertible</w:t>
            </w:r>
          </w:p>
        </w:tc>
        <w:tc>
          <w:tcPr>
            <w:tcW w:w="10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tcPr>
          <w:p>
            <w:pPr>
              <w:jc w:val="center"/>
              <w:ind w:left="27"/>
              <w:spacing w:after="0" w:line="108"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580" w:type="dxa"/>
            <w:vAlign w:val="bottom"/>
            <w:gridSpan w:val="3"/>
          </w:tcPr>
          <w:p>
            <w:pPr>
              <w:ind w:left="80"/>
              <w:spacing w:after="0" w:line="108" w:lineRule="exact"/>
              <w:rPr>
                <w:sz w:val="20"/>
                <w:szCs w:val="20"/>
                <w:color w:val="auto"/>
              </w:rPr>
            </w:pPr>
            <w:r>
              <w:rPr>
                <w:rFonts w:ascii="Arial" w:cs="Arial" w:eastAsia="Arial" w:hAnsi="Arial"/>
                <w:sz w:val="11"/>
                <w:szCs w:val="11"/>
                <w:b w:val="1"/>
                <w:bCs w:val="1"/>
                <w:color w:val="auto"/>
              </w:rPr>
              <w:t>onal</w:t>
            </w:r>
          </w:p>
        </w:tc>
        <w:tc>
          <w:tcPr>
            <w:tcW w:w="98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96"/>
              </w:rPr>
              <w:t>Comprehensi</w:t>
            </w:r>
          </w:p>
        </w:tc>
        <w:tc>
          <w:tcPr>
            <w:tcW w:w="720" w:type="dxa"/>
            <w:vAlign w:val="bottom"/>
            <w:gridSpan w:val="3"/>
            <w:vMerge w:val="continue"/>
          </w:tcPr>
          <w:p>
            <w:pPr>
              <w:spacing w:after="0"/>
              <w:rPr>
                <w:sz w:val="9"/>
                <w:szCs w:val="9"/>
                <w:color w:val="auto"/>
              </w:rPr>
            </w:pPr>
          </w:p>
        </w:tc>
        <w:tc>
          <w:tcPr>
            <w:tcW w:w="72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rPr>
              <w:t>Stockholde</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1"/>
                <w:szCs w:val="11"/>
                <w:b w:val="1"/>
                <w:bCs w:val="1"/>
                <w:color w:val="auto"/>
              </w:rPr>
              <w:t>Preferred Stock</w:t>
            </w:r>
          </w:p>
        </w:tc>
        <w:tc>
          <w:tcPr>
            <w:tcW w:w="1580" w:type="dxa"/>
            <w:vAlign w:val="bottom"/>
            <w:tcBorders>
              <w:right w:val="single" w:sz="8" w:color="auto"/>
            </w:tcBorders>
            <w:gridSpan w:val="5"/>
          </w:tcPr>
          <w:p>
            <w:pPr>
              <w:jc w:val="center"/>
              <w:ind w:right="460"/>
              <w:spacing w:after="0"/>
              <w:rPr>
                <w:sz w:val="20"/>
                <w:szCs w:val="20"/>
                <w:color w:val="auto"/>
              </w:rPr>
            </w:pPr>
            <w:r>
              <w:rPr>
                <w:rFonts w:ascii="Arial" w:cs="Arial" w:eastAsia="Arial" w:hAnsi="Arial"/>
                <w:sz w:val="11"/>
                <w:szCs w:val="11"/>
                <w:b w:val="1"/>
                <w:bCs w:val="1"/>
                <w:color w:val="auto"/>
                <w:w w:val="97"/>
              </w:rPr>
              <w:t>Preferred Stock</w:t>
            </w:r>
          </w:p>
        </w:tc>
        <w:tc>
          <w:tcPr>
            <w:tcW w:w="102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center"/>
              <w:ind w:right="188"/>
              <w:spacing w:after="0"/>
              <w:rPr>
                <w:sz w:val="20"/>
                <w:szCs w:val="20"/>
                <w:color w:val="auto"/>
              </w:rPr>
            </w:pPr>
            <w:r>
              <w:rPr>
                <w:rFonts w:ascii="Arial" w:cs="Arial" w:eastAsia="Arial" w:hAnsi="Arial"/>
                <w:sz w:val="11"/>
                <w:szCs w:val="11"/>
                <w:b w:val="1"/>
                <w:bCs w:val="1"/>
                <w:color w:val="auto"/>
                <w:w w:val="79"/>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rPr>
              <w:t>Common Stock</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12"/>
                <w:szCs w:val="12"/>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7"/>
              </w:rPr>
              <w:t>ve</w:t>
            </w:r>
          </w:p>
        </w:tc>
        <w:tc>
          <w:tcPr>
            <w:tcW w:w="60" w:type="dxa"/>
            <w:vAlign w:val="bottom"/>
          </w:tcPr>
          <w:p>
            <w:pPr>
              <w:spacing w:after="0"/>
              <w:rPr>
                <w:sz w:val="12"/>
                <w:szCs w:val="12"/>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ated</w:t>
            </w:r>
          </w:p>
        </w:tc>
        <w:tc>
          <w:tcPr>
            <w:tcW w:w="8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rs’</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top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w w:val="93"/>
              </w:rPr>
              <w:t>Share</w:t>
            </w: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78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jc w:val="right"/>
              <w:ind w:right="147"/>
              <w:spacing w:after="0"/>
              <w:rPr>
                <w:sz w:val="20"/>
                <w:szCs w:val="20"/>
                <w:color w:val="auto"/>
              </w:rPr>
            </w:pPr>
            <w:r>
              <w:rPr>
                <w:rFonts w:ascii="Arial" w:cs="Arial" w:eastAsia="Arial" w:hAnsi="Arial"/>
                <w:sz w:val="11"/>
                <w:szCs w:val="11"/>
                <w:b w:val="1"/>
                <w:bCs w:val="1"/>
                <w:color w:val="auto"/>
              </w:rPr>
              <w:t>s</w:t>
            </w:r>
          </w:p>
        </w:tc>
        <w:tc>
          <w:tcPr>
            <w:tcW w:w="160" w:type="dxa"/>
            <w:vAlign w:val="bottom"/>
          </w:tcPr>
          <w:p>
            <w:pPr>
              <w:spacing w:after="0"/>
              <w:rPr>
                <w:sz w:val="13"/>
                <w:szCs w:val="13"/>
                <w:color w:val="auto"/>
              </w:rPr>
            </w:pPr>
          </w:p>
        </w:tc>
        <w:tc>
          <w:tcPr>
            <w:tcW w:w="66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Capital</w:t>
            </w:r>
          </w:p>
        </w:tc>
        <w:tc>
          <w:tcPr>
            <w:tcW w:w="180" w:type="dxa"/>
            <w:vAlign w:val="bottom"/>
          </w:tcPr>
          <w:p>
            <w:pPr>
              <w:spacing w:after="0"/>
              <w:rPr>
                <w:sz w:val="13"/>
                <w:szCs w:val="13"/>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(Loss)</w:t>
            </w:r>
          </w:p>
        </w:tc>
        <w:tc>
          <w:tcPr>
            <w:tcW w:w="60" w:type="dxa"/>
            <w:vAlign w:val="bottom"/>
          </w:tcPr>
          <w:p>
            <w:pPr>
              <w:spacing w:after="0"/>
              <w:rPr>
                <w:sz w:val="13"/>
                <w:szCs w:val="13"/>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94"/>
        </w:trPr>
        <w:tc>
          <w:tcPr>
            <w:tcW w:w="1240" w:type="dxa"/>
            <w:vAlign w:val="bottom"/>
            <w:shd w:val="clear" w:color="auto" w:fill="CFF0FC"/>
          </w:tcPr>
          <w:p>
            <w:pPr>
              <w:ind w:left="20"/>
              <w:spacing w:after="0" w:line="94" w:lineRule="exact"/>
              <w:rPr>
                <w:sz w:val="20"/>
                <w:szCs w:val="20"/>
                <w:color w:val="auto"/>
              </w:rPr>
            </w:pPr>
            <w:r>
              <w:rPr>
                <w:rFonts w:ascii="Arial" w:cs="Arial" w:eastAsia="Arial" w:hAnsi="Arial"/>
                <w:sz w:val="10"/>
                <w:szCs w:val="10"/>
                <w:b w:val="1"/>
                <w:bCs w:val="1"/>
                <w:color w:val="auto"/>
              </w:rPr>
              <w:t>Balances at</w:t>
            </w: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right w:val="single" w:sz="8" w:color="CFF0FC"/>
            </w:tcBorders>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480" w:type="dxa"/>
            <w:vAlign w:val="bottom"/>
            <w:tcBorders>
              <w:top w:val="single" w:sz="8" w:color="auto"/>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340" w:type="dxa"/>
            <w:vAlign w:val="bottom"/>
            <w:tcBorders>
              <w:right w:val="single" w:sz="8" w:color="auto"/>
            </w:tcBorders>
            <w:shd w:val="clear" w:color="auto" w:fill="CFF0FC"/>
          </w:tcPr>
          <w:p>
            <w:pPr>
              <w:spacing w:after="0"/>
              <w:rPr>
                <w:sz w:val="8"/>
                <w:szCs w:val="8"/>
                <w:color w:val="auto"/>
              </w:rPr>
            </w:pPr>
          </w:p>
        </w:tc>
        <w:tc>
          <w:tcPr>
            <w:tcW w:w="500" w:type="dxa"/>
            <w:vAlign w:val="bottom"/>
            <w:tcBorders>
              <w:top w:val="single" w:sz="8" w:color="auto"/>
              <w:right w:val="single" w:sz="8" w:color="CFF0FC"/>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40" w:type="dxa"/>
            <w:vAlign w:val="bottom"/>
            <w:tcBorders>
              <w:top w:val="single" w:sz="8" w:color="auto"/>
              <w:left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tcBorders>
              <w:right w:val="single" w:sz="8" w:color="CFF0FC"/>
            </w:tcBorders>
            <w:shd w:val="clear" w:color="auto" w:fill="CFF0FC"/>
          </w:tcPr>
          <w:p>
            <w:pPr>
              <w:spacing w:after="0"/>
              <w:rPr>
                <w:sz w:val="8"/>
                <w:szCs w:val="8"/>
                <w:color w:val="auto"/>
              </w:rPr>
            </w:pPr>
          </w:p>
        </w:tc>
        <w:tc>
          <w:tcPr>
            <w:tcW w:w="360" w:type="dxa"/>
            <w:vAlign w:val="bottom"/>
            <w:tcBorders>
              <w:top w:val="single" w:sz="8" w:color="auto"/>
              <w:right w:val="single" w:sz="8" w:color="CFF0FC"/>
            </w:tcBorders>
            <w:shd w:val="clear" w:color="auto" w:fill="CFF0FC"/>
          </w:tcPr>
          <w:p>
            <w:pPr>
              <w:jc w:val="right"/>
              <w:ind w:right="27"/>
              <w:spacing w:after="0" w:line="94" w:lineRule="exact"/>
              <w:rPr>
                <w:sz w:val="20"/>
                <w:szCs w:val="20"/>
                <w:color w:val="auto"/>
              </w:rPr>
            </w:pPr>
            <w:r>
              <w:rPr>
                <w:rFonts w:ascii="Arial" w:cs="Arial" w:eastAsia="Arial" w:hAnsi="Arial"/>
                <w:sz w:val="10"/>
                <w:szCs w:val="10"/>
                <w:color w:val="auto"/>
              </w:rPr>
              <w:t>5,98</w:t>
            </w:r>
          </w:p>
        </w:tc>
        <w:tc>
          <w:tcPr>
            <w:tcW w:w="160" w:type="dxa"/>
            <w:vAlign w:val="bottom"/>
            <w:shd w:val="clear" w:color="auto" w:fill="CFF0FC"/>
          </w:tcPr>
          <w:p>
            <w:pPr>
              <w:spacing w:after="0"/>
              <w:rPr>
                <w:sz w:val="8"/>
                <w:szCs w:val="8"/>
                <w:color w:val="auto"/>
              </w:rPr>
            </w:pPr>
          </w:p>
        </w:tc>
        <w:tc>
          <w:tcPr>
            <w:tcW w:w="320" w:type="dxa"/>
            <w:vAlign w:val="bottom"/>
            <w:tcBorders>
              <w:top w:val="single" w:sz="8" w:color="auto"/>
              <w:left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tcBorders>
              <w:top w:val="single" w:sz="8" w:color="auto"/>
              <w:left w:val="single" w:sz="8" w:color="CFF0FC"/>
            </w:tcBorders>
            <w:shd w:val="clear" w:color="auto" w:fill="CFF0FC"/>
          </w:tcPr>
          <w:p>
            <w:pPr>
              <w:spacing w:after="0"/>
              <w:rPr>
                <w:sz w:val="8"/>
                <w:szCs w:val="8"/>
                <w:color w:val="auto"/>
              </w:rPr>
            </w:pPr>
          </w:p>
        </w:tc>
        <w:tc>
          <w:tcPr>
            <w:tcW w:w="340" w:type="dxa"/>
            <w:vAlign w:val="bottom"/>
            <w:tcBorders>
              <w:top w:val="single" w:sz="8" w:color="auto"/>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tcBorders>
              <w:top w:val="single" w:sz="8" w:color="auto"/>
              <w:left w:val="single" w:sz="8" w:color="CFF0FC"/>
            </w:tcBorders>
            <w:shd w:val="clear" w:color="auto" w:fill="CFF0FC"/>
          </w:tcPr>
          <w:p>
            <w:pPr>
              <w:spacing w:after="0"/>
              <w:rPr>
                <w:sz w:val="8"/>
                <w:szCs w:val="8"/>
                <w:color w:val="auto"/>
              </w:rPr>
            </w:pPr>
          </w:p>
        </w:tc>
        <w:tc>
          <w:tcPr>
            <w:tcW w:w="32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80" w:type="dxa"/>
            <w:vAlign w:val="bottom"/>
            <w:tcBorders>
              <w:top w:val="single" w:sz="8" w:color="auto"/>
              <w:left w:val="single" w:sz="8" w:color="CFF0FC"/>
            </w:tcBorders>
            <w:shd w:val="clear" w:color="auto" w:fill="CFF0FC"/>
          </w:tcPr>
          <w:p>
            <w:pPr>
              <w:spacing w:after="0"/>
              <w:rPr>
                <w:sz w:val="8"/>
                <w:szCs w:val="8"/>
                <w:color w:val="auto"/>
              </w:rPr>
            </w:pPr>
          </w:p>
        </w:tc>
        <w:tc>
          <w:tcPr>
            <w:tcW w:w="600" w:type="dxa"/>
            <w:vAlign w:val="bottom"/>
            <w:tcBorders>
              <w:top w:val="single" w:sz="8" w:color="auto"/>
              <w:right w:val="single" w:sz="8" w:color="CFF0FC"/>
            </w:tcBorders>
            <w:shd w:val="clear" w:color="auto" w:fill="CFF0FC"/>
          </w:tcPr>
          <w:p>
            <w:pPr>
              <w:spacing w:after="0"/>
              <w:rPr>
                <w:sz w:val="8"/>
                <w:szCs w:val="8"/>
                <w:color w:val="auto"/>
              </w:rPr>
            </w:pPr>
          </w:p>
        </w:tc>
        <w:tc>
          <w:tcPr>
            <w:tcW w:w="200" w:type="dxa"/>
            <w:vAlign w:val="bottom"/>
            <w:tcBorders>
              <w:right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40" w:type="dxa"/>
            <w:vAlign w:val="bottom"/>
            <w:shd w:val="clear" w:color="auto" w:fill="CFF0FC"/>
          </w:tcPr>
          <w:p>
            <w:pPr>
              <w:ind w:left="120"/>
              <w:spacing w:after="0" w:line="119" w:lineRule="exact"/>
              <w:rPr>
                <w:sz w:val="20"/>
                <w:szCs w:val="20"/>
                <w:color w:val="auto"/>
              </w:rPr>
            </w:pPr>
            <w:r>
              <w:rPr>
                <w:rFonts w:ascii="Arial" w:cs="Arial" w:eastAsia="Arial" w:hAnsi="Arial"/>
                <w:sz w:val="11"/>
                <w:szCs w:val="11"/>
                <w:b w:val="1"/>
                <w:bCs w:val="1"/>
                <w:color w:val="auto"/>
              </w:rPr>
              <w:t>December 31, 2021</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jc w:val="right"/>
              <w:ind w:right="6"/>
              <w:spacing w:after="0" w:line="119" w:lineRule="exact"/>
              <w:rPr>
                <w:sz w:val="20"/>
                <w:szCs w:val="20"/>
                <w:color w:val="auto"/>
              </w:rPr>
            </w:pPr>
            <w:r>
              <w:rPr>
                <w:rFonts w:ascii="Arial" w:cs="Arial" w:eastAsia="Arial" w:hAnsi="Arial"/>
                <w:sz w:val="11"/>
                <w:szCs w:val="11"/>
                <w:color w:val="auto"/>
              </w:rPr>
              <w:t>102,77</w:t>
            </w: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jc w:val="right"/>
              <w:ind w:right="27"/>
              <w:spacing w:after="0" w:line="119" w:lineRule="exact"/>
              <w:rPr>
                <w:sz w:val="20"/>
                <w:szCs w:val="20"/>
                <w:color w:val="auto"/>
              </w:rPr>
            </w:pPr>
            <w:r>
              <w:rPr>
                <w:rFonts w:ascii="Arial" w:cs="Arial" w:eastAsia="Arial" w:hAnsi="Arial"/>
                <w:sz w:val="11"/>
                <w:szCs w:val="11"/>
                <w:color w:val="auto"/>
              </w:rPr>
              <w:t>8,37</w:t>
            </w: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tcBorders>
              <w:right w:val="single" w:sz="8" w:color="CFF0FC"/>
            </w:tcBorders>
            <w:gridSpan w:val="2"/>
            <w:shd w:val="clear" w:color="auto" w:fill="CFF0FC"/>
          </w:tcPr>
          <w:p>
            <w:pPr>
              <w:jc w:val="right"/>
              <w:ind w:right="26"/>
              <w:spacing w:after="0" w:line="119" w:lineRule="exact"/>
              <w:rPr>
                <w:sz w:val="20"/>
                <w:szCs w:val="20"/>
                <w:color w:val="auto"/>
              </w:rPr>
            </w:pPr>
            <w:r>
              <w:rPr>
                <w:rFonts w:ascii="Arial" w:cs="Arial" w:eastAsia="Arial" w:hAnsi="Arial"/>
                <w:sz w:val="11"/>
                <w:szCs w:val="11"/>
                <w:color w:val="auto"/>
              </w:rPr>
              <w:t>(2,31</w:t>
            </w: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jc w:val="right"/>
              <w:ind w:right="26"/>
              <w:spacing w:after="0" w:line="119" w:lineRule="exact"/>
              <w:rPr>
                <w:sz w:val="20"/>
                <w:szCs w:val="20"/>
                <w:color w:val="auto"/>
              </w:rPr>
            </w:pPr>
            <w:r>
              <w:rPr>
                <w:rFonts w:ascii="Arial" w:cs="Arial" w:eastAsia="Arial" w:hAnsi="Arial"/>
                <w:sz w:val="11"/>
                <w:szCs w:val="11"/>
                <w:color w:val="auto"/>
              </w:rPr>
              <w:t>609,</w:t>
            </w: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(125,85</w:t>
            </w: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ind w:left="3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1,899</w:t>
            </w:r>
          </w:p>
        </w:tc>
        <w:tc>
          <w:tcPr>
            <w:tcW w:w="180" w:type="dxa"/>
            <w:vAlign w:val="bottom"/>
            <w:shd w:val="clear" w:color="auto" w:fill="CFF0FC"/>
          </w:tcPr>
          <w:p>
            <w:pPr>
              <w:spacing w:after="0"/>
              <w:rPr>
                <w:sz w:val="13"/>
                <w:szCs w:val="13"/>
                <w:color w:val="auto"/>
              </w:rPr>
            </w:pPr>
          </w:p>
        </w:tc>
        <w:tc>
          <w:tcPr>
            <w:tcW w:w="340" w:type="dxa"/>
            <w:vAlign w:val="bottom"/>
            <w:tcBorders>
              <w:left w:val="single" w:sz="8" w:color="CFF0FC"/>
            </w:tcBorders>
            <w:shd w:val="clear" w:color="auto" w:fill="CFF0FC"/>
          </w:tcPr>
          <w:p>
            <w:pPr>
              <w:jc w:val="right"/>
              <w:ind w:right="206"/>
              <w:spacing w:after="0"/>
              <w:rPr>
                <w:sz w:val="20"/>
                <w:szCs w:val="20"/>
                <w:color w:val="auto"/>
              </w:rPr>
            </w:pPr>
            <w:r>
              <w:rPr>
                <w:rFonts w:ascii="Arial" w:cs="Arial" w:eastAsia="Arial" w:hAnsi="Arial"/>
                <w:sz w:val="11"/>
                <w:szCs w:val="11"/>
                <w:color w:val="auto"/>
                <w:w w:val="97"/>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1"/>
              </w:rPr>
              <w:t>10</w:t>
            </w:r>
          </w:p>
        </w:tc>
        <w:tc>
          <w:tcPr>
            <w:tcW w:w="8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1"/>
                <w:szCs w:val="11"/>
                <w:color w:val="auto"/>
              </w:rPr>
              <w:t>8</w:t>
            </w:r>
          </w:p>
        </w:tc>
        <w:tc>
          <w:tcPr>
            <w:tcW w:w="480" w:type="dxa"/>
            <w:vAlign w:val="bottom"/>
            <w:gridSpan w:val="2"/>
            <w:shd w:val="clear" w:color="auto" w:fill="CFF0FC"/>
          </w:tcPr>
          <w:p>
            <w:pPr>
              <w:jc w:val="right"/>
              <w:ind w:right="208"/>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7,722 )</w:t>
            </w:r>
          </w:p>
        </w:tc>
        <w:tc>
          <w:tcPr>
            <w:tcW w:w="140" w:type="dxa"/>
            <w:vAlign w:val="bottom"/>
            <w:shd w:val="clear" w:color="auto" w:fill="CFF0FC"/>
          </w:tcPr>
          <w:p>
            <w:pPr>
              <w:spacing w:after="0"/>
              <w:rPr>
                <w:sz w:val="13"/>
                <w:szCs w:val="13"/>
                <w:color w:val="auto"/>
              </w:rPr>
            </w:pPr>
          </w:p>
        </w:tc>
        <w:tc>
          <w:tcPr>
            <w:tcW w:w="200" w:type="dxa"/>
            <w:vAlign w:val="bottom"/>
            <w:tcBorders>
              <w:left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(748 )</w:t>
            </w:r>
          </w:p>
        </w:tc>
        <w:tc>
          <w:tcPr>
            <w:tcW w:w="16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194</w:t>
            </w:r>
          </w:p>
        </w:tc>
        <w:tc>
          <w:tcPr>
            <w:tcW w:w="140" w:type="dxa"/>
            <w:vAlign w:val="bottom"/>
            <w:shd w:val="clear" w:color="auto" w:fill="CFF0FC"/>
          </w:tcPr>
          <w:p>
            <w:pPr>
              <w:spacing w:after="0"/>
              <w:rPr>
                <w:sz w:val="13"/>
                <w:szCs w:val="13"/>
                <w:color w:val="auto"/>
              </w:rPr>
            </w:pPr>
          </w:p>
        </w:tc>
        <w:tc>
          <w:tcPr>
            <w:tcW w:w="180" w:type="dxa"/>
            <w:vAlign w:val="bottom"/>
            <w:tcBorders>
              <w:left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(399 )</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482,201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240" w:type="dxa"/>
            <w:vAlign w:val="bottom"/>
          </w:tcPr>
          <w:p>
            <w:pPr>
              <w:ind w:left="20"/>
              <w:spacing w:after="0" w:line="105" w:lineRule="exact"/>
              <w:rPr>
                <w:sz w:val="20"/>
                <w:szCs w:val="20"/>
                <w:color w:val="auto"/>
              </w:rPr>
            </w:pPr>
            <w:r>
              <w:rPr>
                <w:rFonts w:ascii="Arial" w:cs="Arial" w:eastAsia="Arial" w:hAnsi="Arial"/>
                <w:sz w:val="11"/>
                <w:szCs w:val="11"/>
                <w:color w:val="auto"/>
              </w:rPr>
              <w:t>Issuance of common</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of stock options,</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net of shares</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jc w:val="right"/>
              <w:ind w:right="6"/>
              <w:spacing w:after="0" w:line="108" w:lineRule="exact"/>
              <w:rPr>
                <w:sz w:val="20"/>
                <w:szCs w:val="20"/>
                <w:color w:val="auto"/>
              </w:rPr>
            </w:pPr>
            <w:r>
              <w:rPr>
                <w:rFonts w:ascii="Arial" w:cs="Arial" w:eastAsia="Arial" w:hAnsi="Arial"/>
                <w:sz w:val="11"/>
                <w:szCs w:val="11"/>
                <w:color w:val="auto"/>
              </w:rPr>
              <w:t>1,405,6</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120"/>
              <w:spacing w:after="0"/>
              <w:rPr>
                <w:sz w:val="20"/>
                <w:szCs w:val="20"/>
                <w:color w:val="auto"/>
              </w:rPr>
            </w:pPr>
            <w:r>
              <w:rPr>
                <w:rFonts w:ascii="Arial" w:cs="Arial" w:eastAsia="Arial" w:hAnsi="Arial"/>
                <w:sz w:val="11"/>
                <w:szCs w:val="11"/>
                <w:color w:val="auto"/>
              </w:rPr>
              <w:t>withheld</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85</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485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2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settlement</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ind w:left="3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53,362</w:t>
            </w:r>
          </w:p>
        </w:tc>
        <w:tc>
          <w:tcPr>
            <w:tcW w:w="180" w:type="dxa"/>
            <w:vAlign w:val="bottom"/>
            <w:shd w:val="clear" w:color="auto" w:fill="CFF0FC"/>
          </w:tcPr>
          <w:p>
            <w:pPr>
              <w:spacing w:after="0"/>
              <w:rPr>
                <w:sz w:val="12"/>
                <w:szCs w:val="12"/>
                <w:color w:val="auto"/>
              </w:rPr>
            </w:pPr>
          </w:p>
        </w:tc>
        <w:tc>
          <w:tcPr>
            <w:tcW w:w="340" w:type="dxa"/>
            <w:vAlign w:val="bottom"/>
            <w:tcBorders>
              <w:left w:val="single" w:sz="8" w:color="CFF0FC"/>
            </w:tcBorders>
            <w:shd w:val="clear" w:color="auto" w:fill="CFF0FC"/>
          </w:tcPr>
          <w:p>
            <w:pPr>
              <w:spacing w:after="0"/>
              <w:rPr>
                <w:sz w:val="12"/>
                <w:szCs w:val="12"/>
                <w:color w:val="auto"/>
              </w:rPr>
            </w:pPr>
          </w:p>
        </w:tc>
        <w:tc>
          <w:tcPr>
            <w:tcW w:w="40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w w:val="90"/>
              </w:rPr>
              <w:t>—</w:t>
            </w:r>
          </w:p>
        </w:tc>
        <w:tc>
          <w:tcPr>
            <w:tcW w:w="36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320" w:type="dxa"/>
            <w:vAlign w:val="bottom"/>
            <w:tcBorders>
              <w:left w:val="single" w:sz="8" w:color="CFF0FC"/>
            </w:tcBorders>
            <w:shd w:val="clear" w:color="auto" w:fill="CFF0FC"/>
          </w:tcPr>
          <w:p>
            <w:pPr>
              <w:spacing w:after="0"/>
              <w:rPr>
                <w:sz w:val="12"/>
                <w:szCs w:val="12"/>
                <w:color w:val="auto"/>
              </w:rPr>
            </w:pPr>
          </w:p>
        </w:tc>
        <w:tc>
          <w:tcPr>
            <w:tcW w:w="3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left w:val="single" w:sz="8" w:color="CFF0FC"/>
            </w:tcBorders>
            <w:shd w:val="clear" w:color="auto" w:fill="CFF0FC"/>
          </w:tcPr>
          <w:p>
            <w:pPr>
              <w:spacing w:after="0"/>
              <w:rPr>
                <w:sz w:val="12"/>
                <w:szCs w:val="12"/>
                <w:color w:val="auto"/>
              </w:rPr>
            </w:pPr>
          </w:p>
        </w:tc>
        <w:tc>
          <w:tcPr>
            <w:tcW w:w="8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240" w:type="dxa"/>
            <w:vAlign w:val="bottom"/>
          </w:tcPr>
          <w:p>
            <w:pPr>
              <w:ind w:left="20"/>
              <w:spacing w:after="0" w:line="105" w:lineRule="exact"/>
              <w:rPr>
                <w:sz w:val="20"/>
                <w:szCs w:val="20"/>
                <w:color w:val="auto"/>
              </w:rPr>
            </w:pPr>
            <w:r>
              <w:rPr>
                <w:rFonts w:ascii="Arial" w:cs="Arial" w:eastAsia="Arial" w:hAnsi="Arial"/>
                <w:sz w:val="11"/>
                <w:szCs w:val="11"/>
                <w:color w:val="auto"/>
              </w:rPr>
              <w:t>Foreign currency</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translation</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40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(135 )</w:t>
            </w:r>
          </w:p>
        </w:tc>
        <w:tc>
          <w:tcPr>
            <w:tcW w:w="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(135 )</w:t>
            </w:r>
          </w:p>
        </w:tc>
        <w:tc>
          <w:tcPr>
            <w:tcW w:w="0" w:type="dxa"/>
            <w:vAlign w:val="bottom"/>
          </w:tcPr>
          <w:p>
            <w:pPr>
              <w:spacing w:after="0"/>
              <w:rPr>
                <w:sz w:val="1"/>
                <w:szCs w:val="1"/>
                <w:color w:val="auto"/>
              </w:rPr>
            </w:pPr>
          </w:p>
        </w:tc>
      </w:tr>
      <w:tr>
        <w:trPr>
          <w:trHeight w:val="109"/>
        </w:trPr>
        <w:tc>
          <w:tcPr>
            <w:tcW w:w="1240" w:type="dxa"/>
            <w:vAlign w:val="bottom"/>
            <w:shd w:val="clear" w:color="auto" w:fill="CFF0FC"/>
          </w:tcPr>
          <w:p>
            <w:pPr>
              <w:ind w:left="20"/>
              <w:spacing w:after="0" w:line="109" w:lineRule="exact"/>
              <w:rPr>
                <w:sz w:val="20"/>
                <w:szCs w:val="20"/>
                <w:color w:val="auto"/>
              </w:rPr>
            </w:pPr>
            <w:r>
              <w:rPr>
                <w:rFonts w:ascii="Arial" w:cs="Arial" w:eastAsia="Arial" w:hAnsi="Arial"/>
                <w:sz w:val="11"/>
                <w:szCs w:val="11"/>
                <w:color w:val="auto"/>
              </w:rPr>
              <w:t>Stock-based</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compensation</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jc w:val="right"/>
              <w:ind w:right="26"/>
              <w:spacing w:after="0" w:line="108" w:lineRule="exact"/>
              <w:rPr>
                <w:sz w:val="20"/>
                <w:szCs w:val="20"/>
                <w:color w:val="auto"/>
              </w:rPr>
            </w:pPr>
            <w:r>
              <w:rPr>
                <w:rFonts w:ascii="Arial" w:cs="Arial" w:eastAsia="Arial" w:hAnsi="Arial"/>
                <w:sz w:val="11"/>
                <w:szCs w:val="11"/>
                <w:color w:val="auto"/>
              </w:rPr>
              <w:t>13,9</w:t>
            </w: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ind w:left="3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Borders>
              <w:left w:val="single" w:sz="8" w:color="CFF0FC"/>
            </w:tcBorders>
            <w:shd w:val="clear" w:color="auto" w:fill="CFF0FC"/>
          </w:tcPr>
          <w:p>
            <w:pPr>
              <w:spacing w:after="0"/>
              <w:rPr>
                <w:sz w:val="13"/>
                <w:szCs w:val="13"/>
                <w:color w:val="auto"/>
              </w:rPr>
            </w:pPr>
          </w:p>
        </w:tc>
        <w:tc>
          <w:tcPr>
            <w:tcW w:w="40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w w:val="90"/>
              </w:rPr>
              <w:t>—</w:t>
            </w:r>
          </w:p>
        </w:tc>
        <w:tc>
          <w:tcPr>
            <w:tcW w:w="36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320" w:type="dxa"/>
            <w:vAlign w:val="bottom"/>
            <w:tcBorders>
              <w:left w:val="single" w:sz="8" w:color="CFF0FC"/>
            </w:tcBorders>
            <w:shd w:val="clear" w:color="auto" w:fill="CFF0FC"/>
          </w:tcPr>
          <w:p>
            <w:pPr>
              <w:spacing w:after="0"/>
              <w:rPr>
                <w:sz w:val="13"/>
                <w:szCs w:val="13"/>
                <w:color w:val="auto"/>
              </w:rPr>
            </w:pPr>
          </w:p>
        </w:tc>
        <w:tc>
          <w:tcPr>
            <w:tcW w:w="3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32</w:t>
            </w:r>
          </w:p>
        </w:tc>
        <w:tc>
          <w:tcPr>
            <w:tcW w:w="140" w:type="dxa"/>
            <w:vAlign w:val="bottom"/>
            <w:shd w:val="clear" w:color="auto" w:fill="CFF0FC"/>
          </w:tcPr>
          <w:p>
            <w:pPr>
              <w:spacing w:after="0"/>
              <w:rPr>
                <w:sz w:val="13"/>
                <w:szCs w:val="13"/>
                <w:color w:val="auto"/>
              </w:rPr>
            </w:pPr>
          </w:p>
        </w:tc>
        <w:tc>
          <w:tcPr>
            <w:tcW w:w="18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240" w:type="dxa"/>
            <w:vAlign w:val="bottom"/>
          </w:tcPr>
          <w:p>
            <w:pPr>
              <w:ind w:left="20"/>
              <w:spacing w:after="0"/>
              <w:rPr>
                <w:sz w:val="20"/>
                <w:szCs w:val="20"/>
                <w:color w:val="auto"/>
              </w:rPr>
            </w:pPr>
            <w:r>
              <w:rPr>
                <w:rFonts w:ascii="Arial" w:cs="Arial" w:eastAsia="Arial" w:hAnsi="Arial"/>
                <w:sz w:val="11"/>
                <w:szCs w:val="11"/>
                <w:color w:val="auto"/>
              </w:rPr>
              <w:t>Net loss</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400" w:type="dxa"/>
            <w:vAlign w:val="bottom"/>
            <w:gridSpan w:val="3"/>
          </w:tcPr>
          <w:p>
            <w:pPr>
              <w:jc w:val="right"/>
              <w:ind w:right="280"/>
              <w:spacing w:after="0"/>
              <w:rPr>
                <w:sz w:val="20"/>
                <w:szCs w:val="20"/>
                <w:color w:val="auto"/>
              </w:rPr>
            </w:pPr>
            <w:r>
              <w:rPr>
                <w:rFonts w:ascii="Arial" w:cs="Arial" w:eastAsia="Arial" w:hAnsi="Arial"/>
                <w:sz w:val="11"/>
                <w:szCs w:val="11"/>
                <w:color w:val="auto"/>
                <w:w w:val="90"/>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(33,946 )</w:t>
            </w:r>
          </w:p>
        </w:tc>
        <w:tc>
          <w:tcPr>
            <w:tcW w:w="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(33,946 )</w:t>
            </w:r>
          </w:p>
        </w:tc>
        <w:tc>
          <w:tcPr>
            <w:tcW w:w="0" w:type="dxa"/>
            <w:vAlign w:val="bottom"/>
          </w:tcPr>
          <w:p>
            <w:pPr>
              <w:spacing w:after="0"/>
              <w:rPr>
                <w:sz w:val="1"/>
                <w:szCs w:val="1"/>
                <w:color w:val="auto"/>
              </w:rPr>
            </w:pPr>
          </w:p>
        </w:tc>
      </w:tr>
      <w:tr>
        <w:trPr>
          <w:trHeight w:val="93"/>
        </w:trPr>
        <w:tc>
          <w:tcPr>
            <w:tcW w:w="1240" w:type="dxa"/>
            <w:vAlign w:val="bottom"/>
            <w:shd w:val="clear" w:color="auto" w:fill="CFF0FC"/>
          </w:tcPr>
          <w:p>
            <w:pPr>
              <w:ind w:left="20"/>
              <w:spacing w:after="0" w:line="93" w:lineRule="exact"/>
              <w:rPr>
                <w:sz w:val="20"/>
                <w:szCs w:val="20"/>
                <w:color w:val="auto"/>
              </w:rPr>
            </w:pPr>
            <w:r>
              <w:rPr>
                <w:rFonts w:ascii="Arial" w:cs="Arial" w:eastAsia="Arial" w:hAnsi="Arial"/>
                <w:sz w:val="10"/>
                <w:szCs w:val="10"/>
                <w:b w:val="1"/>
                <w:bCs w:val="1"/>
                <w:color w:val="auto"/>
              </w:rPr>
              <w:t>Balances at June 30,</w:t>
            </w: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right w:val="single" w:sz="8" w:color="CFF0FC"/>
            </w:tcBorders>
            <w:shd w:val="clear" w:color="auto" w:fill="CFF0FC"/>
          </w:tcPr>
          <w:p>
            <w:pPr>
              <w:spacing w:after="0"/>
              <w:rPr>
                <w:sz w:val="8"/>
                <w:szCs w:val="8"/>
                <w:color w:val="auto"/>
              </w:rPr>
            </w:pPr>
          </w:p>
        </w:tc>
        <w:tc>
          <w:tcPr>
            <w:tcW w:w="240" w:type="dxa"/>
            <w:vAlign w:val="bottom"/>
            <w:tcBorders>
              <w:right w:val="single" w:sz="8" w:color="CFF0FC"/>
            </w:tcBorders>
            <w:shd w:val="clear" w:color="auto" w:fill="CFF0FC"/>
          </w:tcPr>
          <w:p>
            <w:pPr>
              <w:spacing w:after="0"/>
              <w:rPr>
                <w:sz w:val="8"/>
                <w:szCs w:val="8"/>
                <w:color w:val="auto"/>
              </w:rPr>
            </w:pPr>
          </w:p>
        </w:tc>
        <w:tc>
          <w:tcPr>
            <w:tcW w:w="480" w:type="dxa"/>
            <w:vAlign w:val="bottom"/>
            <w:tcBorders>
              <w:top w:val="single" w:sz="8" w:color="auto"/>
              <w:right w:val="single" w:sz="8" w:color="CFF0FC"/>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340" w:type="dxa"/>
            <w:vAlign w:val="bottom"/>
            <w:tcBorders>
              <w:right w:val="single" w:sz="8" w:color="auto"/>
            </w:tcBorders>
            <w:shd w:val="clear" w:color="auto" w:fill="CFF0FC"/>
          </w:tcPr>
          <w:p>
            <w:pPr>
              <w:spacing w:after="0"/>
              <w:rPr>
                <w:sz w:val="8"/>
                <w:szCs w:val="8"/>
                <w:color w:val="auto"/>
              </w:rPr>
            </w:pPr>
          </w:p>
        </w:tc>
        <w:tc>
          <w:tcPr>
            <w:tcW w:w="500" w:type="dxa"/>
            <w:vAlign w:val="bottom"/>
            <w:tcBorders>
              <w:top w:val="single" w:sz="8" w:color="auto"/>
              <w:right w:val="single" w:sz="8" w:color="CFF0FC"/>
            </w:tcBorders>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40" w:type="dxa"/>
            <w:vAlign w:val="bottom"/>
            <w:tcBorders>
              <w:top w:val="single" w:sz="8" w:color="auto"/>
              <w:left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0" w:type="dxa"/>
            <w:vAlign w:val="bottom"/>
            <w:tcBorders>
              <w:right w:val="single" w:sz="8" w:color="CFF0FC"/>
            </w:tcBorders>
            <w:shd w:val="clear" w:color="auto" w:fill="CFF0FC"/>
          </w:tcPr>
          <w:p>
            <w:pPr>
              <w:spacing w:after="0"/>
              <w:rPr>
                <w:sz w:val="8"/>
                <w:szCs w:val="8"/>
                <w:color w:val="auto"/>
              </w:rPr>
            </w:pPr>
          </w:p>
        </w:tc>
        <w:tc>
          <w:tcPr>
            <w:tcW w:w="360" w:type="dxa"/>
            <w:vAlign w:val="bottom"/>
            <w:tcBorders>
              <w:top w:val="single" w:sz="8" w:color="auto"/>
              <w:right w:val="single" w:sz="8" w:color="CFF0FC"/>
            </w:tcBorders>
            <w:shd w:val="clear" w:color="auto" w:fill="CFF0FC"/>
          </w:tcPr>
          <w:p>
            <w:pPr>
              <w:jc w:val="right"/>
              <w:ind w:right="27"/>
              <w:spacing w:after="0" w:line="93" w:lineRule="exact"/>
              <w:rPr>
                <w:sz w:val="20"/>
                <w:szCs w:val="20"/>
                <w:color w:val="auto"/>
              </w:rPr>
            </w:pPr>
            <w:r>
              <w:rPr>
                <w:rFonts w:ascii="Arial" w:cs="Arial" w:eastAsia="Arial" w:hAnsi="Arial"/>
                <w:sz w:val="10"/>
                <w:szCs w:val="10"/>
                <w:color w:val="auto"/>
              </w:rPr>
              <w:t>5,98</w:t>
            </w:r>
          </w:p>
        </w:tc>
        <w:tc>
          <w:tcPr>
            <w:tcW w:w="160" w:type="dxa"/>
            <w:vAlign w:val="bottom"/>
            <w:shd w:val="clear" w:color="auto" w:fill="CFF0FC"/>
          </w:tcPr>
          <w:p>
            <w:pPr>
              <w:spacing w:after="0"/>
              <w:rPr>
                <w:sz w:val="8"/>
                <w:szCs w:val="8"/>
                <w:color w:val="auto"/>
              </w:rPr>
            </w:pPr>
          </w:p>
        </w:tc>
        <w:tc>
          <w:tcPr>
            <w:tcW w:w="320" w:type="dxa"/>
            <w:vAlign w:val="bottom"/>
            <w:tcBorders>
              <w:top w:val="single" w:sz="8" w:color="auto"/>
              <w:left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00" w:type="dxa"/>
            <w:vAlign w:val="bottom"/>
            <w:tcBorders>
              <w:top w:val="single" w:sz="8" w:color="auto"/>
              <w:left w:val="single" w:sz="8" w:color="CFF0FC"/>
            </w:tcBorders>
            <w:shd w:val="clear" w:color="auto" w:fill="CFF0FC"/>
          </w:tcPr>
          <w:p>
            <w:pPr>
              <w:spacing w:after="0"/>
              <w:rPr>
                <w:sz w:val="8"/>
                <w:szCs w:val="8"/>
                <w:color w:val="auto"/>
              </w:rPr>
            </w:pPr>
          </w:p>
        </w:tc>
        <w:tc>
          <w:tcPr>
            <w:tcW w:w="340" w:type="dxa"/>
            <w:vAlign w:val="bottom"/>
            <w:tcBorders>
              <w:top w:val="single" w:sz="8" w:color="auto"/>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tcBorders>
              <w:top w:val="single" w:sz="8" w:color="auto"/>
              <w:left w:val="single" w:sz="8" w:color="CFF0FC"/>
            </w:tcBorders>
            <w:shd w:val="clear" w:color="auto" w:fill="CFF0FC"/>
          </w:tcPr>
          <w:p>
            <w:pPr>
              <w:spacing w:after="0"/>
              <w:rPr>
                <w:sz w:val="8"/>
                <w:szCs w:val="8"/>
                <w:color w:val="auto"/>
              </w:rPr>
            </w:pPr>
          </w:p>
        </w:tc>
        <w:tc>
          <w:tcPr>
            <w:tcW w:w="320" w:type="dxa"/>
            <w:vAlign w:val="bottom"/>
            <w:tcBorders>
              <w:top w:val="single" w:sz="8" w:color="auto"/>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80" w:type="dxa"/>
            <w:vAlign w:val="bottom"/>
            <w:tcBorders>
              <w:top w:val="single" w:sz="8" w:color="auto"/>
              <w:left w:val="single" w:sz="8" w:color="CFF0FC"/>
            </w:tcBorders>
            <w:shd w:val="clear" w:color="auto" w:fill="CFF0FC"/>
          </w:tcPr>
          <w:p>
            <w:pPr>
              <w:spacing w:after="0"/>
              <w:rPr>
                <w:sz w:val="8"/>
                <w:szCs w:val="8"/>
                <w:color w:val="auto"/>
              </w:rPr>
            </w:pPr>
          </w:p>
        </w:tc>
        <w:tc>
          <w:tcPr>
            <w:tcW w:w="600" w:type="dxa"/>
            <w:vAlign w:val="bottom"/>
            <w:tcBorders>
              <w:top w:val="single" w:sz="8" w:color="auto"/>
              <w:right w:val="single" w:sz="8" w:color="CFF0FC"/>
            </w:tcBorders>
            <w:shd w:val="clear" w:color="auto" w:fill="CFF0FC"/>
          </w:tcPr>
          <w:p>
            <w:pPr>
              <w:spacing w:after="0"/>
              <w:rPr>
                <w:sz w:val="8"/>
                <w:szCs w:val="8"/>
                <w:color w:val="auto"/>
              </w:rPr>
            </w:pPr>
          </w:p>
        </w:tc>
        <w:tc>
          <w:tcPr>
            <w:tcW w:w="200" w:type="dxa"/>
            <w:vAlign w:val="bottom"/>
            <w:tcBorders>
              <w:right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40" w:type="dxa"/>
            <w:vAlign w:val="bottom"/>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2022</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jc w:val="right"/>
              <w:ind w:right="6"/>
              <w:spacing w:after="0" w:line="119" w:lineRule="exact"/>
              <w:rPr>
                <w:sz w:val="20"/>
                <w:szCs w:val="20"/>
                <w:color w:val="auto"/>
              </w:rPr>
            </w:pPr>
            <w:r>
              <w:rPr>
                <w:rFonts w:ascii="Arial" w:cs="Arial" w:eastAsia="Arial" w:hAnsi="Arial"/>
                <w:sz w:val="11"/>
                <w:szCs w:val="11"/>
                <w:color w:val="auto"/>
              </w:rPr>
              <w:t>104,23</w:t>
            </w: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jc w:val="right"/>
              <w:ind w:right="27"/>
              <w:spacing w:after="0" w:line="119" w:lineRule="exact"/>
              <w:rPr>
                <w:sz w:val="20"/>
                <w:szCs w:val="20"/>
                <w:color w:val="auto"/>
              </w:rPr>
            </w:pPr>
            <w:r>
              <w:rPr>
                <w:rFonts w:ascii="Arial" w:cs="Arial" w:eastAsia="Arial" w:hAnsi="Arial"/>
                <w:sz w:val="11"/>
                <w:szCs w:val="11"/>
                <w:color w:val="auto"/>
              </w:rPr>
              <w:t>8,37</w:t>
            </w: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tcBorders>
              <w:right w:val="single" w:sz="8" w:color="CFF0FC"/>
            </w:tcBorders>
            <w:gridSpan w:val="2"/>
            <w:shd w:val="clear" w:color="auto" w:fill="CFF0FC"/>
          </w:tcPr>
          <w:p>
            <w:pPr>
              <w:jc w:val="right"/>
              <w:ind w:right="26"/>
              <w:spacing w:after="0" w:line="119" w:lineRule="exact"/>
              <w:rPr>
                <w:sz w:val="20"/>
                <w:szCs w:val="20"/>
                <w:color w:val="auto"/>
              </w:rPr>
            </w:pPr>
            <w:r>
              <w:rPr>
                <w:rFonts w:ascii="Arial" w:cs="Arial" w:eastAsia="Arial" w:hAnsi="Arial"/>
                <w:sz w:val="11"/>
                <w:szCs w:val="11"/>
                <w:color w:val="auto"/>
              </w:rPr>
              <w:t>(2,31</w:t>
            </w: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jc w:val="right"/>
              <w:ind w:right="26"/>
              <w:spacing w:after="0" w:line="119" w:lineRule="exact"/>
              <w:rPr>
                <w:sz w:val="20"/>
                <w:szCs w:val="20"/>
                <w:color w:val="auto"/>
              </w:rPr>
            </w:pPr>
            <w:r>
              <w:rPr>
                <w:rFonts w:ascii="Arial" w:cs="Arial" w:eastAsia="Arial" w:hAnsi="Arial"/>
                <w:sz w:val="11"/>
                <w:szCs w:val="11"/>
                <w:color w:val="auto"/>
              </w:rPr>
              <w:t>623,</w:t>
            </w: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(159,80</w:t>
            </w: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ind w:left="32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Borders>
              <w:right w:val="single" w:sz="8" w:color="auto"/>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0,946</w:t>
            </w:r>
          </w:p>
        </w:tc>
        <w:tc>
          <w:tcPr>
            <w:tcW w:w="180" w:type="dxa"/>
            <w:vAlign w:val="bottom"/>
            <w:shd w:val="clear" w:color="auto" w:fill="CFF0FC"/>
          </w:tcPr>
          <w:p>
            <w:pPr>
              <w:spacing w:after="0"/>
              <w:rPr>
                <w:sz w:val="12"/>
                <w:szCs w:val="12"/>
                <w:color w:val="auto"/>
              </w:rPr>
            </w:pPr>
          </w:p>
        </w:tc>
        <w:tc>
          <w:tcPr>
            <w:tcW w:w="340" w:type="dxa"/>
            <w:vAlign w:val="bottom"/>
            <w:tcBorders>
              <w:left w:val="single" w:sz="8" w:color="CFF0FC"/>
            </w:tcBorders>
            <w:shd w:val="clear" w:color="auto" w:fill="CFF0FC"/>
          </w:tcPr>
          <w:p>
            <w:pPr>
              <w:jc w:val="right"/>
              <w:ind w:right="206"/>
              <w:spacing w:after="0"/>
              <w:rPr>
                <w:sz w:val="20"/>
                <w:szCs w:val="20"/>
                <w:color w:val="auto"/>
              </w:rPr>
            </w:pPr>
            <w:r>
              <w:rPr>
                <w:rFonts w:ascii="Arial" w:cs="Arial" w:eastAsia="Arial" w:hAnsi="Arial"/>
                <w:sz w:val="11"/>
                <w:szCs w:val="11"/>
                <w:color w:val="auto"/>
                <w:w w:val="97"/>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1"/>
              </w:rPr>
              <w:t>10</w:t>
            </w:r>
          </w:p>
        </w:tc>
        <w:tc>
          <w:tcPr>
            <w:tcW w:w="8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1"/>
                <w:szCs w:val="11"/>
                <w:color w:val="auto"/>
              </w:rPr>
              <w:t>8</w:t>
            </w:r>
          </w:p>
        </w:tc>
        <w:tc>
          <w:tcPr>
            <w:tcW w:w="160" w:type="dxa"/>
            <w:vAlign w:val="bottom"/>
            <w:shd w:val="clear" w:color="auto" w:fill="CFF0FC"/>
          </w:tcPr>
          <w:p>
            <w:pPr>
              <w:spacing w:after="0"/>
              <w:rPr>
                <w:sz w:val="12"/>
                <w:szCs w:val="12"/>
                <w:color w:val="auto"/>
              </w:rPr>
            </w:pPr>
          </w:p>
        </w:tc>
        <w:tc>
          <w:tcPr>
            <w:tcW w:w="320" w:type="dxa"/>
            <w:vAlign w:val="bottom"/>
            <w:tcBorders>
              <w:left w:val="single" w:sz="8" w:color="CFF0FC"/>
            </w:tcBorders>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7,722 )</w:t>
            </w:r>
          </w:p>
        </w:tc>
        <w:tc>
          <w:tcPr>
            <w:tcW w:w="14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(748 )</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611</w:t>
            </w:r>
          </w:p>
        </w:tc>
        <w:tc>
          <w:tcPr>
            <w:tcW w:w="14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(534 )</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462,537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CFF0FC"/>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12"/>
          </w:tcPr>
          <w:p>
            <w:pPr>
              <w:jc w:val="center"/>
              <w:ind w:right="500"/>
              <w:spacing w:after="0"/>
              <w:rPr>
                <w:sz w:val="20"/>
                <w:szCs w:val="20"/>
                <w:color w:val="auto"/>
              </w:rPr>
            </w:pPr>
            <w:r>
              <w:rPr>
                <w:rFonts w:ascii="Arial" w:cs="Arial" w:eastAsia="Arial" w:hAnsi="Arial"/>
                <w:sz w:val="11"/>
                <w:szCs w:val="11"/>
                <w:b w:val="1"/>
                <w:bCs w:val="1"/>
                <w:color w:val="auto"/>
                <w:w w:val="97"/>
              </w:rPr>
              <w:t>Six Months Ended June 30, 2021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98"/>
              </w:rPr>
              <w:t>Accumulated</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Borders>
              <w:right w:val="single" w:sz="8" w:color="auto"/>
            </w:tcBorders>
            <w:gridSpan w:val="5"/>
            <w:vMerge w:val="restart"/>
          </w:tcPr>
          <w:p>
            <w:pPr>
              <w:ind w:left="300"/>
              <w:spacing w:after="0"/>
              <w:rPr>
                <w:sz w:val="20"/>
                <w:szCs w:val="20"/>
                <w:color w:val="auto"/>
              </w:rPr>
            </w:pPr>
            <w:r>
              <w:rPr>
                <w:rFonts w:ascii="Arial" w:cs="Arial" w:eastAsia="Arial" w:hAnsi="Arial"/>
                <w:sz w:val="11"/>
                <w:szCs w:val="11"/>
                <w:b w:val="1"/>
                <w:bCs w:val="1"/>
                <w:color w:val="auto"/>
              </w:rPr>
              <w:t>Redeemable</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vMerge w:val="restart"/>
          </w:tcPr>
          <w:p>
            <w:pPr>
              <w:jc w:val="center"/>
              <w:ind w:left="167"/>
              <w:spacing w:after="0"/>
              <w:rPr>
                <w:sz w:val="20"/>
                <w:szCs w:val="20"/>
                <w:color w:val="auto"/>
              </w:rPr>
            </w:pPr>
            <w:r>
              <w:rPr>
                <w:rFonts w:ascii="Arial" w:cs="Arial" w:eastAsia="Arial" w:hAnsi="Arial"/>
                <w:sz w:val="11"/>
                <w:szCs w:val="11"/>
                <w:b w:val="1"/>
                <w:bCs w:val="1"/>
                <w:color w:val="auto"/>
                <w:w w:val="97"/>
              </w:rPr>
              <w:t>Non-Voting</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Additi</w:t>
            </w:r>
          </w:p>
        </w:tc>
        <w:tc>
          <w:tcPr>
            <w:tcW w:w="180" w:type="dxa"/>
            <w:vAlign w:val="bottom"/>
          </w:tcPr>
          <w:p>
            <w:pPr>
              <w:spacing w:after="0"/>
              <w:rPr>
                <w:sz w:val="9"/>
                <w:szCs w:val="9"/>
                <w:color w:val="auto"/>
              </w:rPr>
            </w:pPr>
          </w:p>
        </w:tc>
        <w:tc>
          <w:tcPr>
            <w:tcW w:w="800" w:type="dxa"/>
            <w:vAlign w:val="bottom"/>
            <w:gridSpan w:val="2"/>
          </w:tcPr>
          <w:p>
            <w:pPr>
              <w:jc w:val="center"/>
              <w:ind w:right="320"/>
              <w:spacing w:after="0" w:line="110" w:lineRule="exact"/>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500" w:type="dxa"/>
            <w:vAlign w:val="bottom"/>
            <w:gridSpan w:val="5"/>
            <w:vMerge w:val="restart"/>
          </w:tcPr>
          <w:p>
            <w:pPr>
              <w:jc w:val="right"/>
              <w:ind w:right="560"/>
              <w:spacing w:after="0"/>
              <w:rPr>
                <w:sz w:val="20"/>
                <w:szCs w:val="20"/>
                <w:color w:val="auto"/>
              </w:rPr>
            </w:pPr>
            <w:r>
              <w:rPr>
                <w:rFonts w:ascii="Arial" w:cs="Arial" w:eastAsia="Arial" w:hAnsi="Arial"/>
                <w:sz w:val="11"/>
                <w:szCs w:val="11"/>
                <w:b w:val="1"/>
                <w:bCs w:val="1"/>
                <w:color w:val="auto"/>
              </w:rPr>
              <w:t>Convertible</w:t>
            </w:r>
          </w:p>
        </w:tc>
        <w:tc>
          <w:tcPr>
            <w:tcW w:w="1580" w:type="dxa"/>
            <w:vAlign w:val="bottom"/>
            <w:tcBorders>
              <w:right w:val="single" w:sz="8" w:color="auto"/>
            </w:tcBorders>
            <w:gridSpan w:val="5"/>
            <w:vMerge w:val="continue"/>
          </w:tcPr>
          <w:p>
            <w:pPr>
              <w:spacing w:after="0"/>
              <w:rPr>
                <w:sz w:val="9"/>
                <w:szCs w:val="9"/>
                <w:color w:val="auto"/>
              </w:rPr>
            </w:pPr>
          </w:p>
        </w:tc>
        <w:tc>
          <w:tcPr>
            <w:tcW w:w="1020" w:type="dxa"/>
            <w:vAlign w:val="bottom"/>
            <w:gridSpan w:val="3"/>
            <w:vMerge w:val="restart"/>
          </w:tcPr>
          <w:p>
            <w:pPr>
              <w:jc w:val="right"/>
              <w:ind w:right="186"/>
              <w:spacing w:after="0"/>
              <w:rPr>
                <w:sz w:val="20"/>
                <w:szCs w:val="20"/>
                <w:color w:val="auto"/>
              </w:rPr>
            </w:pPr>
            <w:r>
              <w:rPr>
                <w:rFonts w:ascii="Arial" w:cs="Arial" w:eastAsia="Arial" w:hAnsi="Arial"/>
                <w:sz w:val="11"/>
                <w:szCs w:val="11"/>
                <w:b w:val="1"/>
                <w:bCs w:val="1"/>
                <w:color w:val="auto"/>
              </w:rPr>
              <w:t>Voting</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5"/>
            <w:vMerge w:val="restart"/>
          </w:tcPr>
          <w:p>
            <w:pPr>
              <w:jc w:val="right"/>
              <w:ind w:right="320"/>
              <w:spacing w:after="0"/>
              <w:rPr>
                <w:sz w:val="20"/>
                <w:szCs w:val="20"/>
                <w:color w:val="auto"/>
              </w:rPr>
            </w:pPr>
            <w:r>
              <w:rPr>
                <w:rFonts w:ascii="Arial" w:cs="Arial" w:eastAsia="Arial" w:hAnsi="Arial"/>
                <w:sz w:val="11"/>
                <w:szCs w:val="11"/>
                <w:b w:val="1"/>
                <w:bCs w:val="1"/>
                <w:color w:val="auto"/>
              </w:rPr>
              <w:t>Treasury Voting</w:t>
            </w:r>
          </w:p>
        </w:tc>
        <w:tc>
          <w:tcPr>
            <w:tcW w:w="580" w:type="dxa"/>
            <w:vAlign w:val="bottom"/>
            <w:gridSpan w:val="3"/>
            <w:vMerge w:val="continue"/>
          </w:tcPr>
          <w:p>
            <w:pPr>
              <w:spacing w:after="0"/>
              <w:rPr>
                <w:sz w:val="9"/>
                <w:szCs w:val="9"/>
                <w:color w:val="auto"/>
              </w:rPr>
            </w:pPr>
          </w:p>
        </w:tc>
        <w:tc>
          <w:tcPr>
            <w:tcW w:w="980" w:type="dxa"/>
            <w:vAlign w:val="bottom"/>
            <w:gridSpan w:val="3"/>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Comprehens</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580" w:type="dxa"/>
            <w:vAlign w:val="bottom"/>
            <w:tcBorders>
              <w:right w:val="single" w:sz="8" w:color="auto"/>
            </w:tcBorders>
            <w:gridSpan w:val="5"/>
          </w:tcPr>
          <w:p>
            <w:pPr>
              <w:ind w:left="320"/>
              <w:spacing w:after="0" w:line="122" w:lineRule="exact"/>
              <w:rPr>
                <w:sz w:val="20"/>
                <w:szCs w:val="20"/>
                <w:color w:val="auto"/>
              </w:rPr>
            </w:pPr>
            <w:r>
              <w:rPr>
                <w:rFonts w:ascii="Arial" w:cs="Arial" w:eastAsia="Arial" w:hAnsi="Arial"/>
                <w:sz w:val="11"/>
                <w:szCs w:val="11"/>
                <w:b w:val="1"/>
                <w:bCs w:val="1"/>
                <w:color w:val="auto"/>
              </w:rPr>
              <w:t>Convertible</w:t>
            </w:r>
          </w:p>
        </w:tc>
        <w:tc>
          <w:tcPr>
            <w:tcW w:w="10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67"/>
              <w:spacing w:after="0" w:line="122" w:lineRule="exact"/>
              <w:rPr>
                <w:sz w:val="20"/>
                <w:szCs w:val="20"/>
                <w:color w:val="auto"/>
              </w:rPr>
            </w:pPr>
            <w:r>
              <w:rPr>
                <w:rFonts w:ascii="Arial" w:cs="Arial" w:eastAsia="Arial" w:hAnsi="Arial"/>
                <w:sz w:val="11"/>
                <w:szCs w:val="11"/>
                <w:b w:val="1"/>
                <w:bCs w:val="1"/>
                <w:color w:val="auto"/>
                <w:w w:val="96"/>
              </w:rPr>
              <w:t>Common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7"/>
              </w:rPr>
              <w:t>onal</w:t>
            </w:r>
          </w:p>
        </w:tc>
        <w:tc>
          <w:tcPr>
            <w:tcW w:w="18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rPr>
              <w:t>ive</w:t>
            </w:r>
          </w:p>
        </w:tc>
        <w:tc>
          <w:tcPr>
            <w:tcW w:w="72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Accumul</w:t>
            </w: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Stockholde</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1"/>
                <w:szCs w:val="11"/>
                <w:b w:val="1"/>
                <w:bCs w:val="1"/>
                <w:color w:val="auto"/>
              </w:rPr>
              <w:t>Preferred Stock</w:t>
            </w:r>
          </w:p>
        </w:tc>
        <w:tc>
          <w:tcPr>
            <w:tcW w:w="1580" w:type="dxa"/>
            <w:vAlign w:val="bottom"/>
            <w:tcBorders>
              <w:right w:val="single" w:sz="8" w:color="auto"/>
            </w:tcBorders>
            <w:gridSpan w:val="5"/>
          </w:tcPr>
          <w:p>
            <w:pPr>
              <w:ind w:left="220"/>
              <w:spacing w:after="0"/>
              <w:rPr>
                <w:sz w:val="20"/>
                <w:szCs w:val="20"/>
                <w:color w:val="auto"/>
              </w:rPr>
            </w:pPr>
            <w:r>
              <w:rPr>
                <w:rFonts w:ascii="Arial" w:cs="Arial" w:eastAsia="Arial" w:hAnsi="Arial"/>
                <w:sz w:val="11"/>
                <w:szCs w:val="11"/>
                <w:b w:val="1"/>
                <w:bCs w:val="1"/>
                <w:color w:val="auto"/>
              </w:rPr>
              <w:t>Preferred Stock</w:t>
            </w:r>
          </w:p>
        </w:tc>
        <w:tc>
          <w:tcPr>
            <w:tcW w:w="102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gridSpan w:val="2"/>
          </w:tcPr>
          <w:p>
            <w:pPr>
              <w:jc w:val="center"/>
              <w:ind w:right="88"/>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Common Stock</w:t>
            </w: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11"/>
                <w:szCs w:val="11"/>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Income</w:t>
            </w:r>
          </w:p>
        </w:tc>
        <w:tc>
          <w:tcPr>
            <w:tcW w:w="60" w:type="dxa"/>
            <w:vAlign w:val="bottom"/>
          </w:tcPr>
          <w:p>
            <w:pPr>
              <w:spacing w:after="0"/>
              <w:rPr>
                <w:sz w:val="11"/>
                <w:szCs w:val="11"/>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ated</w:t>
            </w: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5"/>
              </w:rPr>
              <w:t>rs’ Equity</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top w:val="single" w:sz="8" w:color="auto"/>
            </w:tcBorders>
          </w:tcPr>
          <w:p>
            <w:pPr>
              <w:jc w:val="right"/>
              <w:spacing w:after="0" w:line="100" w:lineRule="exact"/>
              <w:rPr>
                <w:sz w:val="20"/>
                <w:szCs w:val="20"/>
                <w:color w:val="auto"/>
              </w:rPr>
            </w:pPr>
            <w:r>
              <w:rPr>
                <w:rFonts w:ascii="Arial" w:cs="Arial" w:eastAsia="Arial" w:hAnsi="Arial"/>
                <w:sz w:val="11"/>
                <w:szCs w:val="11"/>
                <w:b w:val="1"/>
                <w:bCs w:val="1"/>
                <w:color w:val="auto"/>
              </w:rPr>
              <w:t>Share</w:t>
            </w:r>
          </w:p>
        </w:tc>
        <w:tc>
          <w:tcPr>
            <w:tcW w:w="1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7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880" w:type="dxa"/>
            <w:vAlign w:val="bottom"/>
            <w:tcBorders>
              <w:right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740" w:type="dxa"/>
            <w:vAlign w:val="bottom"/>
            <w:gridSpan w:val="4"/>
          </w:tcPr>
          <w:p>
            <w:pPr>
              <w:ind w:left="10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jc w:val="right"/>
              <w:ind w:right="87"/>
              <w:spacing w:after="0"/>
              <w:rPr>
                <w:sz w:val="20"/>
                <w:szCs w:val="20"/>
                <w:color w:val="auto"/>
              </w:rPr>
            </w:pPr>
            <w:r>
              <w:rPr>
                <w:rFonts w:ascii="Arial" w:cs="Arial" w:eastAsia="Arial" w:hAnsi="Arial"/>
                <w:sz w:val="11"/>
                <w:szCs w:val="11"/>
                <w:b w:val="1"/>
                <w:bCs w:val="1"/>
                <w:color w:val="auto"/>
              </w:rPr>
              <w:t>s</w:t>
            </w:r>
          </w:p>
        </w:tc>
        <w:tc>
          <w:tcPr>
            <w:tcW w:w="160" w:type="dxa"/>
            <w:vAlign w:val="bottom"/>
          </w:tcPr>
          <w:p>
            <w:pPr>
              <w:spacing w:after="0"/>
              <w:rPr>
                <w:sz w:val="12"/>
                <w:szCs w:val="12"/>
                <w:color w:val="auto"/>
              </w:rPr>
            </w:pPr>
          </w:p>
        </w:tc>
        <w:tc>
          <w:tcPr>
            <w:tcW w:w="660" w:type="dxa"/>
            <w:vAlign w:val="bottom"/>
            <w:gridSpan w:val="4"/>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7"/>
              </w:rPr>
              <w:t>Shares</w:t>
            </w:r>
          </w:p>
        </w:tc>
        <w:tc>
          <w:tcPr>
            <w:tcW w:w="70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Capital</w:t>
            </w:r>
          </w:p>
        </w:tc>
        <w:tc>
          <w:tcPr>
            <w:tcW w:w="180" w:type="dxa"/>
            <w:vAlign w:val="bottom"/>
          </w:tcPr>
          <w:p>
            <w:pPr>
              <w:spacing w:after="0"/>
              <w:rPr>
                <w:sz w:val="12"/>
                <w:szCs w:val="12"/>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(Loss)</w:t>
            </w:r>
          </w:p>
        </w:tc>
        <w:tc>
          <w:tcPr>
            <w:tcW w:w="60" w:type="dxa"/>
            <w:vAlign w:val="bottom"/>
          </w:tcPr>
          <w:p>
            <w:pPr>
              <w:spacing w:after="0"/>
              <w:rPr>
                <w:sz w:val="12"/>
                <w:szCs w:val="12"/>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06"/>
        </w:trPr>
        <w:tc>
          <w:tcPr>
            <w:tcW w:w="1240" w:type="dxa"/>
            <w:vAlign w:val="bottom"/>
            <w:shd w:val="clear" w:color="auto" w:fill="CFF0FC"/>
          </w:tcPr>
          <w:p>
            <w:pPr>
              <w:ind w:left="20"/>
              <w:spacing w:after="0" w:line="106" w:lineRule="exact"/>
              <w:rPr>
                <w:sz w:val="20"/>
                <w:szCs w:val="20"/>
                <w:color w:val="auto"/>
              </w:rPr>
            </w:pPr>
            <w:r>
              <w:rPr>
                <w:rFonts w:ascii="Arial" w:cs="Arial" w:eastAsia="Arial" w:hAnsi="Arial"/>
                <w:sz w:val="11"/>
                <w:szCs w:val="11"/>
                <w:b w:val="1"/>
                <w:bCs w:val="1"/>
                <w:color w:val="auto"/>
              </w:rPr>
              <w:t>Balances at</w:t>
            </w:r>
          </w:p>
        </w:tc>
        <w:tc>
          <w:tcPr>
            <w:tcW w:w="500" w:type="dxa"/>
            <w:vAlign w:val="bottom"/>
            <w:tcBorders>
              <w:top w:val="single" w:sz="8" w:color="auto"/>
            </w:tcBorders>
            <w:shd w:val="clear" w:color="auto" w:fill="CFF0FC"/>
          </w:tcPr>
          <w:p>
            <w:pPr>
              <w:jc w:val="right"/>
              <w:spacing w:after="0" w:line="106" w:lineRule="exact"/>
              <w:rPr>
                <w:sz w:val="20"/>
                <w:szCs w:val="20"/>
                <w:color w:val="auto"/>
              </w:rPr>
            </w:pPr>
            <w:r>
              <w:rPr>
                <w:rFonts w:ascii="Arial" w:cs="Arial" w:eastAsia="Arial" w:hAnsi="Arial"/>
                <w:sz w:val="11"/>
                <w:szCs w:val="11"/>
                <w:color w:val="auto"/>
              </w:rPr>
              <w:t>54,208</w:t>
            </w: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top w:val="single" w:sz="8" w:color="auto"/>
              <w:right w:val="single" w:sz="8" w:color="CFF0FC"/>
            </w:tcBorders>
            <w:shd w:val="clear" w:color="auto" w:fill="CFF0FC"/>
          </w:tcPr>
          <w:p>
            <w:pPr>
              <w:jc w:val="right"/>
              <w:spacing w:after="0" w:line="106" w:lineRule="exact"/>
              <w:rPr>
                <w:sz w:val="20"/>
                <w:szCs w:val="20"/>
                <w:color w:val="auto"/>
              </w:rPr>
            </w:pPr>
            <w:r>
              <w:rPr>
                <w:rFonts w:ascii="Arial" w:cs="Arial" w:eastAsia="Arial" w:hAnsi="Arial"/>
                <w:sz w:val="11"/>
                <w:szCs w:val="11"/>
                <w:color w:val="auto"/>
              </w:rPr>
              <w:t>11,239</w:t>
            </w: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top w:val="single" w:sz="8" w:color="auto"/>
              <w:right w:val="single" w:sz="8" w:color="CFF0FC"/>
            </w:tcBorders>
            <w:shd w:val="clear" w:color="auto" w:fill="CFF0FC"/>
          </w:tcPr>
          <w:p>
            <w:pPr>
              <w:jc w:val="right"/>
              <w:spacing w:after="0" w:line="106" w:lineRule="exact"/>
              <w:rPr>
                <w:sz w:val="20"/>
                <w:szCs w:val="20"/>
                <w:color w:val="auto"/>
              </w:rPr>
            </w:pPr>
            <w:r>
              <w:rPr>
                <w:rFonts w:ascii="Arial" w:cs="Arial" w:eastAsia="Arial" w:hAnsi="Arial"/>
                <w:sz w:val="11"/>
                <w:szCs w:val="11"/>
                <w:color w:val="auto"/>
              </w:rPr>
              <w:t>22,240</w:t>
            </w:r>
          </w:p>
        </w:tc>
        <w:tc>
          <w:tcPr>
            <w:tcW w:w="180" w:type="dxa"/>
            <w:vAlign w:val="bottom"/>
            <w:shd w:val="clear" w:color="auto" w:fill="CFF0FC"/>
          </w:tcPr>
          <w:p>
            <w:pPr>
              <w:spacing w:after="0"/>
              <w:rPr>
                <w:sz w:val="9"/>
                <w:szCs w:val="9"/>
                <w:color w:val="auto"/>
              </w:rPr>
            </w:pPr>
          </w:p>
        </w:tc>
        <w:tc>
          <w:tcPr>
            <w:tcW w:w="340" w:type="dxa"/>
            <w:vAlign w:val="bottom"/>
            <w:tcBorders>
              <w:top w:val="single" w:sz="8" w:color="auto"/>
              <w:left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top w:val="single" w:sz="8" w:color="auto"/>
              <w:left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top w:val="single" w:sz="8" w:color="auto"/>
              <w:right w:val="single" w:sz="8" w:color="CFF0FC"/>
            </w:tcBorders>
            <w:shd w:val="clear" w:color="auto" w:fill="CFF0FC"/>
          </w:tcPr>
          <w:p>
            <w:pPr>
              <w:jc w:val="right"/>
              <w:spacing w:after="0" w:line="106" w:lineRule="exact"/>
              <w:rPr>
                <w:sz w:val="20"/>
                <w:szCs w:val="20"/>
                <w:color w:val="auto"/>
              </w:rPr>
            </w:pPr>
            <w:r>
              <w:rPr>
                <w:rFonts w:ascii="Arial" w:cs="Arial" w:eastAsia="Arial" w:hAnsi="Arial"/>
                <w:sz w:val="11"/>
                <w:szCs w:val="11"/>
                <w:color w:val="auto"/>
              </w:rPr>
              <w:t>(2,31</w:t>
            </w:r>
          </w:p>
        </w:tc>
        <w:tc>
          <w:tcPr>
            <w:tcW w:w="140" w:type="dxa"/>
            <w:vAlign w:val="bottom"/>
            <w:shd w:val="clear" w:color="auto" w:fill="CFF0FC"/>
          </w:tcPr>
          <w:p>
            <w:pPr>
              <w:spacing w:after="0"/>
              <w:rPr>
                <w:sz w:val="9"/>
                <w:szCs w:val="9"/>
                <w:color w:val="auto"/>
              </w:rPr>
            </w:pPr>
          </w:p>
        </w:tc>
        <w:tc>
          <w:tcPr>
            <w:tcW w:w="200" w:type="dxa"/>
            <w:vAlign w:val="bottom"/>
            <w:tcBorders>
              <w:top w:val="single" w:sz="8" w:color="auto"/>
              <w:left w:val="single" w:sz="8" w:color="CFF0FC"/>
            </w:tcBorders>
            <w:shd w:val="clear" w:color="auto" w:fill="CFF0FC"/>
          </w:tcPr>
          <w:p>
            <w:pPr>
              <w:spacing w:after="0"/>
              <w:rPr>
                <w:sz w:val="9"/>
                <w:szCs w:val="9"/>
                <w:color w:val="auto"/>
              </w:rPr>
            </w:pPr>
          </w:p>
        </w:tc>
        <w:tc>
          <w:tcPr>
            <w:tcW w:w="34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320" w:type="dxa"/>
            <w:vAlign w:val="bottom"/>
            <w:tcBorders>
              <w:top w:val="single" w:sz="8" w:color="auto"/>
              <w:right w:val="single" w:sz="8" w:color="CFF0FC"/>
            </w:tcBorders>
            <w:shd w:val="clear" w:color="auto" w:fill="CFF0FC"/>
          </w:tcPr>
          <w:p>
            <w:pPr>
              <w:jc w:val="right"/>
              <w:spacing w:after="0" w:line="106" w:lineRule="exact"/>
              <w:rPr>
                <w:sz w:val="20"/>
                <w:szCs w:val="20"/>
                <w:color w:val="auto"/>
              </w:rPr>
            </w:pPr>
            <w:r>
              <w:rPr>
                <w:rFonts w:ascii="Arial" w:cs="Arial" w:eastAsia="Arial" w:hAnsi="Arial"/>
                <w:sz w:val="11"/>
                <w:szCs w:val="11"/>
                <w:color w:val="auto"/>
              </w:rPr>
              <w:t>16,9</w:t>
            </w:r>
          </w:p>
        </w:tc>
        <w:tc>
          <w:tcPr>
            <w:tcW w:w="140" w:type="dxa"/>
            <w:vAlign w:val="bottom"/>
            <w:shd w:val="clear" w:color="auto" w:fill="CFF0FC"/>
          </w:tcPr>
          <w:p>
            <w:pPr>
              <w:spacing w:after="0"/>
              <w:rPr>
                <w:sz w:val="9"/>
                <w:szCs w:val="9"/>
                <w:color w:val="auto"/>
              </w:rPr>
            </w:pPr>
          </w:p>
        </w:tc>
        <w:tc>
          <w:tcPr>
            <w:tcW w:w="180" w:type="dxa"/>
            <w:vAlign w:val="bottom"/>
            <w:tcBorders>
              <w:top w:val="single" w:sz="8" w:color="auto"/>
              <w:left w:val="single" w:sz="8" w:color="CFF0FC"/>
            </w:tcBorders>
            <w:shd w:val="clear" w:color="auto" w:fill="CFF0FC"/>
          </w:tcPr>
          <w:p>
            <w:pPr>
              <w:spacing w:after="0"/>
              <w:rPr>
                <w:sz w:val="9"/>
                <w:szCs w:val="9"/>
                <w:color w:val="auto"/>
              </w:rPr>
            </w:pPr>
          </w:p>
        </w:tc>
        <w:tc>
          <w:tcPr>
            <w:tcW w:w="60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2020</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110,401</w:t>
            </w:r>
          </w:p>
        </w:tc>
        <w:tc>
          <w:tcPr>
            <w:tcW w:w="240" w:type="dxa"/>
            <w:vAlign w:val="bottom"/>
            <w:tcBorders>
              <w:right w:val="single" w:sz="8" w:color="CFF0FC"/>
            </w:tcBorders>
            <w:shd w:val="clear" w:color="auto" w:fill="CFF0FC"/>
          </w:tcPr>
          <w:p>
            <w:pPr>
              <w:spacing w:after="0"/>
              <w:rPr>
                <w:sz w:val="13"/>
                <w:szCs w:val="13"/>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,920</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119,769</w:t>
            </w:r>
          </w:p>
        </w:tc>
        <w:tc>
          <w:tcPr>
            <w:tcW w:w="340" w:type="dxa"/>
            <w:vAlign w:val="bottom"/>
            <w:tcBorders>
              <w:right w:val="single" w:sz="8" w:color="auto"/>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,872</w:t>
            </w:r>
          </w:p>
        </w:tc>
        <w:tc>
          <w:tcPr>
            <w:tcW w:w="180" w:type="dxa"/>
            <w:vAlign w:val="bottom"/>
            <w:shd w:val="clear" w:color="auto" w:fill="CFF0FC"/>
          </w:tcPr>
          <w:p>
            <w:pPr>
              <w:spacing w:after="0"/>
              <w:rPr>
                <w:sz w:val="13"/>
                <w:szCs w:val="13"/>
                <w:color w:val="auto"/>
              </w:rPr>
            </w:pPr>
          </w:p>
        </w:tc>
        <w:tc>
          <w:tcPr>
            <w:tcW w:w="340" w:type="dxa"/>
            <w:vAlign w:val="bottom"/>
            <w:tcBorders>
              <w:left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w:t>
            </w:r>
          </w:p>
        </w:tc>
        <w:tc>
          <w:tcPr>
            <w:tcW w:w="200" w:type="dxa"/>
            <w:vAlign w:val="bottom"/>
            <w:tcBorders>
              <w:right w:val="single" w:sz="8" w:color="CFF0FC"/>
            </w:tcBorders>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7,722 )</w:t>
            </w:r>
          </w:p>
        </w:tc>
        <w:tc>
          <w:tcPr>
            <w:tcW w:w="200" w:type="dxa"/>
            <w:vAlign w:val="bottom"/>
            <w:tcBorders>
              <w:lef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(748 )</w:t>
            </w:r>
          </w:p>
        </w:tc>
        <w:tc>
          <w:tcPr>
            <w:tcW w:w="12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71</w:t>
            </w:r>
          </w:p>
        </w:tc>
        <w:tc>
          <w:tcPr>
            <w:tcW w:w="140" w:type="dxa"/>
            <w:vAlign w:val="bottom"/>
            <w:shd w:val="clear" w:color="auto" w:fill="CFF0FC"/>
          </w:tcPr>
          <w:p>
            <w:pPr>
              <w:spacing w:after="0"/>
              <w:rPr>
                <w:sz w:val="13"/>
                <w:szCs w:val="13"/>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(214 )</w:t>
            </w:r>
          </w:p>
        </w:tc>
        <w:tc>
          <w:tcPr>
            <w:tcW w:w="7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 (97,772 )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(81,762 )</w:t>
            </w:r>
          </w:p>
        </w:tc>
        <w:tc>
          <w:tcPr>
            <w:tcW w:w="0" w:type="dxa"/>
            <w:vAlign w:val="bottom"/>
          </w:tcPr>
          <w:p>
            <w:pPr>
              <w:spacing w:after="0"/>
              <w:rPr>
                <w:sz w:val="1"/>
                <w:szCs w:val="1"/>
                <w:color w:val="auto"/>
              </w:rPr>
            </w:pPr>
          </w:p>
        </w:tc>
      </w:tr>
      <w:tr>
        <w:trPr>
          <w:trHeight w:val="118"/>
        </w:trPr>
        <w:tc>
          <w:tcPr>
            <w:tcW w:w="1240" w:type="dxa"/>
            <w:vAlign w:val="bottom"/>
          </w:tcPr>
          <w:p>
            <w:pPr>
              <w:ind w:left="20"/>
              <w:spacing w:after="0" w:line="119" w:lineRule="exact"/>
              <w:rPr>
                <w:sz w:val="20"/>
                <w:szCs w:val="20"/>
                <w:color w:val="auto"/>
              </w:rPr>
            </w:pPr>
            <w:r>
              <w:rPr>
                <w:rFonts w:ascii="Arial" w:cs="Arial" w:eastAsia="Arial" w:hAnsi="Arial"/>
                <w:sz w:val="11"/>
                <w:szCs w:val="11"/>
                <w:color w:val="auto"/>
              </w:rPr>
              <w:t>Issuance of common</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stock in connection</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with initial public</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offering, net of</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underwriting</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discounts and</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12,006</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268,</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120"/>
              <w:spacing w:after="0"/>
              <w:rPr>
                <w:sz w:val="20"/>
                <w:szCs w:val="20"/>
                <w:color w:val="auto"/>
              </w:rPr>
            </w:pPr>
            <w:r>
              <w:rPr>
                <w:rFonts w:ascii="Arial" w:cs="Arial" w:eastAsia="Arial" w:hAnsi="Arial"/>
                <w:sz w:val="11"/>
                <w:szCs w:val="11"/>
                <w:color w:val="auto"/>
              </w:rPr>
              <w:t>commissions</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693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268,694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Costs incurred in</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connection</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with initial</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(4,86</w:t>
            </w: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40" w:type="dxa"/>
            <w:vAlign w:val="bottom"/>
            <w:tcBorders>
              <w:left w:val="single" w:sz="8" w:color="CFF0FC"/>
            </w:tcBorders>
            <w:shd w:val="clear" w:color="auto" w:fill="CFF0FC"/>
          </w:tcPr>
          <w:p>
            <w:pPr>
              <w:spacing w:after="0"/>
              <w:rPr>
                <w:sz w:val="13"/>
                <w:szCs w:val="13"/>
                <w:color w:val="auto"/>
              </w:rPr>
            </w:pPr>
          </w:p>
        </w:tc>
        <w:tc>
          <w:tcPr>
            <w:tcW w:w="4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320" w:type="dxa"/>
            <w:vAlign w:val="bottom"/>
            <w:tcBorders>
              <w:left w:val="single" w:sz="8" w:color="CFF0FC"/>
            </w:tcBorders>
            <w:shd w:val="clear" w:color="auto" w:fill="CFF0FC"/>
          </w:tcPr>
          <w:p>
            <w:pPr>
              <w:spacing w:after="0"/>
              <w:rPr>
                <w:sz w:val="13"/>
                <w:szCs w:val="13"/>
                <w:color w:val="auto"/>
              </w:rPr>
            </w:pP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0 )</w:t>
            </w:r>
          </w:p>
        </w:tc>
        <w:tc>
          <w:tcPr>
            <w:tcW w:w="18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(4,860 )</w:t>
            </w:r>
          </w:p>
        </w:tc>
        <w:tc>
          <w:tcPr>
            <w:tcW w:w="0" w:type="dxa"/>
            <w:vAlign w:val="bottom"/>
          </w:tcPr>
          <w:p>
            <w:pPr>
              <w:spacing w:after="0"/>
              <w:rPr>
                <w:sz w:val="1"/>
                <w:szCs w:val="1"/>
                <w:color w:val="auto"/>
              </w:rPr>
            </w:pPr>
          </w:p>
        </w:tc>
      </w:tr>
      <w:tr>
        <w:trPr>
          <w:trHeight w:val="118"/>
        </w:trPr>
        <w:tc>
          <w:tcPr>
            <w:tcW w:w="1240" w:type="dxa"/>
            <w:vAlign w:val="bottom"/>
          </w:tcPr>
          <w:p>
            <w:pPr>
              <w:ind w:left="20"/>
              <w:spacing w:after="0" w:line="119" w:lineRule="exact"/>
              <w:rPr>
                <w:sz w:val="20"/>
                <w:szCs w:val="20"/>
                <w:color w:val="auto"/>
              </w:rPr>
            </w:pPr>
            <w:r>
              <w:rPr>
                <w:rFonts w:ascii="Arial" w:cs="Arial" w:eastAsia="Arial" w:hAnsi="Arial"/>
                <w:sz w:val="11"/>
                <w:szCs w:val="11"/>
                <w:color w:val="auto"/>
              </w:rPr>
              <w:t>Accretion of</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redeemable</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convertible preferred</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120"/>
              <w:spacing w:after="0"/>
              <w:rPr>
                <w:sz w:val="20"/>
                <w:szCs w:val="20"/>
                <w:color w:val="auto"/>
              </w:rPr>
            </w:pPr>
            <w:r>
              <w:rPr>
                <w:rFonts w:ascii="Arial" w:cs="Arial" w:eastAsia="Arial" w:hAnsi="Arial"/>
                <w:sz w:val="11"/>
                <w:szCs w:val="11"/>
                <w:color w:val="auto"/>
              </w:rPr>
              <w:t>stock</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w:t>
            </w:r>
          </w:p>
        </w:tc>
        <w:tc>
          <w:tcPr>
            <w:tcW w:w="340" w:type="dxa"/>
            <w:vAlign w:val="bottom"/>
            <w:tcBorders>
              <w:right w:val="single" w:sz="8" w:color="auto"/>
            </w:tcBorders>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(13 )</w:t>
            </w:r>
          </w:p>
        </w:tc>
        <w:tc>
          <w:tcPr>
            <w:tcW w:w="1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Issuance of Series F-1</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redeemable</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convertible</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preferred stock, net</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of</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rPr>
              <w:t>issuance costs of</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2,571,</w:t>
            </w: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$256</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936</w:t>
            </w: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59,735</w:t>
            </w:r>
          </w:p>
        </w:tc>
        <w:tc>
          <w:tcPr>
            <w:tcW w:w="340" w:type="dxa"/>
            <w:vAlign w:val="bottom"/>
            <w:tcBorders>
              <w:right w:val="single" w:sz="8" w:color="auto"/>
            </w:tcBorders>
            <w:shd w:val="clear" w:color="auto" w:fill="CFF0FC"/>
          </w:tcPr>
          <w:p>
            <w:pPr>
              <w:spacing w:after="0"/>
              <w:rPr>
                <w:sz w:val="12"/>
                <w:szCs w:val="12"/>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340" w:type="dxa"/>
            <w:vAlign w:val="bottom"/>
            <w:tcBorders>
              <w:left w:val="single" w:sz="8" w:color="CFF0FC"/>
            </w:tcBorders>
            <w:shd w:val="clear" w:color="auto" w:fill="CFF0FC"/>
          </w:tcPr>
          <w:p>
            <w:pPr>
              <w:spacing w:after="0"/>
              <w:rPr>
                <w:sz w:val="12"/>
                <w:szCs w:val="12"/>
                <w:color w:val="auto"/>
              </w:rPr>
            </w:pPr>
          </w:p>
        </w:tc>
        <w:tc>
          <w:tcPr>
            <w:tcW w:w="4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320" w:type="dxa"/>
            <w:vAlign w:val="bottom"/>
            <w:tcBorders>
              <w:left w:val="single" w:sz="8" w:color="CFF0FC"/>
            </w:tcBorders>
            <w:shd w:val="clear" w:color="auto" w:fill="CFF0FC"/>
          </w:tcPr>
          <w:p>
            <w:pPr>
              <w:spacing w:after="0"/>
              <w:rPr>
                <w:sz w:val="12"/>
                <w:szCs w:val="12"/>
                <w:color w:val="auto"/>
              </w:rPr>
            </w:pP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left w:val="single" w:sz="8" w:color="CFF0FC"/>
            </w:tcBorders>
            <w:shd w:val="clear" w:color="auto" w:fill="CFF0FC"/>
          </w:tcPr>
          <w:p>
            <w:pPr>
              <w:spacing w:after="0"/>
              <w:rPr>
                <w:sz w:val="12"/>
                <w:szCs w:val="12"/>
                <w:color w:val="auto"/>
              </w:rPr>
            </w:pPr>
          </w:p>
        </w:tc>
        <w:tc>
          <w:tcPr>
            <w:tcW w:w="8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1240" w:type="dxa"/>
            <w:vAlign w:val="bottom"/>
          </w:tcPr>
          <w:p>
            <w:pPr>
              <w:ind w:left="20"/>
              <w:spacing w:after="0" w:line="119" w:lineRule="exact"/>
              <w:rPr>
                <w:sz w:val="20"/>
                <w:szCs w:val="20"/>
                <w:color w:val="auto"/>
              </w:rPr>
            </w:pPr>
            <w:r>
              <w:rPr>
                <w:rFonts w:ascii="Arial" w:cs="Arial" w:eastAsia="Arial" w:hAnsi="Arial"/>
                <w:sz w:val="11"/>
                <w:szCs w:val="11"/>
                <w:color w:val="auto"/>
              </w:rPr>
              <w:t>Issuance of Series C</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Convertible</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20"/>
              <w:spacing w:after="0" w:line="108" w:lineRule="exact"/>
              <w:rPr>
                <w:sz w:val="20"/>
                <w:szCs w:val="20"/>
                <w:color w:val="auto"/>
              </w:rPr>
            </w:pPr>
            <w:r>
              <w:rPr>
                <w:rFonts w:ascii="Arial" w:cs="Arial" w:eastAsia="Arial" w:hAnsi="Arial"/>
                <w:sz w:val="11"/>
                <w:szCs w:val="11"/>
                <w:color w:val="auto"/>
              </w:rPr>
              <w:t>Preferred</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Stock upon net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182,46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120"/>
              <w:spacing w:after="0"/>
              <w:rPr>
                <w:sz w:val="20"/>
                <w:szCs w:val="20"/>
                <w:color w:val="auto"/>
              </w:rPr>
            </w:pPr>
            <w:r>
              <w:rPr>
                <w:rFonts w:ascii="Arial" w:cs="Arial" w:eastAsia="Arial" w:hAnsi="Arial"/>
                <w:sz w:val="11"/>
                <w:szCs w:val="11"/>
                <w:color w:val="auto"/>
              </w:rPr>
              <w:t>exercise of warrants</w:t>
            </w:r>
          </w:p>
        </w:tc>
        <w:tc>
          <w:tcPr>
            <w:tcW w:w="50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6,417</w:t>
            </w:r>
          </w:p>
        </w:tc>
        <w:tc>
          <w:tcPr>
            <w:tcW w:w="24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Conversion of</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convertible</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preferred stock upon</w:t>
            </w:r>
          </w:p>
        </w:tc>
        <w:tc>
          <w:tcPr>
            <w:tcW w:w="500" w:type="dxa"/>
            <w:vAlign w:val="bottom"/>
            <w:shd w:val="clear" w:color="auto" w:fill="CFF0FC"/>
          </w:tcPr>
          <w:p>
            <w:pPr>
              <w:jc w:val="right"/>
              <w:spacing w:after="0" w:line="108" w:lineRule="exact"/>
              <w:rPr>
                <w:sz w:val="20"/>
                <w:szCs w:val="20"/>
                <w:color w:val="auto"/>
              </w:rPr>
            </w:pPr>
            <w:r>
              <w:rPr>
                <w:rFonts w:ascii="Arial" w:cs="Arial" w:eastAsia="Arial" w:hAnsi="Arial"/>
                <w:sz w:val="11"/>
                <w:szCs w:val="11"/>
                <w:color w:val="auto"/>
              </w:rPr>
              <w:t>(54,39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(116,81</w:t>
            </w: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54,390</w:t>
            </w: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shd w:val="clear" w:color="auto" w:fill="CFF0FC"/>
          </w:tcPr>
          <w:p>
            <w:pPr>
              <w:jc w:val="right"/>
              <w:spacing w:after="0" w:line="108" w:lineRule="exact"/>
              <w:rPr>
                <w:sz w:val="20"/>
                <w:szCs w:val="20"/>
                <w:color w:val="auto"/>
              </w:rPr>
            </w:pPr>
            <w:r>
              <w:rPr>
                <w:rFonts w:ascii="Arial" w:cs="Arial" w:eastAsia="Arial" w:hAnsi="Arial"/>
                <w:sz w:val="11"/>
                <w:szCs w:val="11"/>
                <w:color w:val="auto"/>
              </w:rPr>
              <w:t>116,</w:t>
            </w: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initial public offering</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0,928 )</w:t>
            </w:r>
          </w:p>
        </w:tc>
        <w:tc>
          <w:tcPr>
            <w:tcW w:w="10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8 )</w:t>
            </w:r>
          </w:p>
        </w:tc>
        <w:tc>
          <w:tcPr>
            <w:tcW w:w="7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,928</w:t>
            </w:r>
          </w:p>
        </w:tc>
        <w:tc>
          <w:tcPr>
            <w:tcW w:w="180" w:type="dxa"/>
            <w:vAlign w:val="bottom"/>
            <w:shd w:val="clear" w:color="auto" w:fill="CFF0FC"/>
          </w:tcPr>
          <w:p>
            <w:pPr>
              <w:spacing w:after="0"/>
              <w:rPr>
                <w:sz w:val="13"/>
                <w:szCs w:val="13"/>
                <w:color w:val="auto"/>
              </w:rPr>
            </w:pPr>
          </w:p>
        </w:tc>
        <w:tc>
          <w:tcPr>
            <w:tcW w:w="340" w:type="dxa"/>
            <w:vAlign w:val="bottom"/>
            <w:tcBorders>
              <w:left w:val="single" w:sz="8" w:color="CFF0FC"/>
            </w:tcBorders>
            <w:shd w:val="clear" w:color="auto" w:fill="CFF0FC"/>
          </w:tcPr>
          <w:p>
            <w:pPr>
              <w:spacing w:after="0"/>
              <w:rPr>
                <w:sz w:val="13"/>
                <w:szCs w:val="13"/>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5</w:t>
            </w:r>
          </w:p>
        </w:tc>
        <w:tc>
          <w:tcPr>
            <w:tcW w:w="200" w:type="dxa"/>
            <w:vAlign w:val="bottom"/>
            <w:tcBorders>
              <w:right w:val="single" w:sz="8" w:color="CFF0FC"/>
            </w:tcBorders>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320" w:type="dxa"/>
            <w:vAlign w:val="bottom"/>
            <w:tcBorders>
              <w:left w:val="single" w:sz="8" w:color="CFF0FC"/>
            </w:tcBorders>
            <w:shd w:val="clear" w:color="auto" w:fill="CFF0FC"/>
          </w:tcPr>
          <w:p>
            <w:pPr>
              <w:spacing w:after="0"/>
              <w:rPr>
                <w:sz w:val="13"/>
                <w:szCs w:val="13"/>
                <w:color w:val="auto"/>
              </w:rPr>
            </w:pP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813</w:t>
            </w:r>
          </w:p>
        </w:tc>
        <w:tc>
          <w:tcPr>
            <w:tcW w:w="140" w:type="dxa"/>
            <w:vAlign w:val="bottom"/>
            <w:shd w:val="clear" w:color="auto" w:fill="CFF0FC"/>
          </w:tcPr>
          <w:p>
            <w:pPr>
              <w:spacing w:after="0"/>
              <w:rPr>
                <w:sz w:val="13"/>
                <w:szCs w:val="13"/>
                <w:color w:val="auto"/>
              </w:rPr>
            </w:pPr>
          </w:p>
        </w:tc>
        <w:tc>
          <w:tcPr>
            <w:tcW w:w="18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116,818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240" w:type="dxa"/>
            <w:vAlign w:val="bottom"/>
          </w:tcPr>
          <w:p>
            <w:pPr>
              <w:ind w:left="20"/>
              <w:spacing w:after="0" w:line="119" w:lineRule="exact"/>
              <w:rPr>
                <w:sz w:val="20"/>
                <w:szCs w:val="20"/>
                <w:color w:val="auto"/>
              </w:rPr>
            </w:pPr>
            <w:r>
              <w:rPr>
                <w:rFonts w:ascii="Arial" w:cs="Arial" w:eastAsia="Arial" w:hAnsi="Arial"/>
                <w:sz w:val="11"/>
                <w:szCs w:val="11"/>
                <w:color w:val="auto"/>
              </w:rPr>
              <w:t>Conversion of</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redeemable</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convertible preferred</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1"/>
                <w:szCs w:val="11"/>
                <w:color w:val="auto"/>
              </w:rPr>
              <w:t>5,98</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Pr>
          <w:p>
            <w:pPr>
              <w:ind w:left="120"/>
              <w:spacing w:after="0" w:line="122" w:lineRule="exact"/>
              <w:rPr>
                <w:sz w:val="20"/>
                <w:szCs w:val="20"/>
                <w:color w:val="auto"/>
              </w:rPr>
            </w:pPr>
            <w:r>
              <w:rPr>
                <w:rFonts w:ascii="Arial" w:cs="Arial" w:eastAsia="Arial" w:hAnsi="Arial"/>
                <w:sz w:val="11"/>
                <w:szCs w:val="11"/>
                <w:color w:val="auto"/>
              </w:rPr>
              <w:t>stock upon initial</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(13,81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(179,51</w:t>
            </w:r>
          </w:p>
        </w:tc>
        <w:tc>
          <w:tcPr>
            <w:tcW w:w="340" w:type="dxa"/>
            <w:vAlign w:val="bottom"/>
            <w:tcBorders>
              <w:right w:val="single" w:sz="8" w:color="auto"/>
            </w:tcBorders>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7,823,</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8,37</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179,</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120"/>
              <w:spacing w:after="0"/>
              <w:rPr>
                <w:sz w:val="20"/>
                <w:szCs w:val="20"/>
                <w:color w:val="auto"/>
              </w:rPr>
            </w:pPr>
            <w:r>
              <w:rPr>
                <w:rFonts w:ascii="Arial" w:cs="Arial" w:eastAsia="Arial" w:hAnsi="Arial"/>
                <w:sz w:val="11"/>
                <w:szCs w:val="11"/>
                <w:color w:val="auto"/>
              </w:rPr>
              <w:t>public offering</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1,856 )</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7 )</w:t>
            </w:r>
          </w:p>
        </w:tc>
        <w:tc>
          <w:tcPr>
            <w:tcW w:w="500" w:type="dxa"/>
            <w:vAlign w:val="bottom"/>
          </w:tcPr>
          <w:p>
            <w:pPr>
              <w:jc w:val="right"/>
              <w:spacing w:after="0"/>
              <w:rPr>
                <w:sz w:val="20"/>
                <w:szCs w:val="20"/>
                <w:color w:val="auto"/>
              </w:rPr>
            </w:pPr>
            <w:r>
              <w:rPr>
                <w:rFonts w:ascii="Arial" w:cs="Arial" w:eastAsia="Arial" w:hAnsi="Arial"/>
                <w:sz w:val="11"/>
                <w:szCs w:val="11"/>
                <w:color w:val="auto"/>
              </w:rPr>
              <w:t>478</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515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179,517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Issuance of common</w:t>
            </w: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340" w:type="dxa"/>
            <w:vAlign w:val="bottom"/>
            <w:tcBorders>
              <w:right w:val="single" w:sz="8" w:color="auto"/>
            </w:tcBorders>
            <w:shd w:val="clear" w:color="auto" w:fill="CFF0FC"/>
          </w:tcPr>
          <w:p>
            <w:pPr>
              <w:spacing w:after="0"/>
              <w:rPr>
                <w:sz w:val="10"/>
                <w:szCs w:val="10"/>
                <w:color w:val="auto"/>
              </w:rPr>
            </w:pPr>
          </w:p>
        </w:tc>
        <w:tc>
          <w:tcPr>
            <w:tcW w:w="5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4,117,</w:t>
            </w:r>
          </w:p>
        </w:tc>
        <w:tc>
          <w:tcPr>
            <w:tcW w:w="180" w:type="dxa"/>
            <w:vAlign w:val="bottom"/>
            <w:shd w:val="clear" w:color="auto" w:fill="CFF0FC"/>
          </w:tcPr>
          <w:p>
            <w:pPr>
              <w:spacing w:after="0"/>
              <w:rPr>
                <w:sz w:val="10"/>
                <w:szCs w:val="10"/>
                <w:color w:val="auto"/>
              </w:rPr>
            </w:pPr>
          </w:p>
        </w:tc>
        <w:tc>
          <w:tcPr>
            <w:tcW w:w="34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spacing w:after="0"/>
              <w:rPr>
                <w:sz w:val="10"/>
                <w:szCs w:val="10"/>
                <w:color w:val="auto"/>
              </w:rPr>
            </w:pPr>
          </w:p>
        </w:tc>
        <w:tc>
          <w:tcPr>
            <w:tcW w:w="3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3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3,79</w:t>
            </w:r>
          </w:p>
        </w:tc>
        <w:tc>
          <w:tcPr>
            <w:tcW w:w="140" w:type="dxa"/>
            <w:vAlign w:val="bottom"/>
            <w:shd w:val="clear" w:color="auto" w:fill="CFF0FC"/>
          </w:tcPr>
          <w:p>
            <w:pPr>
              <w:spacing w:after="0"/>
              <w:rPr>
                <w:sz w:val="10"/>
                <w:szCs w:val="10"/>
                <w:color w:val="auto"/>
              </w:rPr>
            </w:pPr>
          </w:p>
        </w:tc>
        <w:tc>
          <w:tcPr>
            <w:tcW w:w="180" w:type="dxa"/>
            <w:vAlign w:val="bottom"/>
            <w:tcBorders>
              <w:lef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ind w:left="120"/>
              <w:spacing w:after="0" w:line="108" w:lineRule="exact"/>
              <w:rPr>
                <w:sz w:val="20"/>
                <w:szCs w:val="20"/>
                <w:color w:val="auto"/>
              </w:rPr>
            </w:pPr>
            <w:r>
              <w:rPr>
                <w:rFonts w:ascii="Arial" w:cs="Arial" w:eastAsia="Arial" w:hAnsi="Arial"/>
                <w:sz w:val="11"/>
                <w:szCs w:val="11"/>
                <w:color w:val="auto"/>
              </w:rPr>
              <w:t>stock upon exercise</w:t>
            </w: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tcBorders>
              <w:right w:val="single" w:sz="8" w:color="CFF0FC"/>
            </w:tcBorders>
            <w:shd w:val="clear" w:color="auto" w:fill="CFF0FC"/>
          </w:tcPr>
          <w:p>
            <w:pPr>
              <w:spacing w:after="0"/>
              <w:rPr>
                <w:sz w:val="9"/>
                <w:szCs w:val="9"/>
                <w:color w:val="auto"/>
              </w:rPr>
            </w:pPr>
          </w:p>
        </w:tc>
        <w:tc>
          <w:tcPr>
            <w:tcW w:w="340" w:type="dxa"/>
            <w:vAlign w:val="bottom"/>
            <w:tcBorders>
              <w:right w:val="single" w:sz="8" w:color="auto"/>
            </w:tcBorders>
            <w:shd w:val="clear" w:color="auto" w:fill="CFF0FC"/>
          </w:tcPr>
          <w:p>
            <w:pPr>
              <w:spacing w:after="0"/>
              <w:rPr>
                <w:sz w:val="9"/>
                <w:szCs w:val="9"/>
                <w:color w:val="auto"/>
              </w:rPr>
            </w:pPr>
          </w:p>
        </w:tc>
        <w:tc>
          <w:tcPr>
            <w:tcW w:w="500" w:type="dxa"/>
            <w:vAlign w:val="bottom"/>
            <w:tcBorders>
              <w:right w:val="single" w:sz="8" w:color="CFF0FC"/>
            </w:tcBorders>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tcBorders>
              <w:left w:val="single" w:sz="8" w:color="CFF0FC"/>
            </w:tcBorders>
            <w:shd w:val="clear" w:color="auto" w:fill="CFF0FC"/>
          </w:tcPr>
          <w:p>
            <w:pPr>
              <w:spacing w:after="0"/>
              <w:rPr>
                <w:sz w:val="9"/>
                <w:szCs w:val="9"/>
                <w:color w:val="auto"/>
              </w:rPr>
            </w:pPr>
          </w:p>
        </w:tc>
        <w:tc>
          <w:tcPr>
            <w:tcW w:w="3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320" w:type="dxa"/>
            <w:vAlign w:val="bottom"/>
            <w:tcBorders>
              <w:right w:val="single" w:sz="8" w:color="CFF0FC"/>
            </w:tcBorders>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tcBorders>
              <w:lef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FF0FC"/>
          </w:tcPr>
          <w:p>
            <w:pPr>
              <w:ind w:left="120"/>
              <w:spacing w:after="0"/>
              <w:rPr>
                <w:sz w:val="20"/>
                <w:szCs w:val="20"/>
                <w:color w:val="auto"/>
              </w:rPr>
            </w:pPr>
            <w:r>
              <w:rPr>
                <w:rFonts w:ascii="Arial" w:cs="Arial" w:eastAsia="Arial" w:hAnsi="Arial"/>
                <w:sz w:val="11"/>
                <w:szCs w:val="11"/>
                <w:color w:val="auto"/>
              </w:rPr>
              <w:t>of stock options</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604</w:t>
            </w:r>
          </w:p>
        </w:tc>
        <w:tc>
          <w:tcPr>
            <w:tcW w:w="180" w:type="dxa"/>
            <w:vAlign w:val="bottom"/>
            <w:shd w:val="clear" w:color="auto" w:fill="CFF0FC"/>
          </w:tcPr>
          <w:p>
            <w:pPr>
              <w:spacing w:after="0"/>
              <w:rPr>
                <w:sz w:val="12"/>
                <w:szCs w:val="12"/>
                <w:color w:val="auto"/>
              </w:rPr>
            </w:pPr>
          </w:p>
        </w:tc>
        <w:tc>
          <w:tcPr>
            <w:tcW w:w="340" w:type="dxa"/>
            <w:vAlign w:val="bottom"/>
            <w:tcBorders>
              <w:left w:val="single" w:sz="8" w:color="CFF0FC"/>
            </w:tcBorders>
            <w:shd w:val="clear" w:color="auto" w:fill="CFF0FC"/>
          </w:tcPr>
          <w:p>
            <w:pPr>
              <w:spacing w:after="0"/>
              <w:rPr>
                <w:sz w:val="12"/>
                <w:szCs w:val="12"/>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w:t>
            </w:r>
          </w:p>
        </w:tc>
        <w:tc>
          <w:tcPr>
            <w:tcW w:w="200" w:type="dxa"/>
            <w:vAlign w:val="bottom"/>
            <w:tcBorders>
              <w:right w:val="single" w:sz="8" w:color="CFF0FC"/>
            </w:tcBorders>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320" w:type="dxa"/>
            <w:vAlign w:val="bottom"/>
            <w:tcBorders>
              <w:left w:val="single" w:sz="8" w:color="CFF0FC"/>
            </w:tcBorders>
            <w:shd w:val="clear" w:color="auto" w:fill="CFF0FC"/>
          </w:tcPr>
          <w:p>
            <w:pPr>
              <w:spacing w:after="0"/>
              <w:rPr>
                <w:sz w:val="12"/>
                <w:szCs w:val="12"/>
                <w:color w:val="auto"/>
              </w:rPr>
            </w:pP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lef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4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-3886835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-3886835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-3886835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-3886835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-3886835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-3886835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-3886835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-3886835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-3886835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-3886835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-3886835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-3886835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-3886835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-3886835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tcBorders>
              <w:top w:val="single" w:sz="8" w:color="0000FF"/>
            </w:tcBorders>
            <w:gridSpan w:val="2"/>
            <w:vMerge w:val="restart"/>
          </w:tcPr>
          <w:p>
            <w:pPr>
              <w:ind w:left="20"/>
              <w:spacing w:after="0"/>
              <w:rPr>
                <w:sz w:val="20"/>
                <w:szCs w:val="20"/>
                <w:color w:val="auto"/>
              </w:rPr>
            </w:pPr>
            <w:r>
              <w:rPr>
                <w:rFonts w:ascii="Arial" w:cs="Arial" w:eastAsia="Arial" w:hAnsi="Arial"/>
                <w:sz w:val="11"/>
                <w:szCs w:val="11"/>
                <w:color w:val="auto"/>
              </w:rPr>
              <w:t>Reclassification of</w:t>
            </w:r>
          </w:p>
        </w:tc>
        <w:tc>
          <w:tcPr>
            <w:tcW w:w="100" w:type="dxa"/>
            <w:vAlign w:val="bottom"/>
            <w:vMerge w:val="restart"/>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4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gridSpan w:val="3"/>
          </w:tcPr>
          <w:p>
            <w:pPr>
              <w:ind w:left="120"/>
              <w:spacing w:after="0" w:line="108" w:lineRule="exact"/>
              <w:rPr>
                <w:sz w:val="20"/>
                <w:szCs w:val="20"/>
                <w:color w:val="auto"/>
              </w:rPr>
            </w:pPr>
            <w:r>
              <w:rPr>
                <w:rFonts w:ascii="Arial" w:cs="Arial" w:eastAsia="Arial" w:hAnsi="Arial"/>
                <w:sz w:val="11"/>
                <w:szCs w:val="11"/>
                <w:color w:val="auto"/>
              </w:rPr>
              <w:t>warrant liability</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500" w:type="dxa"/>
            <w:vAlign w:val="bottom"/>
            <w:gridSpan w:val="3"/>
          </w:tcPr>
          <w:p>
            <w:pPr>
              <w:ind w:left="120"/>
              <w:spacing w:after="0" w:line="122" w:lineRule="exact"/>
              <w:rPr>
                <w:sz w:val="20"/>
                <w:szCs w:val="20"/>
                <w:color w:val="auto"/>
              </w:rPr>
            </w:pPr>
            <w:r>
              <w:rPr>
                <w:rFonts w:ascii="Arial" w:cs="Arial" w:eastAsia="Arial" w:hAnsi="Arial"/>
                <w:sz w:val="11"/>
                <w:szCs w:val="11"/>
                <w:color w:val="auto"/>
              </w:rPr>
              <w:t>to additional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gridSpan w:val="3"/>
          </w:tcPr>
          <w:p>
            <w:pPr>
              <w:ind w:left="120"/>
              <w:spacing w:after="0" w:line="108" w:lineRule="exact"/>
              <w:rPr>
                <w:sz w:val="20"/>
                <w:szCs w:val="20"/>
                <w:color w:val="auto"/>
              </w:rPr>
            </w:pPr>
            <w:r>
              <w:rPr>
                <w:rFonts w:ascii="Arial" w:cs="Arial" w:eastAsia="Arial" w:hAnsi="Arial"/>
                <w:sz w:val="11"/>
                <w:szCs w:val="11"/>
                <w:color w:val="auto"/>
              </w:rPr>
              <w:t>paid-in capital upon</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1"/>
                <w:szCs w:val="11"/>
                <w:color w:val="auto"/>
              </w:rPr>
              <w:t>6,27</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500" w:type="dxa"/>
            <w:vAlign w:val="bottom"/>
            <w:gridSpan w:val="3"/>
          </w:tcPr>
          <w:p>
            <w:pPr>
              <w:ind w:left="120"/>
              <w:spacing w:after="0"/>
              <w:rPr>
                <w:sz w:val="20"/>
                <w:szCs w:val="20"/>
                <w:color w:val="auto"/>
              </w:rPr>
            </w:pPr>
            <w:r>
              <w:rPr>
                <w:rFonts w:ascii="Arial" w:cs="Arial" w:eastAsia="Arial" w:hAnsi="Arial"/>
                <w:sz w:val="11"/>
                <w:szCs w:val="11"/>
                <w:color w:val="auto"/>
              </w:rPr>
              <w:t>initial public offering</w:t>
            </w:r>
          </w:p>
        </w:tc>
        <w:tc>
          <w:tcPr>
            <w:tcW w:w="70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960" w:type="dxa"/>
            <w:vAlign w:val="bottom"/>
            <w:gridSpan w:val="3"/>
          </w:tcPr>
          <w:p>
            <w:pPr>
              <w:ind w:left="360"/>
              <w:spacing w:after="0"/>
              <w:rPr>
                <w:sz w:val="20"/>
                <w:szCs w:val="20"/>
                <w:color w:val="auto"/>
              </w:rPr>
            </w:pPr>
            <w:r>
              <w:rPr>
                <w:rFonts w:ascii="Arial" w:cs="Arial" w:eastAsia="Arial" w:hAnsi="Arial"/>
                <w:sz w:val="11"/>
                <w:szCs w:val="11"/>
                <w:color w:val="auto"/>
              </w:rPr>
              <w: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6,272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500" w:type="dxa"/>
            <w:vAlign w:val="bottom"/>
            <w:gridSpan w:val="3"/>
            <w:shd w:val="clear" w:color="auto" w:fill="CFF0FC"/>
          </w:tcPr>
          <w:p>
            <w:pPr>
              <w:ind w:left="20"/>
              <w:spacing w:after="0" w:line="109" w:lineRule="exact"/>
              <w:rPr>
                <w:sz w:val="20"/>
                <w:szCs w:val="20"/>
                <w:color w:val="auto"/>
              </w:rPr>
            </w:pPr>
            <w:r>
              <w:rPr>
                <w:rFonts w:ascii="Arial" w:cs="Arial" w:eastAsia="Arial" w:hAnsi="Arial"/>
                <w:sz w:val="11"/>
                <w:szCs w:val="11"/>
                <w:color w:val="auto"/>
              </w:rPr>
              <w:t>Exercise of common</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600" w:type="dxa"/>
            <w:vAlign w:val="bottom"/>
            <w:gridSpan w:val="2"/>
            <w:shd w:val="clear" w:color="auto" w:fill="CFF0FC"/>
          </w:tcPr>
          <w:p>
            <w:pPr>
              <w:jc w:val="right"/>
              <w:spacing w:after="0" w:line="109" w:lineRule="exact"/>
              <w:rPr>
                <w:sz w:val="20"/>
                <w:szCs w:val="20"/>
                <w:color w:val="auto"/>
              </w:rPr>
            </w:pPr>
            <w:r>
              <w:rPr>
                <w:rFonts w:ascii="Arial" w:cs="Arial" w:eastAsia="Arial" w:hAnsi="Arial"/>
                <w:sz w:val="11"/>
                <w:szCs w:val="11"/>
                <w:color w:val="auto"/>
              </w:rPr>
              <w:t>417,02</w:t>
            </w: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5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stock warrants</w:t>
            </w:r>
          </w:p>
        </w:tc>
        <w:tc>
          <w:tcPr>
            <w:tcW w:w="7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960" w:type="dxa"/>
            <w:vAlign w:val="bottom"/>
            <w:gridSpan w:val="3"/>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76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500" w:type="dxa"/>
            <w:vAlign w:val="bottom"/>
            <w:gridSpan w:val="3"/>
          </w:tcPr>
          <w:p>
            <w:pPr>
              <w:ind w:left="20"/>
              <w:spacing w:after="0" w:line="105" w:lineRule="exact"/>
              <w:rPr>
                <w:sz w:val="20"/>
                <w:szCs w:val="20"/>
                <w:color w:val="auto"/>
              </w:rPr>
            </w:pPr>
            <w:r>
              <w:rPr>
                <w:rFonts w:ascii="Arial" w:cs="Arial" w:eastAsia="Arial" w:hAnsi="Arial"/>
                <w:sz w:val="11"/>
                <w:szCs w:val="11"/>
                <w:color w:val="auto"/>
              </w:rPr>
              <w:t>Foreign currency</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gridSpan w:val="3"/>
          </w:tcPr>
          <w:p>
            <w:pPr>
              <w:ind w:left="120"/>
              <w:spacing w:after="0" w:line="108" w:lineRule="exact"/>
              <w:rPr>
                <w:sz w:val="20"/>
                <w:szCs w:val="20"/>
                <w:color w:val="auto"/>
              </w:rPr>
            </w:pPr>
            <w:r>
              <w:rPr>
                <w:rFonts w:ascii="Arial" w:cs="Arial" w:eastAsia="Arial" w:hAnsi="Arial"/>
                <w:sz w:val="11"/>
                <w:szCs w:val="11"/>
                <w:color w:val="auto"/>
              </w:rPr>
              <w:t>translation</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500" w:type="dxa"/>
            <w:vAlign w:val="bottom"/>
            <w:gridSpan w:val="3"/>
          </w:tcPr>
          <w:p>
            <w:pPr>
              <w:ind w:left="20"/>
              <w:spacing w:after="0"/>
              <w:rPr>
                <w:sz w:val="20"/>
                <w:szCs w:val="20"/>
                <w:color w:val="auto"/>
              </w:rPr>
            </w:pPr>
            <w:r>
              <w:rPr>
                <w:rFonts w:ascii="Arial" w:cs="Arial" w:eastAsia="Arial" w:hAnsi="Arial"/>
                <w:sz w:val="11"/>
                <w:szCs w:val="11"/>
                <w:color w:val="auto"/>
              </w:rPr>
              <w:t>adjustment</w:t>
            </w:r>
          </w:p>
        </w:tc>
        <w:tc>
          <w:tcPr>
            <w:tcW w:w="70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960" w:type="dxa"/>
            <w:vAlign w:val="bottom"/>
            <w:gridSpan w:val="3"/>
          </w:tcPr>
          <w:p>
            <w:pPr>
              <w:ind w:left="360"/>
              <w:spacing w:after="0"/>
              <w:rPr>
                <w:sz w:val="20"/>
                <w:szCs w:val="20"/>
                <w:color w:val="auto"/>
              </w:rPr>
            </w:pPr>
            <w:r>
              <w:rPr>
                <w:rFonts w:ascii="Arial" w:cs="Arial" w:eastAsia="Arial" w:hAnsi="Arial"/>
                <w:sz w:val="11"/>
                <w:szCs w:val="11"/>
                <w:color w:val="auto"/>
              </w:rPr>
              <w: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500" w:type="dxa"/>
            <w:vAlign w:val="bottom"/>
            <w:gridSpan w:val="3"/>
            <w:shd w:val="clear" w:color="auto" w:fill="CFF0FC"/>
          </w:tcPr>
          <w:p>
            <w:pPr>
              <w:ind w:left="20"/>
              <w:spacing w:after="0" w:line="109" w:lineRule="exact"/>
              <w:rPr>
                <w:sz w:val="20"/>
                <w:szCs w:val="20"/>
                <w:color w:val="auto"/>
              </w:rPr>
            </w:pPr>
            <w:r>
              <w:rPr>
                <w:rFonts w:ascii="Arial" w:cs="Arial" w:eastAsia="Arial" w:hAnsi="Arial"/>
                <w:sz w:val="11"/>
                <w:szCs w:val="11"/>
                <w:color w:val="auto"/>
              </w:rPr>
              <w:t>Stock-based</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gridSpan w:val="3"/>
            <w:shd w:val="clear" w:color="auto" w:fill="CFF0FC"/>
          </w:tcPr>
          <w:p>
            <w:pPr>
              <w:ind w:left="120"/>
              <w:spacing w:after="0" w:line="108" w:lineRule="exact"/>
              <w:rPr>
                <w:sz w:val="20"/>
                <w:szCs w:val="20"/>
                <w:color w:val="auto"/>
              </w:rPr>
            </w:pPr>
            <w:r>
              <w:rPr>
                <w:rFonts w:ascii="Arial" w:cs="Arial" w:eastAsia="Arial" w:hAnsi="Arial"/>
                <w:sz w:val="11"/>
                <w:szCs w:val="11"/>
                <w:color w:val="auto"/>
              </w:rPr>
              <w:t>compensation</w:t>
            </w: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8" w:lineRule="exact"/>
              <w:rPr>
                <w:sz w:val="20"/>
                <w:szCs w:val="20"/>
                <w:color w:val="auto"/>
              </w:rPr>
            </w:pPr>
            <w:r>
              <w:rPr>
                <w:rFonts w:ascii="Arial" w:cs="Arial" w:eastAsia="Arial" w:hAnsi="Arial"/>
                <w:sz w:val="11"/>
                <w:szCs w:val="11"/>
                <w:color w:val="auto"/>
              </w:rPr>
              <w:t>12,7</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5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7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960" w:type="dxa"/>
            <w:vAlign w:val="bottom"/>
            <w:gridSpan w:val="3"/>
            <w:shd w:val="clear" w:color="auto" w:fill="CFF0FC"/>
          </w:tcPr>
          <w:p>
            <w:pPr>
              <w:ind w:left="3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760" w:type="dxa"/>
            <w:vAlign w:val="bottom"/>
            <w:gridSpan w:val="3"/>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500" w:type="dxa"/>
            <w:vAlign w:val="bottom"/>
            <w:gridSpan w:val="3"/>
          </w:tcPr>
          <w:p>
            <w:pPr>
              <w:ind w:left="20"/>
              <w:spacing w:after="0"/>
              <w:rPr>
                <w:sz w:val="20"/>
                <w:szCs w:val="20"/>
                <w:color w:val="auto"/>
              </w:rPr>
            </w:pPr>
            <w:r>
              <w:rPr>
                <w:rFonts w:ascii="Arial" w:cs="Arial" w:eastAsia="Arial" w:hAnsi="Arial"/>
                <w:sz w:val="11"/>
                <w:szCs w:val="11"/>
                <w:color w:val="auto"/>
              </w:rPr>
              <w:t>Net loss</w:t>
            </w:r>
          </w:p>
        </w:tc>
        <w:tc>
          <w:tcPr>
            <w:tcW w:w="700" w:type="dxa"/>
            <w:vAlign w:val="bottom"/>
            <w:gridSpan w:val="3"/>
          </w:tcPr>
          <w:p>
            <w:pPr>
              <w:ind w:left="120"/>
              <w:spacing w:after="0"/>
              <w:rPr>
                <w:sz w:val="20"/>
                <w:szCs w:val="20"/>
                <w:color w:val="auto"/>
              </w:rPr>
            </w:pPr>
            <w:r>
              <w:rPr>
                <w:rFonts w:ascii="Arial" w:cs="Arial" w:eastAsia="Arial" w:hAnsi="Arial"/>
                <w:sz w:val="11"/>
                <w:szCs w:val="11"/>
                <w:color w:val="auto"/>
              </w:rPr>
              <w:t>—</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960" w:type="dxa"/>
            <w:vAlign w:val="bottom"/>
            <w:gridSpan w:val="3"/>
          </w:tcPr>
          <w:p>
            <w:pPr>
              <w:ind w:left="360"/>
              <w:spacing w:after="0"/>
              <w:rPr>
                <w:sz w:val="20"/>
                <w:szCs w:val="20"/>
                <w:color w:val="auto"/>
              </w:rPr>
            </w:pPr>
            <w:r>
              <w:rPr>
                <w:rFonts w:ascii="Arial" w:cs="Arial" w:eastAsia="Arial" w:hAnsi="Arial"/>
                <w:sz w:val="11"/>
                <w:szCs w:val="11"/>
                <w:color w:val="auto"/>
              </w:rPr>
              <w: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w w:val="99"/>
              </w:rPr>
              <w:t>(26,798 )</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(26,798 )</w:t>
            </w:r>
          </w:p>
        </w:tc>
        <w:tc>
          <w:tcPr>
            <w:tcW w:w="0" w:type="dxa"/>
            <w:vAlign w:val="bottom"/>
          </w:tcPr>
          <w:p>
            <w:pPr>
              <w:spacing w:after="0"/>
              <w:rPr>
                <w:sz w:val="1"/>
                <w:szCs w:val="1"/>
                <w:color w:val="auto"/>
              </w:rPr>
            </w:pPr>
          </w:p>
        </w:tc>
      </w:tr>
      <w:tr>
        <w:trPr>
          <w:trHeight w:val="93"/>
        </w:trPr>
        <w:tc>
          <w:tcPr>
            <w:tcW w:w="1240" w:type="dxa"/>
            <w:vAlign w:val="bottom"/>
            <w:shd w:val="clear" w:color="auto" w:fill="CFF0FC"/>
          </w:tcPr>
          <w:p>
            <w:pPr>
              <w:ind w:left="20"/>
              <w:spacing w:after="0" w:line="93" w:lineRule="exact"/>
              <w:rPr>
                <w:sz w:val="20"/>
                <w:szCs w:val="20"/>
                <w:color w:val="auto"/>
              </w:rPr>
            </w:pPr>
            <w:r>
              <w:rPr>
                <w:rFonts w:ascii="Arial" w:cs="Arial" w:eastAsia="Arial" w:hAnsi="Arial"/>
                <w:sz w:val="10"/>
                <w:szCs w:val="10"/>
                <w:b w:val="1"/>
                <w:bCs w:val="1"/>
                <w:color w:val="auto"/>
              </w:rPr>
              <w:t>Balances at June 30,</w:t>
            </w:r>
          </w:p>
        </w:tc>
        <w:tc>
          <w:tcPr>
            <w:tcW w:w="1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5,98</w:t>
            </w:r>
          </w:p>
        </w:tc>
        <w:tc>
          <w:tcPr>
            <w:tcW w:w="200" w:type="dxa"/>
            <w:vAlign w:val="bottom"/>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40" w:type="dxa"/>
            <w:vAlign w:val="bottom"/>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2021</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1"/>
                <w:szCs w:val="11"/>
                <w:color w:val="auto"/>
              </w:rPr>
              <w:t>100,99</w:t>
            </w: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1"/>
                <w:szCs w:val="11"/>
                <w:color w:val="auto"/>
              </w:rPr>
              <w:t>8,37</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1"/>
                <w:szCs w:val="11"/>
                <w:color w:val="auto"/>
              </w:rPr>
              <w:t>(2,31</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600,</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9" w:lineRule="exact"/>
              <w:rPr>
                <w:sz w:val="20"/>
                <w:szCs w:val="20"/>
                <w:color w:val="auto"/>
              </w:rPr>
            </w:pPr>
            <w:r>
              <w:rPr>
                <w:rFonts w:ascii="Arial" w:cs="Arial" w:eastAsia="Arial" w:hAnsi="Arial"/>
                <w:sz w:val="11"/>
                <w:szCs w:val="11"/>
                <w:color w:val="auto"/>
              </w:rPr>
              <w:t>(124,57</w:t>
            </w: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FF0FC"/>
          </w:tcPr>
          <w:p>
            <w:pPr>
              <w:ind w:left="1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960" w:type="dxa"/>
            <w:vAlign w:val="bottom"/>
            <w:gridSpan w:val="3"/>
            <w:shd w:val="clear" w:color="auto" w:fill="CFF0FC"/>
          </w:tcPr>
          <w:p>
            <w:pPr>
              <w:ind w:left="360"/>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shd w:val="clear" w:color="auto" w:fill="CFF0FC"/>
          </w:tcPr>
          <w:p>
            <w:pPr>
              <w:spacing w:after="0"/>
              <w:rPr>
                <w:sz w:val="12"/>
                <w:szCs w:val="12"/>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5,903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960" w:type="dxa"/>
            <w:vAlign w:val="bottom"/>
            <w:gridSpan w:val="4"/>
            <w:shd w:val="clear" w:color="auto" w:fill="CFF0FC"/>
          </w:tcPr>
          <w:p>
            <w:pPr>
              <w:jc w:val="right"/>
              <w:ind w:right="80"/>
              <w:spacing w:after="0"/>
              <w:rPr>
                <w:sz w:val="20"/>
                <w:szCs w:val="20"/>
                <w:color w:val="auto"/>
              </w:rPr>
            </w:pPr>
            <w:r>
              <w:rPr>
                <w:rFonts w:ascii="Arial" w:cs="Arial" w:eastAsia="Arial" w:hAnsi="Arial"/>
                <w:sz w:val="11"/>
                <w:szCs w:val="11"/>
                <w:color w:val="auto"/>
              </w:rPr>
              <w:t>7,722 )   $</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(748 )</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  236</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0 )</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   474,978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(33,946 )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(26,798 )</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Amortization of deferred contract costs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preferred stock warrant liability</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(950 )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tax provision</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(101 )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8"/>
                <w:szCs w:val="18"/>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5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(3,709 )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(128 )</w:t>
            </w: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Unbilled receivables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(620 )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Funds receivable from payment partners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other current assets and other assets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(3,677 )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(7,817 )</w:t>
            </w: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Funds payable to clients</w:t>
            </w:r>
          </w:p>
        </w:tc>
        <w:tc>
          <w:tcPr>
            <w:tcW w:w="36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(8,988 )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(14,475 )</w:t>
            </w: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 accrued expenses and other current liabilities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(4,524 )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(3,212 )</w:t>
            </w: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(764 )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(436 )</w:t>
            </w:r>
          </w:p>
        </w:tc>
      </w:tr>
      <w:tr>
        <w:trPr>
          <w:trHeight w:val="209"/>
        </w:trPr>
        <w:tc>
          <w:tcPr>
            <w:tcW w:w="77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(27,591</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(3,633 )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(3,463 )</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Asset acquisition, net of cash acquired</w:t>
            </w:r>
          </w:p>
        </w:tc>
        <w:tc>
          <w:tcPr>
            <w:tcW w:w="360" w:type="dxa"/>
            <w:vAlign w:val="bottom"/>
          </w:tcPr>
          <w:p>
            <w:pPr>
              <w:spacing w:after="0"/>
              <w:rPr>
                <w:sz w:val="18"/>
                <w:szCs w:val="18"/>
                <w:color w:val="auto"/>
              </w:rPr>
            </w:pPr>
          </w:p>
        </w:tc>
        <w:tc>
          <w:tcPr>
            <w:tcW w:w="15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09"/>
        </w:trPr>
        <w:tc>
          <w:tcPr>
            <w:tcW w:w="77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77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Proceeds from initial public offering, net of underwriting discounts</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and commissions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268,694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Payment of deferred offering costs related to initial public offering</w:t>
            </w:r>
          </w:p>
        </w:tc>
        <w:tc>
          <w:tcPr>
            <w:tcW w:w="360" w:type="dxa"/>
            <w:vAlign w:val="bottom"/>
          </w:tcPr>
          <w:p>
            <w:pPr>
              <w:spacing w:after="0"/>
              <w:rPr>
                <w:sz w:val="18"/>
                <w:szCs w:val="18"/>
                <w:color w:val="auto"/>
              </w:rPr>
            </w:pPr>
          </w:p>
        </w:tc>
        <w:tc>
          <w:tcPr>
            <w:tcW w:w="15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(3,845 )</w:t>
            </w:r>
          </w:p>
        </w:tc>
      </w:tr>
      <w:tr>
        <w:trPr>
          <w:trHeight w:val="188"/>
        </w:trPr>
        <w:tc>
          <w:tcPr>
            <w:tcW w:w="77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Proceeds from issuance of redeemable convertible preferred stock, net</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of issuance costs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tcPr>
          <w:p>
            <w:pPr>
              <w:spacing w:after="0"/>
              <w:rPr>
                <w:sz w:val="18"/>
                <w:szCs w:val="18"/>
                <w:color w:val="auto"/>
              </w:rPr>
            </w:pPr>
          </w:p>
        </w:tc>
        <w:tc>
          <w:tcPr>
            <w:tcW w:w="15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(3,320 )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(3,800 )</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Payments of tax withholdings for net settled option exercises</w:t>
            </w:r>
          </w:p>
        </w:tc>
        <w:tc>
          <w:tcPr>
            <w:tcW w:w="36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(756 )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78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Pr>
          <w:p>
            <w:pPr>
              <w:spacing w:after="0"/>
              <w:rPr>
                <w:sz w:val="18"/>
                <w:szCs w:val="18"/>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(1,783 )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324,870</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rates changes on cash and cash equivalents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9"/>
        </w:trPr>
        <w:tc>
          <w:tcPr>
            <w:tcW w:w="7700" w:type="dxa"/>
            <w:vAlign w:val="bottom"/>
          </w:tcPr>
          <w:p>
            <w:pPr>
              <w:ind w:left="20"/>
              <w:spacing w:after="0" w:line="159" w:lineRule="exact"/>
              <w:rPr>
                <w:sz w:val="20"/>
                <w:szCs w:val="20"/>
                <w:color w:val="auto"/>
              </w:rPr>
            </w:pPr>
            <w:r>
              <w:rPr>
                <w:rFonts w:ascii="Arial" w:cs="Arial" w:eastAsia="Arial" w:hAnsi="Arial"/>
                <w:sz w:val="18"/>
                <w:szCs w:val="18"/>
                <w:b w:val="1"/>
                <w:bCs w:val="1"/>
                <w:color w:val="auto"/>
              </w:rPr>
              <w:t>Net (decrease) increase in cash, cash equivalents and restricted</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7700" w:type="dxa"/>
            <w:vAlign w:val="bottom"/>
          </w:tcPr>
          <w:p>
            <w:pPr>
              <w:ind w:left="180"/>
              <w:spacing w:after="0"/>
              <w:rPr>
                <w:sz w:val="20"/>
                <w:szCs w:val="20"/>
                <w:color w:val="auto"/>
              </w:rPr>
            </w:pPr>
            <w:r>
              <w:rPr>
                <w:rFonts w:ascii="Arial" w:cs="Arial" w:eastAsia="Arial" w:hAnsi="Arial"/>
                <w:sz w:val="18"/>
                <w:szCs w:val="18"/>
                <w:b w:val="1"/>
                <w:bCs w:val="1"/>
                <w:color w:val="auto"/>
              </w:rPr>
              <w:t>cash</w:t>
            </w:r>
          </w:p>
        </w:tc>
        <w:tc>
          <w:tcPr>
            <w:tcW w:w="360" w:type="dxa"/>
            <w:vAlign w:val="bottom"/>
          </w:tcPr>
          <w:p>
            <w:pPr>
              <w:spacing w:after="0"/>
              <w:rPr>
                <w:sz w:val="20"/>
                <w:szCs w:val="20"/>
                <w:color w:val="auto"/>
              </w:rPr>
            </w:pPr>
          </w:p>
        </w:tc>
        <w:tc>
          <w:tcPr>
            <w:tcW w:w="1500" w:type="dxa"/>
            <w:vAlign w:val="bottom"/>
            <w:gridSpan w:val="2"/>
          </w:tcPr>
          <w:p>
            <w:pPr>
              <w:jc w:val="right"/>
              <w:ind w:right="141"/>
              <w:spacing w:after="0"/>
              <w:rPr>
                <w:sz w:val="20"/>
                <w:szCs w:val="20"/>
                <w:color w:val="auto"/>
              </w:rPr>
            </w:pPr>
            <w:r>
              <w:rPr>
                <w:rFonts w:ascii="Arial" w:cs="Arial" w:eastAsia="Arial" w:hAnsi="Arial"/>
                <w:sz w:val="18"/>
                <w:szCs w:val="18"/>
                <w:color w:val="auto"/>
              </w:rPr>
              <w:t>(26,776 )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307,974</w:t>
            </w:r>
          </w:p>
        </w:tc>
        <w:tc>
          <w:tcPr>
            <w:tcW w:w="100" w:type="dxa"/>
            <w:vAlign w:val="bottom"/>
          </w:tcPr>
          <w:p>
            <w:pPr>
              <w:spacing w:after="0"/>
              <w:rPr>
                <w:sz w:val="20"/>
                <w:szCs w:val="20"/>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389,360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362,584</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417,026</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-2773680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-2773680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-2208530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-864235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-572770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and noncash information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Cash paid during the period for interest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 in accounts payable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Accretion of redeemable convertible preferred stock</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Series C convertible preferred stock upon net exercise of warrants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Conversion of preferred stock warrants to common stock warrants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18"/>
                <w:szCs w:val="18"/>
                <w:color w:val="auto"/>
              </w:rPr>
            </w:pPr>
          </w:p>
        </w:tc>
      </w:tr>
      <w:tr>
        <w:trPr>
          <w:trHeight w:val="188"/>
        </w:trPr>
        <w:tc>
          <w:tcPr>
            <w:tcW w:w="77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Conversion of convertible preferred stock to common stock upon initial public</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offering</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116,818</w:t>
            </w:r>
          </w:p>
        </w:tc>
        <w:tc>
          <w:tcPr>
            <w:tcW w:w="100" w:type="dxa"/>
            <w:vAlign w:val="bottom"/>
            <w:shd w:val="clear" w:color="auto" w:fill="CFF0FC"/>
          </w:tcPr>
          <w:p>
            <w:pPr>
              <w:spacing w:after="0"/>
              <w:rPr>
                <w:sz w:val="18"/>
                <w:szCs w:val="18"/>
                <w:color w:val="auto"/>
              </w:rPr>
            </w:pPr>
          </w:p>
        </w:tc>
      </w:tr>
      <w:tr>
        <w:trPr>
          <w:trHeight w:val="188"/>
        </w:trPr>
        <w:tc>
          <w:tcPr>
            <w:tcW w:w="7700" w:type="dxa"/>
            <w:vAlign w:val="bottom"/>
          </w:tcPr>
          <w:p>
            <w:pPr>
              <w:ind w:left="20"/>
              <w:spacing w:after="0" w:line="188" w:lineRule="exact"/>
              <w:rPr>
                <w:sz w:val="20"/>
                <w:szCs w:val="20"/>
                <w:color w:val="auto"/>
              </w:rPr>
            </w:pPr>
            <w:r>
              <w:rPr>
                <w:rFonts w:ascii="Arial" w:cs="Arial" w:eastAsia="Arial" w:hAnsi="Arial"/>
                <w:sz w:val="18"/>
                <w:szCs w:val="18"/>
                <w:color w:val="auto"/>
              </w:rPr>
              <w:t>Conversion of redeemable convertible preferred stock to common stock upon</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700" w:type="dxa"/>
            <w:vAlign w:val="bottom"/>
          </w:tcPr>
          <w:p>
            <w:pPr>
              <w:ind w:left="180"/>
              <w:spacing w:after="0"/>
              <w:rPr>
                <w:sz w:val="20"/>
                <w:szCs w:val="20"/>
                <w:color w:val="auto"/>
              </w:rPr>
            </w:pPr>
            <w:r>
              <w:rPr>
                <w:rFonts w:ascii="Arial" w:cs="Arial" w:eastAsia="Arial" w:hAnsi="Arial"/>
                <w:sz w:val="18"/>
                <w:szCs w:val="18"/>
                <w:color w:val="auto"/>
              </w:rPr>
              <w:t>initial public offering</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179,986</w:t>
            </w:r>
          </w:p>
        </w:tc>
        <w:tc>
          <w:tcPr>
            <w:tcW w:w="100" w:type="dxa"/>
            <w:vAlign w:val="bottom"/>
          </w:tcPr>
          <w:p>
            <w:pPr>
              <w:spacing w:after="0"/>
              <w:rPr>
                <w:sz w:val="18"/>
                <w:szCs w:val="18"/>
                <w:color w:val="auto"/>
              </w:rPr>
            </w:pPr>
          </w:p>
        </w:tc>
      </w:tr>
      <w:tr>
        <w:trPr>
          <w:trHeight w:val="188"/>
        </w:trPr>
        <w:tc>
          <w:tcPr>
            <w:tcW w:w="77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Offering costs related to initial public offering included in accounts payable,</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360,584</w:t>
            </w: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412,026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362,584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417,026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Overview and Summary of Significant Accounting Policies</w:t>
      </w:r>
    </w:p>
    <w:p>
      <w:pPr>
        <w:spacing w:after="0" w:line="193"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13 countries across 5 continents.</w:t>
      </w:r>
    </w:p>
    <w:p>
      <w:pPr>
        <w:spacing w:after="0" w:line="156"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w:t>
      </w:r>
    </w:p>
    <w:p>
      <w:pPr>
        <w:spacing w:after="0" w:line="1" w:lineRule="exact"/>
        <w:rPr>
          <w:sz w:val="20"/>
          <w:szCs w:val="20"/>
          <w:color w:val="auto"/>
        </w:rPr>
      </w:pPr>
    </w:p>
    <w:p>
      <w:pPr>
        <w:ind w:right="420" w:firstLine="8"/>
        <w:spacing w:after="0" w:line="245"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next-gen payments platform, (ii) a proprietary global payment network, and (iii) vertical-specific software backed by its deep industry expertise.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0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On May 28, 2021, in connection with the Company’s initial public offering (IPO), the Company filed an amended and restated certificate of incorporation, which became effective on that date. The amended and restated certificate of incorporation authorized the issuance of 2,000,000,000 shares of voting common stock, 10,000,000 shares of non-voting common stock and 10,000,000 shares of preferred stock. Each class of stock has a par value of $0.0001 per share.</w:t>
      </w:r>
    </w:p>
    <w:p>
      <w:pPr>
        <w:spacing w:after="0" w:line="160"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On May 28, 2021, the Company completed its IPO, in which the Company issued and sold 12,006,000 shares of voting common stock at a public offering price of $24.00 per share, which included 1,566,000 shares of voting common stock issued pursuant to the exercise in full of the underwriters' option to purchase additional shares. The Company received $263.8 million in net proceeds from the IPO, after deducting underwriting discounts and commissions of $19.4 million and other offering costs of $4.9 million.</w:t>
      </w:r>
    </w:p>
    <w:p>
      <w:pPr>
        <w:spacing w:after="0" w:line="173" w:lineRule="exact"/>
        <w:rPr>
          <w:sz w:val="20"/>
          <w:szCs w:val="20"/>
          <w:color w:val="auto"/>
        </w:rPr>
      </w:pPr>
    </w:p>
    <w:p>
      <w:pPr>
        <w:ind w:right="40" w:firstLine="509"/>
        <w:spacing w:after="0" w:line="256" w:lineRule="auto"/>
        <w:rPr>
          <w:sz w:val="20"/>
          <w:szCs w:val="20"/>
          <w:color w:val="auto"/>
        </w:rPr>
      </w:pPr>
      <w:r>
        <w:rPr>
          <w:rFonts w:ascii="Arial" w:cs="Arial" w:eastAsia="Arial" w:hAnsi="Arial"/>
          <w:sz w:val="17"/>
          <w:szCs w:val="17"/>
          <w:color w:val="auto"/>
        </w:rPr>
        <w:t>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62,214,406 shares of voting common stock and 5,988,378 shares of non-voting common stock. Prior to the closing of the IPO, the Company had warrants to purchase 190,500 shares of its convertible preferred stock outstanding, such warrants were converted immediately prior to the closing of the IPO into warrants to purchase 190,500 shares of the Company’s voting common stock and the associated preferred stock warrant liabilities were remeasured to its fair value of $6.3 million and reclassified to additional paid-in capital.</w:t>
      </w:r>
    </w:p>
    <w:p>
      <w:pPr>
        <w:spacing w:after="0" w:line="16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0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May 2021, the Company filed an amendment to its amended and restated certificate of incorporation to effect a 3- for-1 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 condensed consolidated financial statements have been retroactively adjusted to reflect the effect of the stock split for all periods presented.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0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Securities and Exchange Commission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changes in convertible preferred stock, redeemable convertible preferred stock and stockholders’ equity (deficit), and its cash flows for the periods presented.</w:t>
      </w:r>
    </w:p>
    <w:p>
      <w:pPr>
        <w:spacing w:after="0" w:line="17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results of operations for the six months ended June 30, 2022, are not necessarily indicative of results to be expected for the year ended December 31, 2022, any other interim periods or any future year or period. The accompanying consolidated balance sheet as of December 31, 2021 was derived from the Company’s audited consolidated financial statements for the year ended December 31, 2021.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74"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fiscal year ended December 31, 2021.</w:t>
      </w:r>
    </w:p>
    <w:p>
      <w:pPr>
        <w:spacing w:after="0" w:line="171"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The condensed consolidated financial statements include the accounts of Flywire Corporation and its wholly-owned subsidiaries. All intercompany accounts and transactions have been eliminated upon consolidation.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06"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0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common stock and stock-based awards, the valuation of the preferred stock warrant liability up until the date of the Company’s IPO, impairment assessment of goodwill, intangibles and other long-lived assets, the valuation of acquired intangible assets and their useful lives, and the valuation of contingent consideration.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March 11, 2020, the World Health Organization declared the outbreak of a novel coronavirus (COVID-19) as a global pandemic. The unprecedented and rapid spread of COVID-19 (including its variants and sub-variants) as well as the shelter-in-place orders, promotion of social distancing measures, restrictions to businesses deemed non-essential, and travel restrictions implemented throughout the United States and globally significantly impacted the verticals in which the Company has been predominantly focused over the last decade, including payment volumes, sales cycles and time to implementation in those verticals. However, during this period, the Company had not experienced any significant client attrition and our net dollar-based retention rate remained strong.</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suspended corporate travel and reduced professional service and other fees. Further, the Company implemented remote working capabilities and measures focused on the safety of our employees, who we call FlyMates. During the six months ended June 30, 2022, the Company observed recoveries in total payment volume and revenue. The growth in both total payment volume and revenue was primarily a result of economies continuing to reopen, and the resumption of global travel. Additionally, the Company has resumed hiring across all departments to meet growth and public company challenges. The Company does not currently foresee the need to take additional actions; however, as variants or sub-variants of COVID-19 emerge, the Company continues to evaluate the nature and extent of these potential impacts to the Company's business, condensed consolidated financial statements, and liquidity.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9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Company does not have any operations, including long-lived assets, in Ukraine or Russia, and to the Company’s knowledge, clients do not receive material amounts of payments from payers in these regions. As of the issuance date of these condensed consolidated financial statements, the current conflict between Russia and Ukraine, and the resulting impact on inflation and interest rates have not had a material impact on the Company’s revenue, results of operations or financial position. However, the Company notes Ukraine is a major engineering hub and the conflict may create a global challenge in outsourcing or hiring engineering talent. In addition, a prolonged conflict or the spill-over of war into other European countries may in the future have an impact on macroeconomic conditions which could significantly impact the verticals in which the Company has been predominantly focused over the last decade. The Company’s payment volumes, sales cycles and time to implementation could be negatively affected and consequently, the Company’s revenue or results of operations or financial position could be adversely impacted as well.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9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evaluates credit worthiness of its clients and maintains allowances, to the extent necessary, for potential credit losses based upon the aging of its accounts receivable balances and known collection issues. The Company has not experienced any material credit losses for the three and six months ended June 30, 2022.</w:t>
      </w:r>
    </w:p>
    <w:p>
      <w:pPr>
        <w:spacing w:after="0" w:line="158" w:lineRule="exact"/>
        <w:rPr>
          <w:sz w:val="20"/>
          <w:szCs w:val="20"/>
          <w:color w:val="auto"/>
        </w:rPr>
      </w:pPr>
    </w:p>
    <w:p>
      <w:pPr>
        <w:ind w:right="540" w:firstLine="509"/>
        <w:spacing w:after="0" w:line="247" w:lineRule="auto"/>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170"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1240" w:type="dxa"/>
            <w:vAlign w:val="bottom"/>
          </w:tcPr>
          <w:p>
            <w:pPr>
              <w:jc w:val="center"/>
              <w:ind w:left="288"/>
              <w:spacing w:after="0"/>
              <w:rPr>
                <w:sz w:val="20"/>
                <w:szCs w:val="20"/>
                <w:color w:val="auto"/>
              </w:rPr>
            </w:pPr>
            <w:r>
              <w:rPr>
                <w:rFonts w:ascii="Arial" w:cs="Arial" w:eastAsia="Arial" w:hAnsi="Arial"/>
                <w:sz w:val="14"/>
                <w:szCs w:val="14"/>
                <w:b w:val="1"/>
                <w:bCs w:val="1"/>
                <w:color w:val="auto"/>
                <w:w w:val="99"/>
              </w:rPr>
              <w:t>June 30,</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7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r>
      <w:tr>
        <w:trPr>
          <w:trHeight w:val="208"/>
        </w:trPr>
        <w:tc>
          <w:tcPr>
            <w:tcW w:w="7540" w:type="dxa"/>
            <w:vAlign w:val="bottom"/>
          </w:tcPr>
          <w:p>
            <w:pPr>
              <w:ind w:left="20"/>
              <w:spacing w:after="0"/>
              <w:rPr>
                <w:sz w:val="20"/>
                <w:szCs w:val="20"/>
                <w:color w:val="auto"/>
              </w:rPr>
            </w:pPr>
            <w:r>
              <w:rPr>
                <w:rFonts w:ascii="Arial" w:cs="Arial" w:eastAsia="Arial" w:hAnsi="Arial"/>
                <w:sz w:val="18"/>
                <w:szCs w:val="18"/>
                <w:color w:val="auto"/>
              </w:rPr>
              <w:t>Client A</w:t>
            </w:r>
          </w:p>
        </w:tc>
        <w:tc>
          <w:tcPr>
            <w:tcW w:w="1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Client B</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855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70" w:lineRule="exact"/>
        <w:rPr>
          <w:sz w:val="20"/>
          <w:szCs w:val="20"/>
          <w:color w:val="auto"/>
        </w:rPr>
      </w:pPr>
    </w:p>
    <w:p>
      <w:pPr>
        <w:jc w:val="both"/>
        <w:ind w:right="460" w:firstLine="509"/>
        <w:spacing w:after="0" w:line="247"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1240" w:type="dxa"/>
            <w:vAlign w:val="bottom"/>
          </w:tcPr>
          <w:p>
            <w:pPr>
              <w:ind w:left="52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780" w:type="dxa"/>
            <w:vAlign w:val="bottom"/>
            <w:gridSpan w:val="2"/>
          </w:tcPr>
          <w:p>
            <w:pPr>
              <w:ind w:left="818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r>
      <w:tr>
        <w:trPr>
          <w:trHeight w:val="208"/>
        </w:trPr>
        <w:tc>
          <w:tcPr>
            <w:tcW w:w="7540" w:type="dxa"/>
            <w:vAlign w:val="bottom"/>
          </w:tcPr>
          <w:p>
            <w:pPr>
              <w:ind w:left="20"/>
              <w:spacing w:after="0"/>
              <w:rPr>
                <w:sz w:val="20"/>
                <w:szCs w:val="20"/>
                <w:color w:val="auto"/>
              </w:rPr>
            </w:pPr>
            <w:r>
              <w:rPr>
                <w:rFonts w:ascii="Arial" w:cs="Arial" w:eastAsia="Arial" w:hAnsi="Arial"/>
                <w:sz w:val="18"/>
                <w:szCs w:val="18"/>
                <w:color w:val="auto"/>
              </w:rPr>
              <w:t>Partner A</w:t>
            </w:r>
          </w:p>
        </w:tc>
        <w:tc>
          <w:tcPr>
            <w:tcW w:w="1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Partner B</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Partner 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17"/>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Partner D</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27 %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5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and six months ended June 30, 2022 and 2021, no clients accounted for 10% or more of revenue.</w:t>
      </w:r>
    </w:p>
    <w:p>
      <w:pPr>
        <w:spacing w:after="0" w:line="184" w:lineRule="exact"/>
        <w:rPr>
          <w:sz w:val="20"/>
          <w:szCs w:val="20"/>
          <w:color w:val="auto"/>
        </w:rPr>
      </w:pPr>
    </w:p>
    <w:p>
      <w:pPr>
        <w:ind w:right="360" w:firstLine="509"/>
        <w:spacing w:after="0" w:line="243" w:lineRule="auto"/>
        <w:rPr>
          <w:sz w:val="20"/>
          <w:szCs w:val="20"/>
          <w:color w:val="auto"/>
        </w:rPr>
      </w:pPr>
      <w:r>
        <w:rPr>
          <w:rFonts w:ascii="Arial" w:cs="Arial" w:eastAsia="Arial" w:hAnsi="Arial"/>
          <w:sz w:val="18"/>
          <w:szCs w:val="18"/>
          <w:color w:val="auto"/>
        </w:rPr>
        <w:t>During the three months ended June 30, 2022 and 2021, revenue from clients located outside of the United States in the aggregate accounted for 49.6% and 37.9% of the Company’s revenue, respectively, with the United Kingdom accounting for 19.0% and 12.0%, respectively and Canada accounting for 16.9% and 19.7%, respectively. No other countries accounted for 10% or more of revenue for the three months ended June 30, 2022 and 2021.</w:t>
      </w:r>
    </w:p>
    <w:p>
      <w:pPr>
        <w:sectPr>
          <w:pgSz w:w="11900" w:h="16838" w:orient="portrait"/>
          <w:cols w:equalWidth="0" w:num="1">
            <w:col w:w="11300"/>
          </w:cols>
          <w:pgMar w:left="320" w:top="140" w:right="279" w:bottom="1440" w:gutter="0" w:footer="0" w:header="0"/>
        </w:sectPr>
      </w:pP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During the six months ended June 30, 2022 and 2021, revenue from clients located outside of the United States in the aggregate accounted for 43.0% and 31.0% of the Company’s revenue, respectively, with the United Kingdom accounting for 17.0% and 9.6%, respectively and Canada accounting for 14.6% and 15.6%, respectively. No other countries accounted for 10% or more of revenue for the six months ended June 30, 2022 and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the notes and audited consolidated financial statements contained in the Company’s Annual Report on Form 10-K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year ended December 31, 2021. Effective January 1, 2022, Flywire changed its accounting policy for leases resulting from the adoption of Accounting Standards Codification (ASC) 842, Leases and subsequent related Accounting Standards Updates (ASUs). In addition to the Company’s adoption of ASC 842 described below, refer to </w:t>
      </w:r>
      <w:r>
        <w:rPr>
          <w:rFonts w:ascii="Arial" w:cs="Arial" w:eastAsia="Arial" w:hAnsi="Arial"/>
          <w:sz w:val="18"/>
          <w:szCs w:val="18"/>
          <w:i w:val="1"/>
          <w:iCs w:val="1"/>
          <w:color w:val="auto"/>
        </w:rPr>
        <w:t>Recently Accounting Pronouncements Adopted</w:t>
      </w:r>
      <w:r>
        <w:rPr>
          <w:rFonts w:ascii="Arial" w:cs="Arial" w:eastAsia="Arial" w:hAnsi="Arial"/>
          <w:sz w:val="18"/>
          <w:szCs w:val="18"/>
          <w:color w:val="auto"/>
        </w:rPr>
        <w:t xml:space="preserve"> section for other ASUs adopted in 2022. There were no other material changes to accounting policies during the quarter ended June 30,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 xml:space="preserve">On January 1, 2022, Flywire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related ASUs using January 1, 2022 as the date of initial application. The new lease standard sets out the principles for the recognition, measurement, presentation and disclosure of leases for both parties to a contract (i.e., lessees and lessors). The Company elected the modified retrospective transition option which allows for application of Topic 842 at the adoption date. Therefore, comparative prior period financial information was not adjusted and will continue to be reported under the previous accounting guidance of ASC 840, </w:t>
      </w:r>
      <w:r>
        <w:rPr>
          <w:rFonts w:ascii="Arial" w:cs="Arial" w:eastAsia="Arial" w:hAnsi="Arial"/>
          <w:sz w:val="18"/>
          <w:szCs w:val="18"/>
          <w:i w:val="1"/>
          <w:iCs w:val="1"/>
          <w:color w:val="auto"/>
        </w:rPr>
        <w:t>Leases</w:t>
      </w:r>
      <w:r>
        <w:rPr>
          <w:rFonts w:ascii="Arial" w:cs="Arial" w:eastAsia="Arial" w:hAnsi="Arial"/>
          <w:sz w:val="18"/>
          <w:szCs w:val="18"/>
          <w:color w:val="auto"/>
        </w:rPr>
        <w:t>. No cumulative-effect adjustment to the opening accumulated deficit balance as of January 1, 2022 was necessary as a result of adopting the new standard. The Company elected the “package of practical expedients” permitted under the transition guidance which allowed the Company not to reassess (i) whether any expired or existing contracts are, or contain, leases, (ii) the lease classification for any expired or existing leases and (iii) initial direct costs for any existing leases. The Company also elected the practical expedient not to separate lease and non-lease components, as well as the short-term lease recognition exemption and will not recognize right-of-use (ROU) assets or lease liabilities for leases with a term less than 12 months. As a result of the adoption, the Company recognized ROU assets of $3.0 million in Other assets and a corresponding lease liability of $3.6 million in Other liabilities as of January 1, 2022. The ROU assets were adjusted per Topic 842 transition guidance for the existing deferred rent balance.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after the Adoption of ASC 842</w:t>
      </w:r>
    </w:p>
    <w:p>
      <w:pPr>
        <w:spacing w:after="0" w:line="2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The new leasing standard requires recognition of leases on the consolidated balance sheets as ROU assets and lease liabilities. ROU assets represent the Company's right to use underlying assets for the lease terms and lease liabilities represent our obligation to make lease payments arising from the leases. ROU assets are included in Other assets and lease liabilities are included in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As the implicit rate of the leases is not determinable, the Company uses its incremental borrowing rate in determining the present value of the lease payments. ROU assets are adjusted for deferred rent and any lease incentives. Variable lease payments for maintenance, property taxes and other operating expenses are recognized as expense in the period in which the obligation for the payment is incurred. The operating lease expense associated with operating leases is recognized as a single lease cost on a straight-line basis over the lease term and is included in general and administrative expenses in the condensed consolidated statements of operations and comprehensive loss. Refer to </w:t>
      </w:r>
      <w:r>
        <w:rPr>
          <w:rFonts w:ascii="Arial" w:cs="Arial" w:eastAsia="Arial" w:hAnsi="Arial"/>
          <w:sz w:val="18"/>
          <w:szCs w:val="18"/>
          <w:i w:val="1"/>
          <w:iCs w:val="1"/>
          <w:color w:val="auto"/>
        </w:rPr>
        <w:t>Note 15 - Leases</w:t>
      </w:r>
      <w:r>
        <w:rPr>
          <w:rFonts w:ascii="Arial" w:cs="Arial" w:eastAsia="Arial" w:hAnsi="Arial"/>
          <w:sz w:val="18"/>
          <w:szCs w:val="18"/>
          <w:color w:val="auto"/>
        </w:rPr>
        <w:t xml:space="preserve"> for more details on the Company's operating leases.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for Periods Prior to Adoption of ASC 842</w:t>
      </w:r>
    </w:p>
    <w:p>
      <w:pPr>
        <w:spacing w:after="0" w:line="189"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Prior to ASC 842 adoption, operating lease arrangements were recorded off-balance sheet and ROU assets and liabilities were not recognized. Operating lease expense was recognized on a straight-line basis over the term of each lease and free rent periods were recorded as a deferred rent liability.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3"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loss. Advertising expenses for the three months ended June 30, 2022 and 2021 were $1.7 million and $0.6 million, respectively. Advertising expenses for the six months ended June 30, 2022 and 2021 were $2.9 million and $1.1 million,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0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currently qualifies as an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w:t>
      </w:r>
    </w:p>
    <w:p>
      <w:pPr>
        <w:spacing w:after="0" w:line="16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As of June 30, 2022, the Company determined that as of December 31, 2022 it will become a large accelerated filer under Rule 12b-2 of the Securities Exchange Act of 1934, as amended (“the Exchange Act”) and will no longer be classified as an emerging growth company. Accordingly, the Company will be required to comply with the new or revised accounting pronouncements as of the effective dates applicable to public companies that are not emerging growth companies. Refer to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section below for details on accounting pronouncements that will be adopted in the Company’s Annual Report on Form 10-K for the year ended December 31, 2022 for which adoption had been previously deferred under the emerging growth company status.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Accounting Pronouncements Adopted</w:t>
      </w:r>
    </w:p>
    <w:p>
      <w:pPr>
        <w:spacing w:after="0" w:line="188" w:lineRule="exact"/>
        <w:rPr>
          <w:sz w:val="20"/>
          <w:szCs w:val="20"/>
          <w:color w:val="auto"/>
        </w:rPr>
      </w:pPr>
    </w:p>
    <w:p>
      <w:pPr>
        <w:ind w:right="760" w:firstLine="509"/>
        <w:spacing w:after="0" w:line="266" w:lineRule="auto"/>
        <w:rPr>
          <w:sz w:val="20"/>
          <w:szCs w:val="20"/>
          <w:color w:val="auto"/>
        </w:rPr>
      </w:pPr>
      <w:r>
        <w:rPr>
          <w:rFonts w:ascii="Arial" w:cs="Arial" w:eastAsia="Arial" w:hAnsi="Arial"/>
          <w:sz w:val="18"/>
          <w:szCs w:val="18"/>
          <w:color w:val="auto"/>
        </w:rPr>
        <w:t xml:space="preserve">In addition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described above, the following pronouncements were issued by the Financial Accounting Standards Board (FASB) and adopted by Flywire as of January 1, 2022:</w:t>
      </w:r>
    </w:p>
    <w:p>
      <w:pPr>
        <w:spacing w:after="0" w:line="134" w:lineRule="exact"/>
        <w:rPr>
          <w:sz w:val="20"/>
          <w:szCs w:val="20"/>
          <w:color w:val="auto"/>
        </w:rPr>
      </w:pPr>
    </w:p>
    <w:p>
      <w:pPr>
        <w:ind w:firstLine="509"/>
        <w:spacing w:after="0" w:line="250" w:lineRule="auto"/>
        <w:rPr>
          <w:sz w:val="20"/>
          <w:szCs w:val="20"/>
          <w:color w:val="auto"/>
        </w:rPr>
      </w:pP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The adoption of this standard did not have a material impact on Flywire's consolidated financial statements and disclosures.</w:t>
      </w:r>
    </w:p>
    <w:p>
      <w:pPr>
        <w:spacing w:after="0" w:line="14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 xml:space="preserve">ASU 2021-04, </w:t>
      </w:r>
      <w:r>
        <w:rPr>
          <w:rFonts w:ascii="Arial" w:cs="Arial" w:eastAsia="Arial" w:hAnsi="Arial"/>
          <w:sz w:val="18"/>
          <w:szCs w:val="18"/>
          <w:i w:val="1"/>
          <w:iCs w:val="1"/>
          <w:color w:val="auto"/>
        </w:rPr>
        <w:t>Earnings Per Share (Topic 260), Debt - Modifications and Extinguishments (Subtopic 470-50), 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and Derivatives and Hedging - Contracts in Entity’s Own Equity (Subtopic 815-40)</w:t>
      </w:r>
      <w:r>
        <w:rPr>
          <w:rFonts w:ascii="Arial" w:cs="Arial" w:eastAsia="Arial" w:hAnsi="Arial"/>
          <w:sz w:val="18"/>
          <w:szCs w:val="18"/>
          <w:color w:val="auto"/>
        </w:rPr>
        <w:t>: ASU 2021-04 requires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to account for modifications or exchanges of freestanding equity- classified written call options (e.g., warrants) that remain equity classified after the modification or exchange based on the substance of the modification or exchange (e.g., a financing transaction to raise equity versus one to raise debt). The adoption of this standard did not have any impact on Flywire's consolidated financial statements and disclosures as the Company currently does not have any freestanding equity-classified written call options within the scope of this standard.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ASUs were issued by the FASB and not yet adopted by Flywire:</w:t>
      </w:r>
    </w:p>
    <w:p>
      <w:pPr>
        <w:spacing w:after="0" w:line="166"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and subsequent related ASUs: ASU 2016-13 replaces the current incurred loss impairment model that recognizes losses when a probable threshold is met with a requirement to recognize lifetime expected credit losses immediately when a financial asset is originated or purchased. ASU 2016-13 is effective for emerging growth companies that have adopted the private company relief on January 1, 2023, with early adoption permitted. The Company will adopt ASU 2016-13 retroactively effective as of January 1, 2022 in the Company’s Annual Report on Form 10-K for the year ended December 31, 2022, as it will be designated a large accelerated filer on that date. The Company is currently evaluating the impact of this standard on its consolidated financial statements and disclosures.</w:t>
      </w:r>
    </w:p>
    <w:p>
      <w:pPr>
        <w:spacing w:after="0" w:line="153"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 xml:space="preserve">ASU 2020-06, </w:t>
      </w:r>
      <w:r>
        <w:rPr>
          <w:rFonts w:ascii="Arial" w:cs="Arial" w:eastAsia="Arial" w:hAnsi="Arial"/>
          <w:sz w:val="17"/>
          <w:szCs w:val="17"/>
          <w:i w:val="1"/>
          <w:iCs w:val="1"/>
          <w:color w:val="auto"/>
        </w:rPr>
        <w:t>Debt - Debt with Conversion and Other Options (Subtopic 470-20) and Derivatives and Hedging - Contracts in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Own Equity (Subtopic 815-40)</w:t>
      </w:r>
      <w:r>
        <w:rPr>
          <w:rFonts w:ascii="Arial" w:cs="Arial" w:eastAsia="Arial" w:hAnsi="Arial"/>
          <w:sz w:val="17"/>
          <w:szCs w:val="17"/>
          <w:color w:val="auto"/>
        </w:rPr>
        <w:t>: Accounting for Convertible Instruments and Contracts in an Entity’s Own Equity: ASU 2020-06 reduces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accounting models for convertible debt instruments and convertible preferred stock as well as amends the derivatives scope exception for contracts in an entity’s own equity. ASU 2020-06 is effective for emerging growth companies that have adopted the private company relief on January 1, 2024, with early adoption permitted. The Company will adopt ASU 2020-06 retroactively effective as of January 1, 2022 in the Company’s Annual Report on Form 10-K for the year ended December 31, 2022, as it will be designated a large accelerated filer on that date. The Company is currently evaluating the impact of this standard on its consolidated financial statements and disclosures.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and Recognition</w:t>
      </w:r>
    </w:p>
    <w:p>
      <w:pPr>
        <w:spacing w:after="0" w:line="193"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89"/>
        </w:trPr>
        <w:tc>
          <w:tcPr>
            <w:tcW w:w="13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28,493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22,964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69,058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56,538</w:t>
            </w:r>
          </w:p>
        </w:tc>
        <w:tc>
          <w:tcPr>
            <w:tcW w:w="100" w:type="dxa"/>
            <w:vAlign w:val="bottom"/>
          </w:tcPr>
          <w:p>
            <w:pPr>
              <w:spacing w:after="0"/>
              <w:rPr>
                <w:sz w:val="18"/>
                <w:szCs w:val="18"/>
                <w:color w:val="auto"/>
              </w:rPr>
            </w:pPr>
          </w:p>
        </w:tc>
      </w:tr>
      <w:tr>
        <w:trPr>
          <w:trHeight w:val="216"/>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12,798</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20,603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Other countries </w:t>
            </w:r>
            <w:r>
              <w:rPr>
                <w:rFonts w:ascii="Arial" w:cs="Arial" w:eastAsia="Arial" w:hAnsi="Arial"/>
                <w:sz w:val="24"/>
                <w:szCs w:val="24"/>
                <w:color w:val="auto"/>
                <w:vertAlign w:val="superscript"/>
              </w:rPr>
              <w: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56,537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36,976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121,090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81,967</w:t>
            </w:r>
          </w:p>
        </w:tc>
        <w:tc>
          <w:tcPr>
            <w:tcW w:w="10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Major solutions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Transactions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41,659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24,250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90,346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56,684</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Platform and usage-based fees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56,537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36,976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121,090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81,967</w:t>
            </w:r>
          </w:p>
        </w:tc>
        <w:tc>
          <w:tcPr>
            <w:tcW w:w="10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4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-847090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-847090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-847090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-264795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-264795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-264795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No single country included in the "Other countries" category generated 10% or more of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206"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9"/>
        </w:trPr>
        <w:tc>
          <w:tcPr>
            <w:tcW w:w="7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 of allowances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revenue—current</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FF0FC"/>
          </w:tcPr>
          <w:p>
            <w:pPr>
              <w:spacing w:after="0"/>
              <w:rPr>
                <w:sz w:val="18"/>
                <w:szCs w:val="18"/>
                <w:color w:val="auto"/>
              </w:rPr>
            </w:pPr>
          </w:p>
        </w:tc>
      </w:tr>
      <w:tr>
        <w:trPr>
          <w:trHeight w:val="217"/>
        </w:trPr>
        <w:tc>
          <w:tcPr>
            <w:tcW w:w="7640" w:type="dxa"/>
            <w:vAlign w:val="bottom"/>
          </w:tcPr>
          <w:p>
            <w:pPr>
              <w:ind w:left="20"/>
              <w:spacing w:after="0"/>
              <w:rPr>
                <w:sz w:val="20"/>
                <w:szCs w:val="20"/>
                <w:color w:val="auto"/>
              </w:rPr>
            </w:pPr>
            <w:r>
              <w:rPr>
                <w:rFonts w:ascii="Arial" w:cs="Arial" w:eastAsia="Arial" w:hAnsi="Arial"/>
                <w:sz w:val="18"/>
                <w:szCs w:val="18"/>
                <w:color w:val="auto"/>
              </w:rPr>
              <w:t>Deferred revenue—non-current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r>
    </w:tbl>
    <w:p>
      <w:pPr>
        <w:spacing w:after="0" w:line="1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For the three months ended June 30, 2022 and 2021, the Company recognized $1.6 million and $0.2 million, respectively, of revenue from amounts that were included in deferred revenue as of March 31, 2022 and 2021. For the six months ended June 30, 2022 and 2021, the Company recognized $3.6 million and $0.7 million, respectively, of revenue from amounts that were included in deferred revenue as of December 31, 2021 and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Allowance for Doubtful Accounts</w:t>
      </w:r>
    </w:p>
    <w:p>
      <w:pPr>
        <w:spacing w:after="0" w:line="206" w:lineRule="exact"/>
        <w:rPr>
          <w:sz w:val="20"/>
          <w:szCs w:val="20"/>
          <w:color w:val="auto"/>
        </w:rPr>
      </w:pPr>
    </w:p>
    <w:p>
      <w:pPr>
        <w:ind w:right="600" w:firstLine="509"/>
        <w:spacing w:after="0" w:line="245" w:lineRule="auto"/>
        <w:rPr>
          <w:sz w:val="20"/>
          <w:szCs w:val="20"/>
          <w:color w:val="auto"/>
        </w:rPr>
      </w:pPr>
      <w:r>
        <w:rPr>
          <w:rFonts w:ascii="Arial" w:cs="Arial" w:eastAsia="Arial" w:hAnsi="Arial"/>
          <w:sz w:val="18"/>
          <w:szCs w:val="18"/>
          <w:color w:val="auto"/>
        </w:rPr>
        <w:t>Changes in the allowance for doubtful accounts for the three and six months ended June 30, 2022 and 2021 were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2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doubtful accounts at the beginning of the period</w:t>
            </w:r>
          </w:p>
        </w:tc>
        <w:tc>
          <w:tcPr>
            <w:tcW w:w="76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78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Provisions</w:t>
            </w:r>
          </w:p>
        </w:tc>
        <w:tc>
          <w:tcPr>
            <w:tcW w:w="760" w:type="dxa"/>
            <w:vAlign w:val="bottom"/>
          </w:tcPr>
          <w:p>
            <w:pPr>
              <w:spacing w:after="0"/>
              <w:rPr>
                <w:sz w:val="18"/>
                <w:szCs w:val="18"/>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rPr>
              <w:t>(53 )</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(73 )</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(80 )</w:t>
            </w:r>
          </w:p>
        </w:tc>
      </w:tr>
      <w:tr>
        <w:trPr>
          <w:trHeight w:val="21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Write-offs, net of recoveries</w:t>
            </w:r>
          </w:p>
        </w:tc>
        <w:tc>
          <w:tcPr>
            <w:tcW w:w="7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Allowance for doubtful accounts at the end of the period</w:t>
            </w:r>
          </w:p>
        </w:tc>
        <w:tc>
          <w:tcPr>
            <w:tcW w:w="760" w:type="dxa"/>
            <w:vAlign w:val="bottom"/>
          </w:tcPr>
          <w:p>
            <w:pPr>
              <w:jc w:val="right"/>
              <w:ind w:right="559"/>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w w:val="93"/>
              </w:rPr>
              <w:t>(149 )</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w w:val="93"/>
              </w:rPr>
              <w:t>(167 )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(149 )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(167 )</w:t>
            </w:r>
          </w:p>
        </w:tc>
      </w:tr>
      <w:tr>
        <w:trPr>
          <w:trHeight w:val="20"/>
        </w:trPr>
        <w:tc>
          <w:tcPr>
            <w:tcW w:w="5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-170815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Fair Value Measurements</w:t>
      </w:r>
    </w:p>
    <w:p>
      <w:pPr>
        <w:spacing w:after="0" w:line="206" w:lineRule="exact"/>
        <w:rPr>
          <w:sz w:val="20"/>
          <w:szCs w:val="20"/>
          <w:color w:val="auto"/>
        </w:rPr>
      </w:pPr>
    </w:p>
    <w:p>
      <w:pPr>
        <w:ind w:right="240" w:firstLine="509"/>
        <w:spacing w:after="0" w:line="239" w:lineRule="auto"/>
        <w:rPr>
          <w:sz w:val="20"/>
          <w:szCs w:val="20"/>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ectPr>
          <w:pgSz w:w="11900" w:h="16838" w:orient="portrait"/>
          <w:cols w:equalWidth="0" w:num="1">
            <w:col w:w="11240"/>
          </w:cols>
          <w:pgMar w:left="320" w:top="140"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84"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sz w:val="20"/>
          <w:szCs w:val="20"/>
          <w:color w:val="auto"/>
        </w:rPr>
      </w:pPr>
    </w:p>
    <w:p>
      <w:pPr>
        <w:ind w:right="300" w:firstLine="509"/>
        <w:spacing w:after="0" w:line="245"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1"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June 30, 2022 and December 31,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June 30, 2022 Using:</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13,021</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0"/>
          </w:tcPr>
          <w:p>
            <w:pPr>
              <w:jc w:val="right"/>
              <w:ind w:right="693"/>
              <w:spacing w:after="0"/>
              <w:rPr>
                <w:sz w:val="20"/>
                <w:szCs w:val="20"/>
                <w:color w:val="auto"/>
              </w:rPr>
            </w:pPr>
            <w:r>
              <w:rPr>
                <w:rFonts w:ascii="Arial" w:cs="Arial" w:eastAsia="Arial" w:hAnsi="Arial"/>
                <w:sz w:val="14"/>
                <w:szCs w:val="14"/>
                <w:b w:val="1"/>
                <w:bCs w:val="1"/>
                <w:color w:val="auto"/>
              </w:rPr>
              <w:t>Fair Value Measurements as of December 31, 2021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11,309</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-2019935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-2019935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-2019935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1620" w:firstLine="509"/>
        <w:spacing w:after="0" w:line="445" w:lineRule="auto"/>
        <w:rPr>
          <w:sz w:val="20"/>
          <w:szCs w:val="20"/>
          <w:color w:val="auto"/>
        </w:rPr>
      </w:pPr>
      <w:r>
        <w:rPr>
          <w:rFonts w:ascii="Arial" w:cs="Arial" w:eastAsia="Arial" w:hAnsi="Arial"/>
          <w:sz w:val="18"/>
          <w:szCs w:val="18"/>
          <w:color w:val="auto"/>
        </w:rPr>
        <w:t xml:space="preserve">During the three and six months ended June 30, 2022, there were no transfers between Level 1, Level 2 or Level 3. </w:t>
      </w:r>
      <w:r>
        <w:rPr>
          <w:rFonts w:ascii="Arial" w:cs="Arial" w:eastAsia="Arial" w:hAnsi="Arial"/>
          <w:sz w:val="18"/>
          <w:szCs w:val="18"/>
          <w:b w:val="1"/>
          <w:bCs w:val="1"/>
          <w:i w:val="1"/>
          <w:iCs w:val="1"/>
          <w:color w:val="auto"/>
        </w:rPr>
        <w:t>Contingent consideration</w:t>
      </w:r>
    </w:p>
    <w:p>
      <w:pPr>
        <w:spacing w:after="0" w:line="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clients in the healthcare market. The acquisition of Simplee was accounted for as a business combination. Pursuant to the terms of the agreement, the Company acquired all outstanding equity of Simplee for estimated total consideration of $86.5 million, which consisted of $79.4 million in cash, net of cash acquired and $7.1 million in estimated fair value of contingent consideration. Contingent consideration, which totaled up to $20.0 million was payable at various intervals provided that the Company retained key clients and achieved certain revenue and integration targets established for the years ended December 31, 2020 and 2021. A portion of the contingent consideration was also tied to continuing employment of certain key employees. During March 2022, the Company made the final payment of contingent consideration in the amount of $7.8 million. No additional contingent consideration is due or payable with respect to the Simplee acquisition.</w:t>
      </w:r>
    </w:p>
    <w:p>
      <w:pPr>
        <w:spacing w:after="0" w:line="179"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The following table presents the unobservable inputs incorporated into the valuation of contingent consideration related to the Simplee acquisition for the three and six months ended June 30,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Three Months Ended</w:t>
            </w:r>
          </w:p>
        </w:tc>
        <w:tc>
          <w:tcPr>
            <w:tcW w:w="2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760" w:type="dxa"/>
            <w:vAlign w:val="bottom"/>
          </w:tcPr>
          <w:p>
            <w:pPr>
              <w:spacing w:after="0"/>
              <w:rPr>
                <w:sz w:val="15"/>
                <w:szCs w:val="15"/>
                <w:color w:val="auto"/>
              </w:rPr>
            </w:pPr>
          </w:p>
        </w:tc>
        <w:tc>
          <w:tcPr>
            <w:tcW w:w="29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June 30, 2021</w:t>
            </w:r>
          </w:p>
        </w:tc>
        <w:tc>
          <w:tcPr>
            <w:tcW w:w="26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June 30, 2021</w:t>
            </w:r>
          </w:p>
        </w:tc>
      </w:tr>
      <w:tr>
        <w:trPr>
          <w:trHeight w:val="208"/>
        </w:trPr>
        <w:tc>
          <w:tcPr>
            <w:tcW w:w="576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5760" w:type="dxa"/>
            <w:vAlign w:val="bottom"/>
          </w:tcPr>
          <w:p>
            <w:pPr>
              <w:ind w:left="20"/>
              <w:spacing w:after="0"/>
              <w:rPr>
                <w:sz w:val="20"/>
                <w:szCs w:val="20"/>
                <w:color w:val="auto"/>
              </w:rPr>
            </w:pPr>
            <w:r>
              <w:rPr>
                <w:rFonts w:ascii="Arial" w:cs="Arial" w:eastAsia="Arial" w:hAnsi="Arial"/>
                <w:sz w:val="18"/>
                <w:szCs w:val="18"/>
                <w:color w:val="auto"/>
              </w:rPr>
              <w:t>Probability of successful achievement *</w:t>
            </w:r>
          </w:p>
        </w:tc>
        <w:tc>
          <w:tcPr>
            <w:tcW w:w="2700" w:type="dxa"/>
            <w:vAlign w:val="bottom"/>
          </w:tcPr>
          <w:p>
            <w:pPr>
              <w:jc w:val="right"/>
              <w:spacing w:after="0"/>
              <w:rPr>
                <w:sz w:val="20"/>
                <w:szCs w:val="20"/>
                <w:color w:val="auto"/>
              </w:rPr>
            </w:pPr>
            <w:r>
              <w:rPr>
                <w:rFonts w:ascii="Arial" w:cs="Arial" w:eastAsia="Arial" w:hAnsi="Arial"/>
                <w:sz w:val="18"/>
                <w:szCs w:val="18"/>
                <w:color w:val="auto"/>
              </w:rPr>
              <w:t>0% - 100%</w:t>
            </w:r>
          </w:p>
        </w:tc>
        <w:tc>
          <w:tcPr>
            <w:tcW w:w="2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0% - 100%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period</w:t>
            </w:r>
          </w:p>
        </w:tc>
        <w:tc>
          <w:tcPr>
            <w:tcW w:w="29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 year</w:t>
            </w:r>
          </w:p>
        </w:tc>
        <w:tc>
          <w:tcPr>
            <w:tcW w:w="2560" w:type="dxa"/>
            <w:vAlign w:val="bottom"/>
            <w:gridSpan w:val="2"/>
            <w:shd w:val="clear" w:color="auto" w:fill="CFF0FC"/>
          </w:tcPr>
          <w:p>
            <w:pPr>
              <w:ind w:left="1940"/>
              <w:spacing w:after="0"/>
              <w:rPr>
                <w:sz w:val="20"/>
                <w:szCs w:val="20"/>
                <w:color w:val="auto"/>
              </w:rPr>
            </w:pPr>
            <w:r>
              <w:rPr>
                <w:rFonts w:ascii="Arial" w:cs="Arial" w:eastAsia="Arial" w:hAnsi="Arial"/>
                <w:sz w:val="18"/>
                <w:szCs w:val="18"/>
                <w:color w:val="auto"/>
              </w:rPr>
              <w:t>1 year</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855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jc w:val="both"/>
        <w:ind w:right="200" w:firstLine="509"/>
        <w:spacing w:after="0" w:line="247" w:lineRule="auto"/>
        <w:rPr>
          <w:sz w:val="20"/>
          <w:szCs w:val="20"/>
          <w:color w:val="auto"/>
        </w:rPr>
      </w:pPr>
      <w:r>
        <w:rPr>
          <w:rFonts w:ascii="Arial" w:cs="Arial" w:eastAsia="Arial" w:hAnsi="Arial"/>
          <w:sz w:val="18"/>
          <w:szCs w:val="18"/>
          <w:color w:val="auto"/>
        </w:rPr>
        <w:t>Increases or decreases in any of the probabilities of success in which revenue targets were expected to be achieved would result in a higher or lower fair value measurement, respectively. Increases or decreases in the discount rate would result in a lower or higher fair value measurement, respectively.</w:t>
      </w:r>
    </w:p>
    <w:p>
      <w:pPr>
        <w:spacing w:after="0" w:line="156"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 xml:space="preserve">The following table presents the unobservable inputs incorporated into the valuation of contingent consideration related to the WPM Group Ltd. (WPM) acquisition.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WPM acquisition.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38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660" w:type="dxa"/>
            <w:vAlign w:val="bottom"/>
          </w:tcPr>
          <w:p>
            <w:pPr>
              <w:spacing w:after="0"/>
              <w:rPr>
                <w:sz w:val="16"/>
                <w:szCs w:val="16"/>
                <w:color w:val="auto"/>
              </w:rPr>
            </w:pPr>
          </w:p>
        </w:tc>
        <w:tc>
          <w:tcPr>
            <w:tcW w:w="2380" w:type="dxa"/>
            <w:vAlign w:val="bottom"/>
            <w:gridSpan w:val="2"/>
          </w:tcPr>
          <w:p>
            <w:pPr>
              <w:jc w:val="right"/>
              <w:ind w:right="770"/>
              <w:spacing w:after="0"/>
              <w:rPr>
                <w:sz w:val="20"/>
                <w:szCs w:val="20"/>
                <w:color w:val="auto"/>
              </w:rPr>
            </w:pPr>
            <w:r>
              <w:rPr>
                <w:rFonts w:ascii="Arial" w:cs="Arial" w:eastAsia="Arial" w:hAnsi="Arial"/>
                <w:sz w:val="14"/>
                <w:szCs w:val="14"/>
                <w:b w:val="1"/>
                <w:bCs w:val="1"/>
                <w:color w:val="auto"/>
              </w:rPr>
              <w:t>June 30, 2022</w:t>
            </w:r>
          </w:p>
        </w:tc>
        <w:tc>
          <w:tcPr>
            <w:tcW w:w="22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 2022</w:t>
            </w:r>
          </w:p>
        </w:tc>
      </w:tr>
      <w:tr>
        <w:trPr>
          <w:trHeight w:val="208"/>
        </w:trPr>
        <w:tc>
          <w:tcPr>
            <w:tcW w:w="6660" w:type="dxa"/>
            <w:vAlign w:val="bottom"/>
          </w:tcPr>
          <w:p>
            <w:pPr>
              <w:ind w:left="20"/>
              <w:spacing w:after="0"/>
              <w:rPr>
                <w:sz w:val="20"/>
                <w:szCs w:val="20"/>
                <w:color w:val="auto"/>
              </w:rPr>
            </w:pPr>
            <w:r>
              <w:rPr>
                <w:rFonts w:ascii="Arial" w:cs="Arial" w:eastAsia="Arial" w:hAnsi="Arial"/>
                <w:sz w:val="18"/>
                <w:szCs w:val="18"/>
                <w:color w:val="auto"/>
              </w:rPr>
              <w:t>Market price of risk adjustment for revenue</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6660" w:type="dxa"/>
            <w:vAlign w:val="bottom"/>
          </w:tcPr>
          <w:p>
            <w:pPr>
              <w:ind w:left="20"/>
              <w:spacing w:after="0"/>
              <w:rPr>
                <w:sz w:val="20"/>
                <w:szCs w:val="20"/>
                <w:color w:val="auto"/>
              </w:rPr>
            </w:pPr>
            <w:r>
              <w:rPr>
                <w:rFonts w:ascii="Arial" w:cs="Arial" w:eastAsia="Arial" w:hAnsi="Arial"/>
                <w:sz w:val="18"/>
                <w:szCs w:val="18"/>
                <w:color w:val="auto"/>
              </w:rPr>
              <w:t>Revenue volatility</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23.8 %</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23.8 %</w:t>
            </w:r>
          </w:p>
        </w:tc>
      </w:tr>
      <w:tr>
        <w:trPr>
          <w:trHeight w:val="216"/>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Probability of successful achievement*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- 100%</w:t>
            </w:r>
          </w:p>
        </w:tc>
        <w:tc>
          <w:tcPr>
            <w:tcW w:w="26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- 100%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6660" w:type="dxa"/>
            <w:vAlign w:val="bottom"/>
          </w:tcPr>
          <w:p>
            <w:pPr>
              <w:ind w:left="20"/>
              <w:spacing w:after="0"/>
              <w:rPr>
                <w:sz w:val="20"/>
                <w:szCs w:val="20"/>
                <w:color w:val="auto"/>
              </w:rPr>
            </w:pPr>
            <w:r>
              <w:rPr>
                <w:rFonts w:ascii="Arial" w:cs="Arial" w:eastAsia="Arial" w:hAnsi="Arial"/>
                <w:sz w:val="18"/>
                <w:szCs w:val="18"/>
                <w:color w:val="auto"/>
              </w:rPr>
              <w:t>Performance period</w:t>
            </w:r>
          </w:p>
        </w:tc>
        <w:tc>
          <w:tcPr>
            <w:tcW w:w="2380" w:type="dxa"/>
            <w:vAlign w:val="bottom"/>
            <w:gridSpan w:val="2"/>
          </w:tcPr>
          <w:p>
            <w:pPr>
              <w:jc w:val="right"/>
              <w:ind w:right="190"/>
              <w:spacing w:after="0"/>
              <w:rPr>
                <w:sz w:val="20"/>
                <w:szCs w:val="20"/>
                <w:color w:val="auto"/>
              </w:rPr>
            </w:pPr>
            <w:r>
              <w:rPr>
                <w:rFonts w:ascii="Arial" w:cs="Arial" w:eastAsia="Arial" w:hAnsi="Arial"/>
                <w:sz w:val="18"/>
                <w:szCs w:val="18"/>
                <w:color w:val="auto"/>
              </w:rPr>
              <w:t>1.75 years</w:t>
            </w:r>
          </w:p>
        </w:tc>
        <w:tc>
          <w:tcPr>
            <w:tcW w:w="2200" w:type="dxa"/>
            <w:vAlign w:val="bottom"/>
            <w:gridSpan w:val="2"/>
          </w:tcPr>
          <w:p>
            <w:pPr>
              <w:ind w:left="1240"/>
              <w:spacing w:after="0"/>
              <w:rPr>
                <w:sz w:val="20"/>
                <w:szCs w:val="20"/>
                <w:color w:val="auto"/>
              </w:rPr>
            </w:pPr>
            <w:r>
              <w:rPr>
                <w:rFonts w:ascii="Arial" w:cs="Arial" w:eastAsia="Arial" w:hAnsi="Arial"/>
                <w:sz w:val="18"/>
                <w:szCs w:val="18"/>
                <w:color w:val="auto"/>
              </w:rPr>
              <w:t>1.75 years</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855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7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Increases or decreases in expectations regarding the level at which payment volumes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for the three and six months ended</w:t>
      </w:r>
    </w:p>
    <w:p>
      <w:pPr>
        <w:spacing w:after="0"/>
        <w:rPr>
          <w:sz w:val="20"/>
          <w:szCs w:val="20"/>
          <w:color w:val="auto"/>
        </w:rPr>
      </w:pPr>
      <w:r>
        <w:rPr>
          <w:rFonts w:ascii="Arial" w:cs="Arial" w:eastAsia="Arial" w:hAnsi="Arial"/>
          <w:sz w:val="18"/>
          <w:szCs w:val="18"/>
          <w:color w:val="auto"/>
        </w:rPr>
        <w:t>June 30, 2022 and 2021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3"/>
                <w:szCs w:val="13"/>
                <w:color w:val="auto"/>
              </w:rPr>
            </w:pPr>
          </w:p>
        </w:tc>
        <w:tc>
          <w:tcPr>
            <w:tcW w:w="1060" w:type="dxa"/>
            <w:vAlign w:val="bottom"/>
          </w:tcPr>
          <w:p>
            <w:pPr>
              <w:jc w:val="center"/>
              <w:ind w:right="78"/>
              <w:spacing w:after="0"/>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Six Months</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Six Months</w:t>
            </w:r>
          </w:p>
        </w:tc>
      </w:tr>
      <w:tr>
        <w:trPr>
          <w:trHeight w:val="145"/>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20"/>
              <w:spacing w:after="0" w:line="146"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060" w:type="dxa"/>
            <w:vAlign w:val="bottom"/>
          </w:tcPr>
          <w:p>
            <w:pPr>
              <w:jc w:val="center"/>
              <w:ind w:right="38"/>
              <w:spacing w:after="0" w:line="146" w:lineRule="exact"/>
              <w:rPr>
                <w:sz w:val="20"/>
                <w:szCs w:val="20"/>
                <w:color w:val="auto"/>
              </w:rPr>
            </w:pPr>
            <w:r>
              <w:rPr>
                <w:rFonts w:ascii="Arial" w:cs="Arial" w:eastAsia="Arial" w:hAnsi="Arial"/>
                <w:sz w:val="13"/>
                <w:szCs w:val="13"/>
                <w:b w:val="1"/>
                <w:bCs w:val="1"/>
                <w:color w:val="auto"/>
              </w:rPr>
              <w:t>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rPr>
              <w:t>Ended</w:t>
            </w:r>
          </w:p>
        </w:tc>
      </w:tr>
      <w:tr>
        <w:trPr>
          <w:trHeight w:val="185"/>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June 30, 2022</w:t>
            </w:r>
          </w:p>
        </w:tc>
        <w:tc>
          <w:tcPr>
            <w:tcW w:w="120" w:type="dxa"/>
            <w:vAlign w:val="bottom"/>
          </w:tcPr>
          <w:p>
            <w:pPr>
              <w:spacing w:after="0"/>
              <w:rPr>
                <w:sz w:val="16"/>
                <w:szCs w:val="16"/>
                <w:color w:val="auto"/>
              </w:rPr>
            </w:pPr>
          </w:p>
        </w:tc>
        <w:tc>
          <w:tcPr>
            <w:tcW w:w="1060" w:type="dxa"/>
            <w:vAlign w:val="bottom"/>
          </w:tcPr>
          <w:p>
            <w:pPr>
              <w:jc w:val="center"/>
              <w:ind w:right="58"/>
              <w:spacing w:after="0"/>
              <w:rPr>
                <w:sz w:val="20"/>
                <w:szCs w:val="20"/>
                <w:color w:val="auto"/>
              </w:rPr>
            </w:pPr>
            <w:r>
              <w:rPr>
                <w:rFonts w:ascii="Arial" w:cs="Arial" w:eastAsia="Arial" w:hAnsi="Arial"/>
                <w:sz w:val="13"/>
                <w:szCs w:val="13"/>
                <w:b w:val="1"/>
                <w:bCs w:val="1"/>
                <w:color w:val="auto"/>
              </w:rPr>
              <w:t>June 30, 2021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June 30, 2022</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June 30, 2021</w:t>
            </w: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5,465</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(880 )</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(950 )</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Contingent consideration paid *</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(7,844 )</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(7,012 )</w:t>
            </w: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(216 )</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(311 )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Borders>
              <w:top w:val="single" w:sz="8" w:color="CFF0FC"/>
            </w:tcBorders>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-170815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47" w:lineRule="exact"/>
        <w:rPr>
          <w:sz w:val="20"/>
          <w:szCs w:val="20"/>
          <w:color w:val="auto"/>
        </w:rPr>
      </w:pPr>
    </w:p>
    <w:p>
      <w:pPr>
        <w:ind w:right="240" w:firstLine="8"/>
        <w:spacing w:after="0" w:line="253"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six months ended June 30, 2022 and 2021, amounts paid related to the fair value of contingent consideration that were initially recorded in purchase accounting of $3,320 thousand and $3,800 thousand, respectively, were classified as financing cash flows in the condensed consolidated statement of cash flows. For the six months ended June 30, 2022 and 2021, amounts paid for the excess of the fair value of $4,524 thousand and $3,212 thousand, respectively, were classified as operating cash flows in the condensed consolidated statement of cash flows.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w:t>
      </w:r>
    </w:p>
    <w:p>
      <w:pPr>
        <w:spacing w:after="0" w:line="206"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June 30, 2022 and December 31, 2021, the Company had 5,445 and 8,653 open foreign exchange contracts, respectively. As of June 30, 2022 and December 31, 2021, the Company had foreign currency forward contracts outstanding with a notional amount of $35.4 million and $27.9 million, respectively.</w:t>
      </w:r>
    </w:p>
    <w:p>
      <w:pPr>
        <w:spacing w:after="0" w:line="178" w:lineRule="exact"/>
        <w:rPr>
          <w:sz w:val="20"/>
          <w:szCs w:val="20"/>
          <w:color w:val="auto"/>
        </w:rPr>
      </w:pPr>
    </w:p>
    <w:p>
      <w:pPr>
        <w:ind w:right="260" w:firstLine="509"/>
        <w:spacing w:after="0" w:line="239"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As of June 30, 2022, the Company recorded a liability of less than $0.1 million and as of December 31, 2021, the Company recorded an asset of less than $0.1 million related to outstanding foreign exchange contracts. The Company recognized a loss of $0.3 million and $0.6 million during the three and six months ended June 30, 2022, respectively. The Company recognized a gain of less than $0.1 million during the three and six months ended June 30, 2021. Gain and losses are included as a component of general and administrative expense within the condensed consolidated statements of operations and comprehensive loss.</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27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9"/>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 and related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and other non-employee related taxes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r>
      <w:tr>
        <w:trPr>
          <w:trHeight w:val="249"/>
        </w:trPr>
        <w:tc>
          <w:tcPr>
            <w:tcW w:w="8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(7,501 )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(6,131 )</w:t>
            </w:r>
          </w:p>
        </w:tc>
      </w:tr>
      <w:tr>
        <w:trPr>
          <w:trHeight w:val="249"/>
        </w:trPr>
        <w:tc>
          <w:tcPr>
            <w:tcW w:w="76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380" w:firstLine="509"/>
        <w:spacing w:after="0"/>
        <w:rPr>
          <w:sz w:val="20"/>
          <w:szCs w:val="20"/>
          <w:color w:val="auto"/>
        </w:rPr>
      </w:pPr>
      <w:r>
        <w:rPr>
          <w:rFonts w:ascii="Arial" w:cs="Arial" w:eastAsia="Arial" w:hAnsi="Arial"/>
          <w:sz w:val="18"/>
          <w:szCs w:val="18"/>
          <w:color w:val="auto"/>
        </w:rPr>
        <w:t>Depreciation and amortization expense for the three months ended June 30, 2022 and 2021 was $0.8 million and $0.5 million, respectively. Depreciation and amortization expense for the six months ended June 30, 2022 and 2021 was $1.5 million and $1.0 million, respectively.</w:t>
      </w:r>
    </w:p>
    <w:p>
      <w:pPr>
        <w:spacing w:after="0" w:line="175" w:lineRule="exact"/>
        <w:rPr>
          <w:sz w:val="20"/>
          <w:szCs w:val="20"/>
          <w:color w:val="auto"/>
        </w:rPr>
      </w:pPr>
    </w:p>
    <w:p>
      <w:pPr>
        <w:jc w:val="both"/>
        <w:ind w:right="120" w:firstLine="509"/>
        <w:spacing w:after="0" w:line="245" w:lineRule="auto"/>
        <w:rPr>
          <w:sz w:val="20"/>
          <w:szCs w:val="20"/>
          <w:color w:val="auto"/>
        </w:rPr>
      </w:pPr>
      <w:r>
        <w:rPr>
          <w:rFonts w:ascii="Arial" w:cs="Arial" w:eastAsia="Arial" w:hAnsi="Arial"/>
          <w:sz w:val="18"/>
          <w:szCs w:val="18"/>
          <w:color w:val="auto"/>
        </w:rPr>
        <w:t>During the six months ended June 30, 2021, the Company sold $0.1 million of property and equipment with accumulated depreciation of $0.1 million. The Company recognized a gain on the sale of the fixed assets of less than $0.1 million.</w:t>
      </w:r>
    </w:p>
    <w:p>
      <w:pPr>
        <w:spacing w:after="0" w:line="171"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The Company capitalized $2.9 million and $5.6 million in costs related to internal-use software during the six months ended June 30, 2022 and the year ended December 31, 2021, respectively. Software developed for internal use is amortized on a straight-line basis over its estimated useful life of five years.</w:t>
      </w:r>
    </w:p>
    <w:p>
      <w:pPr>
        <w:spacing w:after="0" w:line="156"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As of June 30, 2022 and December 31, 2021, the carrying value of internal-use software was $8.6 million and $6.5 million, respectively. Amortization expense related to internal-use software for the three months ended June 30, 2022 and 2021 was $0.3 million and $0.1 million, respectively. Amortization expense related to internal-use software for the six months ended June 30, 2022 and 2021 was $0.7 million and $0.2 million,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 Completed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WPM</w:t>
      </w:r>
    </w:p>
    <w:p>
      <w:pPr>
        <w:spacing w:after="0" w:line="189"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On December 14, 2021, Flywire completed its acquisition of WPM, a leading software provider that enables seamless and secure receivables payment experiences for universities and colleges across the U.K. The acquisition of WPM was intended to build on Flywire’s existing education payments business and is expected to further accelerate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Company's market share in the U.K. education sector. The acquisition of WPM has been accounted for as a business combination.</w:t>
      </w:r>
    </w:p>
    <w:p>
      <w:pPr>
        <w:spacing w:after="0" w:line="184" w:lineRule="exact"/>
        <w:rPr>
          <w:sz w:val="20"/>
          <w:szCs w:val="20"/>
          <w:color w:val="auto"/>
        </w:rPr>
      </w:pPr>
    </w:p>
    <w:p>
      <w:pPr>
        <w:ind w:right="1000" w:firstLine="509"/>
        <w:spacing w:after="0" w:line="245" w:lineRule="auto"/>
        <w:rPr>
          <w:sz w:val="20"/>
          <w:szCs w:val="20"/>
          <w:color w:val="auto"/>
        </w:rPr>
      </w:pPr>
      <w:r>
        <w:rPr>
          <w:rFonts w:ascii="Arial" w:cs="Arial" w:eastAsia="Arial" w:hAnsi="Arial"/>
          <w:sz w:val="18"/>
          <w:szCs w:val="18"/>
          <w:color w:val="auto"/>
        </w:rPr>
        <w:t>Pursuant to the terms of the agreement, the Company acquired all outstanding equity of WPM for estimated total purchase consideration of $59.6 million, which consisted of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56,111</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r>
      <w:tr>
        <w:trPr>
          <w:trHeight w:val="249"/>
        </w:trPr>
        <w:tc>
          <w:tcPr>
            <w:tcW w:w="9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contingent consideration is payable at various intervals through March 2024 in the form of up to approximately 225,000 shares of common stock and is dependent upon the Company's achievement of specified minimum payment volume targets and integration targets established for the years ending December 31, 2022 and 2023. A portion of the contingent consideration is also tied to continuing employment of certain key employees; accordingly, approximately 56,000 shares of common stock have been excluded from the purchase price. Therefore, total common stock included in the purchase price totals up to approximately 169,000 shares of common stock. During the three and six months ended June 30, 2022, the Company expensed $0.2 million and $0.5 million, respectively, in personnel costs associated with the retention portion of contingent consideration. These personnel costs are included in the Company’s condensed consolidated statements of operations and comprehensive loss and a liability is recorded in accrued expenses and other current liabilities on the condensed consolidated balance sheet. Contingent consideration related to minimum payment volume targets will be settled at 15 months and 27 months after acquisition date based on the 15 months and subsequent 12 months result. Contingent consideration related to integration targets will be settled in common stock upon completion. The contingent consideration related to continuing employment of certain key employees is payable at the two-year acquisition anniversary 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 did not incur any transaction costs related to the WPM acquisition during the three and six months ended June 30,</w:t>
      </w:r>
    </w:p>
    <w:p>
      <w:pPr>
        <w:spacing w:after="0"/>
        <w:rPr>
          <w:sz w:val="20"/>
          <w:szCs w:val="20"/>
          <w:color w:val="auto"/>
        </w:rPr>
      </w:pPr>
      <w:r>
        <w:rPr>
          <w:rFonts w:ascii="Arial" w:cs="Arial" w:eastAsia="Arial" w:hAnsi="Arial"/>
          <w:sz w:val="18"/>
          <w:szCs w:val="18"/>
          <w:color w:val="auto"/>
        </w:rPr>
        <w:t>2022.</w:t>
      </w:r>
    </w:p>
    <w:p>
      <w:pPr>
        <w:spacing w:after="0" w:line="166" w:lineRule="exact"/>
        <w:rPr>
          <w:sz w:val="20"/>
          <w:szCs w:val="20"/>
          <w:color w:val="auto"/>
        </w:rPr>
      </w:pPr>
    </w:p>
    <w:p>
      <w:pPr>
        <w:ind w:right="220" w:firstLine="509"/>
        <w:spacing w:after="0" w:line="258" w:lineRule="auto"/>
        <w:rPr>
          <w:sz w:val="20"/>
          <w:szCs w:val="20"/>
          <w:color w:val="auto"/>
        </w:rPr>
      </w:pPr>
      <w:r>
        <w:rPr>
          <w:rFonts w:ascii="Arial" w:cs="Arial" w:eastAsia="Arial" w:hAnsi="Arial"/>
          <w:sz w:val="18"/>
          <w:szCs w:val="18"/>
          <w:color w:val="auto"/>
        </w:rPr>
        <w:t xml:space="preserve">Except for deferred revenue, which has been recognized in accordance with ASU 2021-08,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Contract Assets and Contract Liabilities from Contracts with Customers</w:t>
      </w:r>
      <w:r>
        <w:rPr>
          <w:rFonts w:ascii="Arial" w:cs="Arial" w:eastAsia="Arial" w:hAnsi="Arial"/>
          <w:sz w:val="18"/>
          <w:szCs w:val="18"/>
          <w:color w:val="auto"/>
        </w:rPr>
        <w:t>, the following table summarizes the allocation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consideration to the fair value of the assets acquired and liabilities assumed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r>
      <w:tr>
        <w:trPr>
          <w:trHeight w:val="216"/>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40,389</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31,301</w:t>
            </w:r>
          </w:p>
        </w:tc>
        <w:tc>
          <w:tcPr>
            <w:tcW w:w="100" w:type="dxa"/>
            <w:vAlign w:val="bottom"/>
          </w:tcPr>
          <w:p>
            <w:pPr>
              <w:spacing w:after="0"/>
              <w:rPr>
                <w:sz w:val="18"/>
                <w:szCs w:val="18"/>
                <w:color w:val="auto"/>
              </w:rPr>
            </w:pPr>
          </w:p>
        </w:tc>
      </w:tr>
      <w:tr>
        <w:trPr>
          <w:trHeight w:val="209"/>
        </w:trPr>
        <w:tc>
          <w:tcPr>
            <w:tcW w:w="9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assets acquired</w:t>
            </w:r>
          </w:p>
        </w:tc>
        <w:tc>
          <w:tcPr>
            <w:tcW w:w="7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8"/>
                <w:szCs w:val="18"/>
                <w:color w:val="auto"/>
              </w:rPr>
            </w:pPr>
          </w:p>
        </w:tc>
      </w:tr>
      <w:tr>
        <w:trPr>
          <w:trHeight w:val="216"/>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9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7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2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Pr>
          <w:p>
            <w:pPr>
              <w:spacing w:after="0"/>
              <w:rPr>
                <w:sz w:val="18"/>
                <w:szCs w:val="18"/>
                <w:color w:val="auto"/>
              </w:rPr>
            </w:pPr>
          </w:p>
        </w:tc>
      </w:tr>
      <w:tr>
        <w:trPr>
          <w:trHeight w:val="209"/>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61,711</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8"/>
                <w:szCs w:val="18"/>
                <w:color w:val="auto"/>
              </w:rPr>
            </w:pPr>
          </w:p>
        </w:tc>
      </w:tr>
      <w:tr>
        <w:trPr>
          <w:trHeight w:val="249"/>
        </w:trPr>
        <w:tc>
          <w:tcPr>
            <w:tcW w:w="9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100" w:firstLine="509"/>
        <w:spacing w:after="0" w:line="274" w:lineRule="auto"/>
        <w:rPr>
          <w:sz w:val="20"/>
          <w:szCs w:val="20"/>
          <w:color w:val="auto"/>
        </w:rPr>
      </w:pPr>
      <w:r>
        <w:rPr>
          <w:rFonts w:ascii="Arial" w:cs="Arial" w:eastAsia="Arial" w:hAnsi="Arial"/>
          <w:sz w:val="17"/>
          <w:szCs w:val="17"/>
          <w:color w:val="auto"/>
        </w:rPr>
        <w:t>Goodwill arising from the acquisition of $40.4 million was attributable to the assembled workforce of WPM and the synergies expected to arise from the acquisition. The Company expects that no goodwill from this acquisition will be deductible for income tax purposes.</w:t>
      </w:r>
    </w:p>
    <w:p>
      <w:pPr>
        <w:spacing w:after="0" w:line="13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following table reflects the estimated fair values of the identified intangible assets of WPM and their respective weighted-average estimated amortization periods.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r>
      <w:tr>
        <w:trPr>
          <w:trHeight w:val="148"/>
        </w:trPr>
        <w:tc>
          <w:tcPr>
            <w:tcW w:w="7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r>
      <w:tr>
        <w:trPr>
          <w:trHeight w:val="162"/>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rPr>
              <w:t>Estimated Fair</w:t>
            </w:r>
          </w:p>
        </w:tc>
        <w:tc>
          <w:tcPr>
            <w:tcW w:w="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r>
      <w:tr>
        <w:trPr>
          <w:trHeight w:val="189"/>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Values</w:t>
            </w:r>
          </w:p>
        </w:tc>
        <w:tc>
          <w:tcPr>
            <w:tcW w:w="3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220" w:type="dxa"/>
            <w:vAlign w:val="bottom"/>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31,301</w:t>
            </w:r>
          </w:p>
        </w:tc>
        <w:tc>
          <w:tcPr>
            <w:tcW w:w="3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-24765</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results of WPM have been included in the consolidated financial statements since the date of the acquisition. The Company has not disclosed unaudited pro forma financial information that shows the results of the Company’s operations for the three and six months ended June 30, 2021 as if the acquisition had occurred on January 1, 2020 as the historical results of WPM are not material to the Company’s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Acquired Intangible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5"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The following table summarizes the changes in the carrying amount of goodwill for the three and six months ended June 30, 2022 and 2021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0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0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r>
      <w:tr>
        <w:trPr>
          <w:trHeight w:val="196"/>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7"/>
                <w:szCs w:val="17"/>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7"/>
                <w:szCs w:val="17"/>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7"/>
                <w:szCs w:val="17"/>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7"/>
                <w:szCs w:val="17"/>
                <w:color w:val="auto"/>
              </w:rPr>
            </w:pPr>
          </w:p>
        </w:tc>
      </w:tr>
      <w:tr>
        <w:trPr>
          <w:trHeight w:val="215"/>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84,666</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44,618</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85,841</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(3,023 )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(4,198 )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49"/>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44,656</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81,643</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goodwill impairment was recorded during the six months ended June 30, 2022 and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81"/>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ind w:left="135"/>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restart"/>
          </w:tcPr>
          <w:p>
            <w:pPr>
              <w:jc w:val="center"/>
              <w:ind w:right="18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2"/>
                <w:szCs w:val="12"/>
                <w:color w:val="auto"/>
              </w:rPr>
            </w:pPr>
          </w:p>
        </w:tc>
        <w:tc>
          <w:tcPr>
            <w:tcW w:w="11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left="155"/>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160" w:type="dxa"/>
            <w:vAlign w:val="bottom"/>
          </w:tcPr>
          <w:p>
            <w:pPr>
              <w:jc w:val="center"/>
              <w:ind w:right="4"/>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6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26,485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(12,856</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Client Relationships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79,607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(7,212 )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(511 )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Non-Compete Agreement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(414 )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360" w:type="dxa"/>
            <w:vAlign w:val="bottom"/>
            <w:tcBorders>
              <w:bottom w:val="single" w:sz="8" w:color="CFF0FC"/>
            </w:tcBorders>
            <w:shd w:val="clear" w:color="auto" w:fill="CFF0FC"/>
          </w:tcPr>
          <w:p>
            <w:pPr>
              <w:spacing w:after="0"/>
              <w:rPr>
                <w:sz w:val="21"/>
                <w:szCs w:val="21"/>
                <w:color w:val="auto"/>
              </w:rPr>
            </w:pPr>
          </w:p>
        </w:tc>
        <w:tc>
          <w:tcPr>
            <w:tcW w:w="36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107,072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86,079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4"/>
                <w:szCs w:val="14"/>
                <w:color w:val="auto"/>
              </w:rPr>
              <w:t>* Includes $(3,206) thousand of foreign currency translation adjustments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jc w:val="right"/>
              <w:ind w:right="281"/>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vMerge w:val="restart"/>
          </w:tcPr>
          <w:p>
            <w:pPr>
              <w:jc w:val="right"/>
              <w:ind w:right="42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660" w:type="dxa"/>
            <w:vAlign w:val="bottom"/>
            <w:tcBorders>
              <w:top w:val="single" w:sz="8" w:color="auto"/>
            </w:tcBorders>
            <w:shd w:val="clear" w:color="auto" w:fill="CFF0FC"/>
          </w:tcPr>
          <w:p>
            <w:pPr>
              <w:jc w:val="right"/>
              <w:ind w:right="46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26,600</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Client Relationships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82,887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(5,356 )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77,531</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(511 )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Non-Compete Agreement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360" w:type="dxa"/>
            <w:vAlign w:val="bottom"/>
            <w:tcBorders>
              <w:bottom w:val="single" w:sz="8" w:color="CFF0FC"/>
            </w:tcBorders>
            <w:shd w:val="clear" w:color="auto" w:fill="CFF0FC"/>
          </w:tcPr>
          <w:p>
            <w:pPr>
              <w:spacing w:after="0"/>
              <w:rPr>
                <w:sz w:val="21"/>
                <w:szCs w:val="21"/>
                <w:color w:val="auto"/>
              </w:rPr>
            </w:pPr>
          </w:p>
        </w:tc>
        <w:tc>
          <w:tcPr>
            <w:tcW w:w="36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ind w:right="46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110,467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93,598</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-1840230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-1823085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-1840230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-1823085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-1840230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-1823085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-136525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-119380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-136525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-119380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-136525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-119380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ind w:left="5520" w:right="2960" w:hanging="5515"/>
        <w:spacing w:after="0" w:line="260" w:lineRule="auto"/>
        <w:rPr>
          <w:sz w:val="20"/>
          <w:szCs w:val="20"/>
          <w:color w:val="auto"/>
        </w:rPr>
      </w:pPr>
      <w:r>
        <w:rPr>
          <w:rFonts w:ascii="Arial" w:cs="Arial" w:eastAsia="Arial" w:hAnsi="Arial"/>
          <w:sz w:val="14"/>
          <w:szCs w:val="14"/>
          <w:color w:val="auto"/>
        </w:rPr>
        <w:t xml:space="preserve">* Includes $628 thousand of foreign currency translation adjustments and $119 thousand in acquired developed technology assets </w:t>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Amortization expense for the three months ended June 30, 2022 and 2021 was $2.2 million and $1.7 million, respectively. Amortization expense for the six months ended June 30, 2022 and 2021 was $4.3 million and $3.3 million, respectively.</w:t>
      </w:r>
    </w:p>
    <w:p>
      <w:pPr>
        <w:spacing w:after="0" w:line="171"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As of June 30, 2022, the estimated annual amortization expense of intangible assets for each of the next five years and thereafter is expected to be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jc w:val="center"/>
              <w:ind w:right="255"/>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r>
      <w:tr>
        <w:trPr>
          <w:trHeight w:val="148"/>
        </w:trPr>
        <w:tc>
          <w:tcPr>
            <w:tcW w:w="9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2"/>
                <w:szCs w:val="12"/>
                <w:color w:val="auto"/>
              </w:rPr>
            </w:pPr>
          </w:p>
        </w:tc>
      </w:tr>
      <w:tr>
        <w:trPr>
          <w:trHeight w:val="196"/>
        </w:trPr>
        <w:tc>
          <w:tcPr>
            <w:tcW w:w="9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7"/>
                <w:szCs w:val="17"/>
                <w:color w:val="auto"/>
              </w:rPr>
            </w:pPr>
          </w:p>
        </w:tc>
      </w:tr>
      <w:tr>
        <w:trPr>
          <w:trHeight w:val="215"/>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of fiscal year 2022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w:t>
            </w:r>
          </w:p>
        </w:tc>
        <w:tc>
          <w:tcPr>
            <w:tcW w:w="100" w:type="dxa"/>
            <w:vAlign w:val="bottom"/>
            <w:shd w:val="clear" w:color="auto" w:fill="CFF0FC"/>
          </w:tcPr>
          <w:p>
            <w:pPr>
              <w:spacing w:after="0"/>
              <w:rPr>
                <w:sz w:val="18"/>
                <w:szCs w:val="18"/>
                <w:color w:val="auto"/>
              </w:rPr>
            </w:pPr>
          </w:p>
        </w:tc>
      </w:tr>
      <w:tr>
        <w:trPr>
          <w:trHeight w:val="216"/>
        </w:trPr>
        <w:tc>
          <w:tcPr>
            <w:tcW w:w="916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9,271</w:t>
            </w:r>
          </w:p>
        </w:tc>
        <w:tc>
          <w:tcPr>
            <w:tcW w:w="100" w:type="dxa"/>
            <w:vAlign w:val="bottom"/>
          </w:tcPr>
          <w:p>
            <w:pPr>
              <w:spacing w:after="0"/>
              <w:rPr>
                <w:sz w:val="18"/>
                <w:szCs w:val="18"/>
                <w:color w:val="auto"/>
              </w:rPr>
            </w:pPr>
          </w:p>
        </w:tc>
      </w:tr>
      <w:tr>
        <w:trPr>
          <w:trHeight w:val="216"/>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9,443</w:t>
            </w:r>
          </w:p>
        </w:tc>
        <w:tc>
          <w:tcPr>
            <w:tcW w:w="100" w:type="dxa"/>
            <w:vAlign w:val="bottom"/>
            <w:shd w:val="clear" w:color="auto" w:fill="CFF0FC"/>
          </w:tcPr>
          <w:p>
            <w:pPr>
              <w:spacing w:after="0"/>
              <w:rPr>
                <w:sz w:val="18"/>
                <w:szCs w:val="18"/>
                <w:color w:val="auto"/>
              </w:rPr>
            </w:pPr>
          </w:p>
        </w:tc>
      </w:tr>
      <w:tr>
        <w:trPr>
          <w:trHeight w:val="216"/>
        </w:trPr>
        <w:tc>
          <w:tcPr>
            <w:tcW w:w="916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18"/>
                <w:szCs w:val="18"/>
                <w:color w:val="auto"/>
              </w:rPr>
            </w:pPr>
          </w:p>
        </w:tc>
      </w:tr>
      <w:tr>
        <w:trPr>
          <w:trHeight w:val="216"/>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7,236</w:t>
            </w:r>
          </w:p>
        </w:tc>
        <w:tc>
          <w:tcPr>
            <w:tcW w:w="100" w:type="dxa"/>
            <w:vAlign w:val="bottom"/>
            <w:shd w:val="clear" w:color="auto" w:fill="CFF0FC"/>
          </w:tcPr>
          <w:p>
            <w:pPr>
              <w:spacing w:after="0"/>
              <w:rPr>
                <w:sz w:val="18"/>
                <w:szCs w:val="18"/>
                <w:color w:val="auto"/>
              </w:rPr>
            </w:pPr>
          </w:p>
        </w:tc>
      </w:tr>
      <w:tr>
        <w:trPr>
          <w:trHeight w:val="216"/>
        </w:trPr>
        <w:tc>
          <w:tcPr>
            <w:tcW w:w="9160" w:type="dxa"/>
            <w:vAlign w:val="bottom"/>
          </w:tcPr>
          <w:p>
            <w:pPr>
              <w:ind w:left="20"/>
              <w:spacing w:after="0"/>
              <w:rPr>
                <w:sz w:val="20"/>
                <w:szCs w:val="20"/>
                <w:color w:val="auto"/>
              </w:rPr>
            </w:pPr>
            <w:r>
              <w:rPr>
                <w:rFonts w:ascii="Arial" w:cs="Arial" w:eastAsia="Arial" w:hAnsi="Arial"/>
                <w:sz w:val="18"/>
                <w:szCs w:val="18"/>
                <w:color w:val="auto"/>
              </w:rPr>
              <w:t>2027</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8"/>
                <w:szCs w:val="18"/>
                <w:color w:val="auto"/>
              </w:rPr>
            </w:pPr>
          </w:p>
        </w:tc>
      </w:tr>
      <w:tr>
        <w:trPr>
          <w:trHeight w:val="216"/>
        </w:trPr>
        <w:tc>
          <w:tcPr>
            <w:tcW w:w="9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86,079</w:t>
            </w:r>
          </w:p>
        </w:tc>
        <w:tc>
          <w:tcPr>
            <w:tcW w:w="10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Syndication Loan</w:t>
      </w:r>
    </w:p>
    <w:p>
      <w:pPr>
        <w:spacing w:after="0" w:line="193"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On July 29, 2021, the Company entered into a three-year senior secured revolving credit syndication loan (the Revolving Credit Facility) with three banks for a total commitment of $50.0 million. The Revolving Credit Facility includes a $5.0 million letter of credit sub-facility and a $5.0 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 One of the lenders in the syndicate was the existing debt holder under the Loan and Security Agreement (the LSA) entered into in 2018 and amended in 2020.</w:t>
      </w:r>
    </w:p>
    <w:p>
      <w:pPr>
        <w:spacing w:after="0" w:line="172"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The Revolving Credit Facility consists of Alternate Base Rate (ABR) loans or Eurodollar Borrowings, at the Company’s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the Company’s liquidity as of the most recent consolidated financial information and ranges from 0.75% to 2.25%. The Revolving Credit Facility incurs a commitment fee ranging from 0.25% to 0.35% based upon the Company’s liquidity as of the most recent consolidated financial information assessed on the average undrawn portion of the available commitment.</w:t>
      </w:r>
    </w:p>
    <w:p>
      <w:pPr>
        <w:spacing w:after="0" w:line="14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June 30, 2022.</w:t>
      </w:r>
    </w:p>
    <w:p>
      <w:pPr>
        <w:spacing w:after="0" w:line="17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July 29, 2021, the Company drew $25.9 million on the Revolving Credit Facility and used the proceeds to early prepay the LSA $25.0 million term loan. In connection with the transaction, the Company incurred $0.4 million in prepayment costs and $0.3 million in debt issuance costs. Debt issuance costs related to new lenders in the syndication are amortized on a straight-line basis over the term of the Revolving Credit Facility. Debt issuance costs related to the existing lender in the syndication were expensed. The exchange of the LSA term loan with the Revolving Credit Facility from the same lender was accounted for as a modification. Prior to entering into the Revolving Credit Facility, debt issuance costs and debt discounts were amortized to interest expense using the effective interest method over the repayment term of the debt and were presented as an offset to the outstanding debt balance on the consolidated balance sheets. Upon the execution of the Revolving Credit Facility, debt issuance costs and debt discount are amortized on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800"/>
        <w:spacing w:after="0" w:line="245" w:lineRule="auto"/>
        <w:rPr>
          <w:sz w:val="20"/>
          <w:szCs w:val="20"/>
          <w:color w:val="auto"/>
        </w:rPr>
      </w:pPr>
      <w:r>
        <w:rPr>
          <w:rFonts w:ascii="Arial" w:cs="Arial" w:eastAsia="Arial" w:hAnsi="Arial"/>
          <w:sz w:val="18"/>
          <w:szCs w:val="18"/>
          <w:color w:val="auto"/>
        </w:rPr>
        <w:t>straight-line basis over the contractual term of the agreement and are presented as a component of other assets on the Company's consolidated balance sheets.</w:t>
      </w:r>
    </w:p>
    <w:p>
      <w:pPr>
        <w:spacing w:after="0" w:line="171" w:lineRule="exact"/>
        <w:rPr>
          <w:sz w:val="20"/>
          <w:szCs w:val="20"/>
          <w:color w:val="auto"/>
        </w:rPr>
      </w:pPr>
    </w:p>
    <w:p>
      <w:pPr>
        <w:ind w:right="740" w:firstLine="509"/>
        <w:spacing w:after="0" w:line="445" w:lineRule="auto"/>
        <w:rPr>
          <w:sz w:val="20"/>
          <w:szCs w:val="20"/>
          <w:color w:val="auto"/>
        </w:rPr>
      </w:pPr>
      <w:r>
        <w:rPr>
          <w:rFonts w:ascii="Arial" w:cs="Arial" w:eastAsia="Arial" w:hAnsi="Arial"/>
          <w:sz w:val="18"/>
          <w:szCs w:val="18"/>
          <w:color w:val="auto"/>
        </w:rPr>
        <w:t xml:space="preserve">As of June 30, 2022 and December 31, 2021, the Company had $25.9 million outstanding under the Revolving Credit Facility. </w:t>
      </w:r>
      <w:r>
        <w:rPr>
          <w:rFonts w:ascii="Arial" w:cs="Arial" w:eastAsia="Arial" w:hAnsi="Arial"/>
          <w:sz w:val="18"/>
          <w:szCs w:val="18"/>
          <w:b w:val="1"/>
          <w:bCs w:val="1"/>
          <w:i w:val="1"/>
          <w:iCs w:val="1"/>
          <w:color w:val="auto"/>
        </w:rPr>
        <w:t>Loan and Security Agreement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16, 2018, the Company entered into the LSA with a financial institution for a $25.0 million loan with interest at a rate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8.5% per annum. The LSA maturity date was January 22, 2022. The Company was obligated to make monthly interest payments on the loan.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LSA was interest only until February 1, 2020 pending on achieving certain revenue and margin targets. The Company incurred debt</w:t>
      </w:r>
    </w:p>
    <w:p>
      <w:pPr>
        <w:spacing w:after="0" w:line="234" w:lineRule="auto"/>
        <w:rPr>
          <w:sz w:val="20"/>
          <w:szCs w:val="20"/>
          <w:color w:val="auto"/>
        </w:rPr>
      </w:pPr>
      <w:r>
        <w:rPr>
          <w:rFonts w:ascii="Arial" w:cs="Arial" w:eastAsia="Arial" w:hAnsi="Arial"/>
          <w:sz w:val="18"/>
          <w:szCs w:val="18"/>
          <w:color w:val="auto"/>
        </w:rPr>
        <w:t>issuance costs of $0.2 million in connection with the issuance of the LSA, which were amortized to interest expense, using the effective</w:t>
      </w:r>
    </w:p>
    <w:p>
      <w:pPr>
        <w:spacing w:after="0"/>
        <w:rPr>
          <w:sz w:val="20"/>
          <w:szCs w:val="20"/>
          <w:color w:val="auto"/>
        </w:rPr>
      </w:pPr>
      <w:r>
        <w:rPr>
          <w:rFonts w:ascii="Arial" w:cs="Arial" w:eastAsia="Arial" w:hAnsi="Arial"/>
          <w:sz w:val="18"/>
          <w:szCs w:val="18"/>
          <w:color w:val="auto"/>
        </w:rPr>
        <w:t>interest method, over the term of the loan.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25, 2020, the Company entered into a Joinder and First Amendment to the LSA for administrative matters.</w:t>
      </w:r>
    </w:p>
    <w:p>
      <w:pPr>
        <w:spacing w:after="0" w:line="18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May 18, 2020, the Company entered into a Joinder and Second Amendment to the LSA to refinance the LSA. As part of the amendment, the financial institution re-advanced $4.2 million of principal paid on the loan through May 1, 2020. The final maturity date of the LSA was extended to May 2025. The new stated interest rate was at a floating per annum rate equal to the greater of (i) 5.25% above the prime rate; or (ii) 8.50%. The LSA was interest only until May 2023. Beginning on June 1, 2023, the Company would make 24 equal principal payments. The Company incurred $0.2 million in commitment fees from the financial institution to close the refinancing. These commitment fees were recorded as a reduction to the loan balance on the balance sheet.</w:t>
      </w:r>
    </w:p>
    <w:p>
      <w:pPr>
        <w:spacing w:after="0" w:line="179"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On June 2, 2020, December 9, 2020 and May 19, 2021, the Company entered into a Third, Fourth and Fifth Amendment, respectively, to the LSA for administrative matters.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amendments were accounted for as debt modifications.</w:t>
      </w:r>
    </w:p>
    <w:p>
      <w:pPr>
        <w:spacing w:after="0" w:line="184"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On July 29, 2021, the Company drew $25.9 million on its new Revolving Credit Facility and used the proceeds to early prepay the $25.0 million LSA. In connection with the transaction, the Company incurred $0.4 million of prepayment costs.</w:t>
      </w:r>
    </w:p>
    <w:p>
      <w:pPr>
        <w:spacing w:after="0" w:line="157"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Interest expense for the three months ended June 30, 2022 and 2021 was $0.3 million and $0.6 million, respectively. Included in interest expense for the three months ended June 30, 2022 and 2021 is $0.1 million and $0.1 million of amortization of debt issuance cost and debt discount. Interest expense for the six months ended June 30, 2022 and 2021 was $0.5 million and $1.2 million, respectively. Included in interest expense for the six months ended June 30, 2022 and 2021 is $0.2 million and $0.1 million, respectively of amortization of debt issuance cost and debt discount.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(Deficit)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3"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10,000,000 shares of undesignated preferred stock with a par value of $0.0001 per share with rights and preferences, including voting rights, designated from time to time by the board of directors.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19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connection with the IPO, the Company’s current amended and restated certificate of incorporation authorized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58" w:lineRule="exact"/>
        <w:rPr>
          <w:sz w:val="20"/>
          <w:szCs w:val="20"/>
          <w:color w:val="auto"/>
        </w:rPr>
      </w:pPr>
    </w:p>
    <w:p>
      <w:pPr>
        <w:ind w:right="540" w:firstLine="509"/>
        <w:spacing w:after="0" w:line="239" w:lineRule="auto"/>
        <w:rPr>
          <w:sz w:val="20"/>
          <w:szCs w:val="20"/>
          <w:color w:val="auto"/>
        </w:rPr>
      </w:pPr>
      <w:r>
        <w:rPr>
          <w:rFonts w:ascii="Arial" w:cs="Arial" w:eastAsia="Arial" w:hAnsi="Arial"/>
          <w:sz w:val="18"/>
          <w:szCs w:val="18"/>
          <w:color w:val="auto"/>
        </w:rPr>
        <w:t>Holders of the Company's common stock have no conversion rights while each share of non -voting common stock automatically converts into common stock on a one-to-one basis without the payment of additional consideration upon the transfer thereof in (i) a widespread public distribution, including pursuant to Rule 144 under the Securities Act, (ii) a</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0" w:type="dxa"/>
            <w:vAlign w:val="bottom"/>
          </w:tcPr>
          <w:p>
            <w:pPr>
              <w:ind w:left="520"/>
              <w:spacing w:after="0"/>
              <w:rPr>
                <w:sz w:val="20"/>
                <w:szCs w:val="20"/>
                <w:color w:val="auto"/>
              </w:rPr>
            </w:pPr>
            <w:r>
              <w:rPr>
                <w:rFonts w:ascii="Arial" w:cs="Arial" w:eastAsia="Arial" w:hAnsi="Arial"/>
                <w:sz w:val="18"/>
                <w:szCs w:val="18"/>
                <w:color w:val="auto"/>
              </w:rPr>
              <w:t>As of June 30, 2022, the Company had reserved shares of common stock for future issuance as follows: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9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outstanding stock options</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13,466,157</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Issued and outstanding restricted stock units</w:t>
            </w:r>
          </w:p>
        </w:tc>
        <w:tc>
          <w:tcPr>
            <w:tcW w:w="1940" w:type="dxa"/>
            <w:vAlign w:val="bottom"/>
          </w:tcPr>
          <w:p>
            <w:pPr>
              <w:jc w:val="right"/>
              <w:spacing w:after="0"/>
              <w:rPr>
                <w:sz w:val="20"/>
                <w:szCs w:val="20"/>
                <w:color w:val="auto"/>
              </w:rPr>
            </w:pPr>
            <w:r>
              <w:rPr>
                <w:rFonts w:ascii="Arial" w:cs="Arial" w:eastAsia="Arial" w:hAnsi="Arial"/>
                <w:sz w:val="18"/>
                <w:szCs w:val="18"/>
                <w:color w:val="auto"/>
              </w:rPr>
              <w:t>2,795,230</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issuance under the 2021 Equity Incentive Plan</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11,890,589</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Available for issuance under Employee Stock Purchase Plan</w:t>
            </w:r>
          </w:p>
        </w:tc>
        <w:tc>
          <w:tcPr>
            <w:tcW w:w="1940" w:type="dxa"/>
            <w:vAlign w:val="bottom"/>
          </w:tcPr>
          <w:p>
            <w:pPr>
              <w:jc w:val="right"/>
              <w:spacing w:after="0"/>
              <w:rPr>
                <w:sz w:val="20"/>
                <w:szCs w:val="20"/>
                <w:color w:val="auto"/>
              </w:rPr>
            </w:pPr>
            <w:r>
              <w:rPr>
                <w:rFonts w:ascii="Arial" w:cs="Arial" w:eastAsia="Arial" w:hAnsi="Arial"/>
                <w:sz w:val="18"/>
                <w:szCs w:val="18"/>
                <w:color w:val="auto"/>
              </w:rPr>
              <w:t>2,618,718</w:t>
            </w:r>
          </w:p>
        </w:tc>
        <w:tc>
          <w:tcPr>
            <w:tcW w:w="100" w:type="dxa"/>
            <w:vAlign w:val="bottom"/>
          </w:tcPr>
          <w:p>
            <w:pPr>
              <w:spacing w:after="0"/>
              <w:rPr>
                <w:sz w:val="18"/>
                <w:szCs w:val="18"/>
                <w:color w:val="auto"/>
              </w:rPr>
            </w:pPr>
          </w:p>
        </w:tc>
      </w:tr>
      <w:tr>
        <w:trPr>
          <w:trHeight w:val="216"/>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Available for conversion of non-voting common stock</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5,988,378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36,759,072</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Stock-Based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06"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 which became effective in connection with the IPO.</w:t>
      </w:r>
    </w:p>
    <w:p>
      <w:pPr>
        <w:spacing w:after="0" w:line="171"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No further awards are being made under the Company’s 2009 Equity Incentive Plan, as amended (the 2009 Plan) or the Company’s 2018 Equity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4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14,523,284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voting common stock will become available under the 2021 Plan.</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a total of 11,890,589 shares of the Company's common stock were available for future issuance under the 2021</w:t>
      </w:r>
    </w:p>
    <w:p>
      <w:pPr>
        <w:spacing w:after="0"/>
        <w:rPr>
          <w:sz w:val="20"/>
          <w:szCs w:val="20"/>
          <w:color w:val="auto"/>
        </w:rPr>
      </w:pPr>
      <w:r>
        <w:rPr>
          <w:rFonts w:ascii="Arial" w:cs="Arial" w:eastAsia="Arial" w:hAnsi="Arial"/>
          <w:sz w:val="18"/>
          <w:szCs w:val="18"/>
          <w:color w:val="auto"/>
        </w:rPr>
        <w:t>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jc w:val="both"/>
        <w:ind w:right="260" w:firstLine="509"/>
        <w:spacing w:after="0" w:line="247"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70" w:lineRule="exact"/>
        <w:rPr>
          <w:sz w:val="20"/>
          <w:szCs w:val="20"/>
          <w:color w:val="auto"/>
        </w:rPr>
      </w:pPr>
    </w:p>
    <w:p>
      <w:pPr>
        <w:ind w:right="640" w:firstLine="509"/>
        <w:spacing w:after="0" w:line="245" w:lineRule="auto"/>
        <w:rPr>
          <w:sz w:val="20"/>
          <w:szCs w:val="20"/>
          <w:color w:val="auto"/>
        </w:rPr>
      </w:pPr>
      <w:r>
        <w:rPr>
          <w:rFonts w:ascii="Arial" w:cs="Arial" w:eastAsia="Arial" w:hAnsi="Arial"/>
          <w:sz w:val="18"/>
          <w:szCs w:val="18"/>
          <w:color w:val="auto"/>
        </w:rPr>
        <w:t>During the three and six months ended June 30, 2022, the Company granted options to purchase an aggregate of 121,500 and 333,500 shares of common stock with weighted average exercise prices of $30.08 and $30.08 per share, respectively.</w:t>
      </w:r>
    </w:p>
    <w:p>
      <w:pPr>
        <w:spacing w:after="0" w:line="15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fair value of each option award was estimated on the date of grant using the Black-Scholes option-pricing model with the following assumptions: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740" w:type="dxa"/>
            <w:vAlign w:val="bottom"/>
          </w:tcPr>
          <w:p>
            <w:pPr>
              <w:jc w:val="center"/>
              <w:ind w:left="24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680" w:type="dxa"/>
            <w:vAlign w:val="bottom"/>
          </w:tcPr>
          <w:p>
            <w:pPr>
              <w:spacing w:after="0"/>
              <w:rPr>
                <w:sz w:val="16"/>
                <w:szCs w:val="16"/>
                <w:color w:val="auto"/>
              </w:rPr>
            </w:pPr>
          </w:p>
        </w:tc>
        <w:tc>
          <w:tcPr>
            <w:tcW w:w="1740" w:type="dxa"/>
            <w:vAlign w:val="bottom"/>
          </w:tcPr>
          <w:p>
            <w:pPr>
              <w:jc w:val="center"/>
              <w:ind w:left="288"/>
              <w:spacing w:after="0"/>
              <w:rPr>
                <w:sz w:val="20"/>
                <w:szCs w:val="20"/>
                <w:color w:val="auto"/>
              </w:rPr>
            </w:pPr>
            <w:r>
              <w:rPr>
                <w:rFonts w:ascii="Arial" w:cs="Arial" w:eastAsia="Arial" w:hAnsi="Arial"/>
                <w:sz w:val="14"/>
                <w:szCs w:val="14"/>
                <w:b w:val="1"/>
                <w:bCs w:val="1"/>
                <w:color w:val="auto"/>
              </w:rPr>
              <w:t>June 30, 2022</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 2022</w:t>
            </w:r>
          </w:p>
        </w:tc>
      </w:tr>
      <w:tr>
        <w:trPr>
          <w:trHeight w:val="20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7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6.08</w:t>
            </w:r>
          </w:p>
        </w:tc>
        <w:tc>
          <w:tcPr>
            <w:tcW w:w="280" w:type="dxa"/>
            <w:vAlign w:val="bottom"/>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52.5 %</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47.4 %</w:t>
            </w:r>
          </w:p>
        </w:tc>
      </w:tr>
      <w:tr>
        <w:trPr>
          <w:trHeight w:val="216"/>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3.0 %</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As of June 30, 2022, there was $27.9 million of total unrecognized compensation expense related to unvested stock options, which is expected to be recognized over a weighted-average period of 2.5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206" w:lineRule="exact"/>
        <w:rPr>
          <w:sz w:val="20"/>
          <w:szCs w:val="20"/>
          <w:color w:val="auto"/>
        </w:rPr>
      </w:pPr>
    </w:p>
    <w:p>
      <w:pPr>
        <w:ind w:right="420" w:firstLine="509"/>
        <w:spacing w:after="0"/>
        <w:rPr>
          <w:sz w:val="20"/>
          <w:szCs w:val="20"/>
          <w:color w:val="auto"/>
        </w:rPr>
      </w:pPr>
      <w:r>
        <w:rPr>
          <w:rFonts w:ascii="Arial" w:cs="Arial" w:eastAsia="Arial" w:hAnsi="Arial"/>
          <w:sz w:val="18"/>
          <w:szCs w:val="18"/>
          <w:color w:val="auto"/>
        </w:rPr>
        <w:t>During 2018, the Company granted restricted stock awards to employees under the 2018 Plan. The restricted stock awards vested ratably over a four year period from the date of grant. The fair value of each restricted stock award was the estimated fair value of the common stock on the date of grant. All restricted stock awards were fully vested as of January 2022.</w:t>
      </w:r>
    </w:p>
    <w:p>
      <w:pPr>
        <w:spacing w:after="0" w:line="17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During 2021, the Company awarded restricted stock units to employees and certain nonemployee board members under the 2021 Plan. During the three and six months ended June 30, 2022, the Company awarded restricted stock units covering an aggregate of 438,518 and 2,717,552 shares of common stock, respectively. For the Company's executives, the fair value of the restricted stock units was estimated based upon the trailing 20 day trading price of the Company's common stock and for the remainder of the employees and nonemployee board members receiving restricted stock units, the fair value of the restricted stock units was estimated based upon the market closing price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78" w:lineRule="exact"/>
        <w:rPr>
          <w:sz w:val="20"/>
          <w:szCs w:val="20"/>
          <w:color w:val="auto"/>
        </w:rPr>
      </w:pPr>
    </w:p>
    <w:p>
      <w:pPr>
        <w:ind w:right="320" w:firstLine="509"/>
        <w:spacing w:after="0" w:line="245" w:lineRule="auto"/>
        <w:rPr>
          <w:sz w:val="20"/>
          <w:szCs w:val="20"/>
          <w:color w:val="auto"/>
        </w:rPr>
      </w:pPr>
      <w:r>
        <w:rPr>
          <w:rFonts w:ascii="Arial" w:cs="Arial" w:eastAsia="Arial" w:hAnsi="Arial"/>
          <w:sz w:val="18"/>
          <w:szCs w:val="18"/>
          <w:color w:val="auto"/>
        </w:rPr>
        <w:t>As of June 30, 2022, there was $61.3 million of total unrecognized compensation expense related to unvested restricted stock units, which is expected to be recognized over a weighted-average period of 3.6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in connection with the IPO. The ESPP authorizes the issuance of shares of common stock pursuant to purchase rights granted to "eligible employees". A total of 2,618,718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15% of their eligible compensation. Offering periods are generally 6 months long.</w:t>
      </w:r>
    </w:p>
    <w:p>
      <w:pPr>
        <w:spacing w:after="0" w:line="177"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The ESPP enrollment period started on December 15, 2021 and ended on December 31, 2021. The first offering period commenced on January 1, 2022 and ended on June 30, 2022. The second offering period commenced on July 1, 2022 and will end on December 31, 2022.</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there was $0 of total unrecognized compensation expense related to the ESPP.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93" w:lineRule="exact"/>
        <w:rPr>
          <w:sz w:val="20"/>
          <w:szCs w:val="20"/>
          <w:color w:val="auto"/>
        </w:rPr>
      </w:pPr>
    </w:p>
    <w:p>
      <w:pPr>
        <w:jc w:val="both"/>
        <w:ind w:right="220" w:firstLine="509"/>
        <w:spacing w:after="0" w:line="290" w:lineRule="auto"/>
        <w:rPr>
          <w:sz w:val="20"/>
          <w:szCs w:val="20"/>
          <w:color w:val="auto"/>
        </w:rPr>
      </w:pPr>
      <w:r>
        <w:rPr>
          <w:rFonts w:ascii="Arial" w:cs="Arial" w:eastAsia="Arial" w:hAnsi="Arial"/>
          <w:sz w:val="17"/>
          <w:szCs w:val="17"/>
          <w:color w:val="auto"/>
        </w:rPr>
        <w:t>The following table summarizes the stock-based compensation expense for stock options, restricted stock units and ESPP granted to employees that was recorded in the Company’s condensed consolidated statements of operations and comprehensive loss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36"/>
              <w:spacing w:after="0"/>
              <w:rPr>
                <w:sz w:val="20"/>
                <w:szCs w:val="20"/>
                <w:color w:val="auto"/>
              </w:rPr>
            </w:pPr>
            <w:r>
              <w:rPr>
                <w:rFonts w:ascii="Arial" w:cs="Arial" w:eastAsia="Arial" w:hAnsi="Arial"/>
                <w:sz w:val="14"/>
                <w:szCs w:val="14"/>
                <w:b w:val="1"/>
                <w:bCs w:val="1"/>
                <w:color w:val="auto"/>
              </w:rPr>
              <w:t>For the Three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6"/>
              <w:spacing w:after="0"/>
              <w:rPr>
                <w:sz w:val="20"/>
                <w:szCs w:val="20"/>
                <w:color w:val="auto"/>
              </w:rPr>
            </w:pPr>
            <w:r>
              <w:rPr>
                <w:rFonts w:ascii="Arial" w:cs="Arial" w:eastAsia="Arial" w:hAnsi="Arial"/>
                <w:sz w:val="14"/>
                <w:szCs w:val="14"/>
                <w:b w:val="1"/>
                <w:bCs w:val="1"/>
                <w:color w:val="auto"/>
              </w:rPr>
              <w:t>For the Three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6"/>
              <w:spacing w:after="0"/>
              <w:rPr>
                <w:sz w:val="20"/>
                <w:szCs w:val="20"/>
                <w:color w:val="auto"/>
              </w:rPr>
            </w:pPr>
            <w:r>
              <w:rPr>
                <w:rFonts w:ascii="Arial" w:cs="Arial" w:eastAsia="Arial" w:hAnsi="Arial"/>
                <w:sz w:val="14"/>
                <w:szCs w:val="14"/>
                <w:b w:val="1"/>
                <w:bCs w:val="1"/>
                <w:color w:val="auto"/>
              </w:rPr>
              <w:t>For the Six</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6"/>
              <w:spacing w:after="0"/>
              <w:rPr>
                <w:sz w:val="20"/>
                <w:szCs w:val="20"/>
                <w:color w:val="auto"/>
              </w:rPr>
            </w:pPr>
            <w:r>
              <w:rPr>
                <w:rFonts w:ascii="Arial" w:cs="Arial" w:eastAsia="Arial" w:hAnsi="Arial"/>
                <w:sz w:val="14"/>
                <w:szCs w:val="14"/>
                <w:b w:val="1"/>
                <w:bCs w:val="1"/>
                <w:color w:val="auto"/>
              </w:rPr>
              <w:t>For the Six</w:t>
            </w:r>
          </w:p>
        </w:tc>
        <w:tc>
          <w:tcPr>
            <w:tcW w:w="10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2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2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2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100" w:type="dxa"/>
            <w:vAlign w:val="bottom"/>
          </w:tcPr>
          <w:p>
            <w:pPr>
              <w:spacing w:after="0"/>
              <w:rPr>
                <w:sz w:val="14"/>
                <w:szCs w:val="14"/>
                <w:color w:val="auto"/>
              </w:rPr>
            </w:pPr>
          </w:p>
        </w:tc>
      </w:tr>
      <w:tr>
        <w:trPr>
          <w:trHeight w:val="189"/>
        </w:trPr>
        <w:tc>
          <w:tcPr>
            <w:tcW w:w="4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r>
      <w:tr>
        <w:trPr>
          <w:trHeight w:val="209"/>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r>
      <w:tr>
        <w:trPr>
          <w:trHeight w:val="216"/>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13,932</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4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4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-513080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-513080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-513080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80" w:firstLine="509"/>
        <w:spacing w:after="0" w:line="262" w:lineRule="auto"/>
        <w:rPr>
          <w:sz w:val="20"/>
          <w:szCs w:val="20"/>
          <w:color w:val="auto"/>
        </w:rPr>
      </w:pPr>
      <w:r>
        <w:rPr>
          <w:rFonts w:ascii="Arial" w:cs="Arial" w:eastAsia="Arial" w:hAnsi="Arial"/>
          <w:sz w:val="17"/>
          <w:szCs w:val="17"/>
          <w:color w:val="auto"/>
        </w:rPr>
        <w:t>In February 2021, certain of the Company’s existing investors acquired 1,205,118 outstanding shares of common stock from employees of the Company for a purchase price greater than the fair value of the common stock at the time of the transaction. As a result, the Company recorded $8.4 million in stock-based compensation during the six months ended June 30, 2021. The amount recorded as stock-based compensation represents the difference between the price paid and the estimated fair value at the date of the transaction.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20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Flywire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had the right to receive nonforfeitable dividends on a pari passu basis in the event that a dividend was paid on common stock. Under the two-class method, the net loss attributable to common stockholders is not allocated to the convertible preferred stock or the redeemable convertible preferred stock as the preferred stockholders do not have a contractual obligation to share in the Company’s losses.</w:t>
      </w:r>
    </w:p>
    <w:p>
      <w:pPr>
        <w:spacing w:after="0" w:line="163"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172"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and six months ended June 30, 2022 and 2021. For the three and six months ended June 30, 2022 and 2021, net loss per share attributable to common stockholders was the same as diluted net loss per share attributable to common stockholders.</w:t>
      </w:r>
    </w:p>
    <w:p>
      <w:pPr>
        <w:spacing w:after="0" w:line="16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173"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4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00" w:type="dxa"/>
            <w:vAlign w:val="bottom"/>
          </w:tcPr>
          <w:p>
            <w:pPr>
              <w:ind w:left="28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(23,797 )</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(18,146 )</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(33,946 )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(26,798 )</w:t>
            </w:r>
          </w:p>
        </w:tc>
        <w:tc>
          <w:tcPr>
            <w:tcW w:w="0" w:type="dxa"/>
            <w:vAlign w:val="bottom"/>
          </w:tcPr>
          <w:p>
            <w:pPr>
              <w:spacing w:after="0"/>
              <w:rPr>
                <w:sz w:val="1"/>
                <w:szCs w:val="1"/>
                <w:color w:val="auto"/>
              </w:rPr>
            </w:pPr>
          </w:p>
        </w:tc>
      </w:tr>
      <w:tr>
        <w:trPr>
          <w:trHeight w:val="202"/>
        </w:trPr>
        <w:tc>
          <w:tcPr>
            <w:tcW w:w="59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Accretion of preferred stock to redemption value</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(8 )</w:t>
            </w: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00" w:type="dxa"/>
            <w:vAlign w:val="bottom"/>
          </w:tcPr>
          <w:p>
            <w:pPr>
              <w:ind w:left="280"/>
              <w:spacing w:after="0" w:line="163" w:lineRule="exact"/>
              <w:rPr>
                <w:sz w:val="20"/>
                <w:szCs w:val="20"/>
                <w:color w:val="auto"/>
              </w:rPr>
            </w:pPr>
            <w:r>
              <w:rPr>
                <w:rFonts w:ascii="Arial" w:cs="Arial" w:eastAsia="Arial" w:hAnsi="Arial"/>
                <w:sz w:val="17"/>
                <w:szCs w:val="17"/>
                <w:color w:val="auto"/>
              </w:rPr>
              <w:t>Net loss attributable to common stockholders - basic</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(23,797 )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(18,154 )</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(33,946 )</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(26,811 )</w:t>
            </w:r>
          </w:p>
        </w:tc>
        <w:tc>
          <w:tcPr>
            <w:tcW w:w="0" w:type="dxa"/>
            <w:vAlign w:val="bottom"/>
          </w:tcPr>
          <w:p>
            <w:pPr>
              <w:spacing w:after="0"/>
              <w:rPr>
                <w:sz w:val="1"/>
                <w:szCs w:val="1"/>
                <w:color w:val="auto"/>
              </w:rPr>
            </w:pPr>
          </w:p>
        </w:tc>
      </w:tr>
      <w:tr>
        <w:trPr>
          <w:trHeight w:val="181"/>
        </w:trPr>
        <w:tc>
          <w:tcPr>
            <w:tcW w:w="5900" w:type="dxa"/>
            <w:vAlign w:val="bottom"/>
          </w:tcPr>
          <w:p>
            <w:pPr>
              <w:ind w:left="420"/>
              <w:spacing w:after="0" w:line="181" w:lineRule="exact"/>
              <w:rPr>
                <w:sz w:val="20"/>
                <w:szCs w:val="20"/>
                <w:color w:val="auto"/>
              </w:rPr>
            </w:pPr>
            <w:r>
              <w:rPr>
                <w:rFonts w:ascii="Arial" w:cs="Arial" w:eastAsia="Arial" w:hAnsi="Arial"/>
                <w:sz w:val="17"/>
                <w:szCs w:val="17"/>
                <w:color w:val="auto"/>
              </w:rPr>
              <w:t>and diluted</w:t>
            </w:r>
          </w:p>
        </w:tc>
        <w:tc>
          <w:tcPr>
            <w:tcW w:w="1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Denominator:</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00" w:type="dxa"/>
            <w:vAlign w:val="bottom"/>
          </w:tcPr>
          <w:p>
            <w:pPr>
              <w:ind w:left="280"/>
              <w:spacing w:after="0" w:line="169" w:lineRule="exact"/>
              <w:rPr>
                <w:sz w:val="20"/>
                <w:szCs w:val="20"/>
                <w:color w:val="auto"/>
              </w:rPr>
            </w:pPr>
            <w:r>
              <w:rPr>
                <w:rFonts w:ascii="Arial" w:cs="Arial" w:eastAsia="Arial" w:hAnsi="Arial"/>
                <w:sz w:val="17"/>
                <w:szCs w:val="17"/>
                <w:color w:val="auto"/>
              </w:rPr>
              <w:t>Weighted average common shares outstanding -</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107,426,898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52,496,862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107,085,233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36,886,657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900" w:type="dxa"/>
            <w:vAlign w:val="bottom"/>
          </w:tcPr>
          <w:p>
            <w:pPr>
              <w:ind w:left="420"/>
              <w:spacing w:after="0" w:line="181" w:lineRule="exact"/>
              <w:rPr>
                <w:sz w:val="20"/>
                <w:szCs w:val="20"/>
                <w:color w:val="auto"/>
              </w:rPr>
            </w:pPr>
            <w:r>
              <w:rPr>
                <w:rFonts w:ascii="Arial" w:cs="Arial" w:eastAsia="Arial" w:hAnsi="Arial"/>
                <w:sz w:val="17"/>
                <w:szCs w:val="17"/>
                <w:color w:val="auto"/>
              </w:rPr>
              <w:t>basic and diluted</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00" w:type="dxa"/>
            <w:vAlign w:val="bottom"/>
            <w:shd w:val="clear" w:color="auto" w:fill="CFF0FC"/>
          </w:tcPr>
          <w:p>
            <w:pPr>
              <w:ind w:left="280"/>
              <w:spacing w:after="0" w:line="150" w:lineRule="exact"/>
              <w:rPr>
                <w:sz w:val="20"/>
                <w:szCs w:val="20"/>
                <w:color w:val="auto"/>
              </w:rPr>
            </w:pPr>
            <w:r>
              <w:rPr>
                <w:rFonts w:ascii="Arial" w:cs="Arial" w:eastAsia="Arial" w:hAnsi="Arial"/>
                <w:sz w:val="17"/>
                <w:szCs w:val="17"/>
                <w:color w:val="auto"/>
              </w:rPr>
              <w:t>Net loss per share attributable to common</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(0.22 )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(0.35 )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(0.32 )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(0.73 )</w:t>
            </w:r>
          </w:p>
        </w:tc>
        <w:tc>
          <w:tcPr>
            <w:tcW w:w="0" w:type="dxa"/>
            <w:vAlign w:val="bottom"/>
          </w:tcPr>
          <w:p>
            <w:pPr>
              <w:spacing w:after="0"/>
              <w:rPr>
                <w:sz w:val="1"/>
                <w:szCs w:val="1"/>
                <w:color w:val="auto"/>
              </w:rPr>
            </w:pPr>
          </w:p>
        </w:tc>
      </w:tr>
      <w:tr>
        <w:trPr>
          <w:trHeight w:val="201"/>
        </w:trPr>
        <w:tc>
          <w:tcPr>
            <w:tcW w:w="5900" w:type="dxa"/>
            <w:vAlign w:val="bottom"/>
            <w:shd w:val="clear" w:color="auto" w:fill="CFF0FC"/>
          </w:tcPr>
          <w:p>
            <w:pPr>
              <w:ind w:left="420"/>
              <w:spacing w:after="0" w:line="181" w:lineRule="exact"/>
              <w:rPr>
                <w:sz w:val="20"/>
                <w:szCs w:val="20"/>
                <w:color w:val="auto"/>
              </w:rPr>
            </w:pPr>
            <w:r>
              <w:rPr>
                <w:rFonts w:ascii="Arial" w:cs="Arial" w:eastAsia="Arial" w:hAnsi="Arial"/>
                <w:sz w:val="17"/>
                <w:szCs w:val="17"/>
                <w:color w:val="auto"/>
              </w:rPr>
              <w:t>stockholders - basic and diluted</w:t>
            </w:r>
          </w:p>
        </w:tc>
        <w:tc>
          <w:tcPr>
            <w:tcW w:w="160" w:type="dxa"/>
            <w:vAlign w:val="bottom"/>
            <w:vMerge w:val="continue"/>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-881380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-881380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-881380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-24765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-7620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320" w:firstLine="509"/>
        <w:spacing w:after="0" w:line="245" w:lineRule="auto"/>
        <w:rPr>
          <w:sz w:val="20"/>
          <w:szCs w:val="20"/>
          <w:color w:val="auto"/>
        </w:rPr>
      </w:pPr>
      <w:r>
        <w:rPr>
          <w:rFonts w:ascii="Arial" w:cs="Arial" w:eastAsia="Arial" w:hAnsi="Arial"/>
          <w:sz w:val="18"/>
          <w:szCs w:val="18"/>
          <w:color w:val="auto"/>
        </w:rPr>
        <w:t>Outstanding potentially dilutive securities, which were excluded from the diluted net loss per share calculations because they would have been antidilutive were as follows as of the dates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32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16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restricted stock awards</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2,795,230</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375,771</w:t>
            </w:r>
          </w:p>
        </w:tc>
        <w:tc>
          <w:tcPr>
            <w:tcW w:w="100" w:type="dxa"/>
            <w:vAlign w:val="bottom"/>
            <w:shd w:val="clear" w:color="auto" w:fill="CFF0FC"/>
          </w:tcPr>
          <w:p>
            <w:pPr>
              <w:spacing w:after="0"/>
              <w:rPr>
                <w:sz w:val="17"/>
                <w:szCs w:val="17"/>
                <w:color w:val="auto"/>
              </w:rPr>
            </w:pPr>
          </w:p>
        </w:tc>
      </w:tr>
      <w:tr>
        <w:trPr>
          <w:trHeight w:val="202"/>
        </w:trPr>
        <w:tc>
          <w:tcPr>
            <w:tcW w:w="7580" w:type="dxa"/>
            <w:vAlign w:val="bottom"/>
          </w:tcPr>
          <w:p>
            <w:pPr>
              <w:ind w:left="20"/>
              <w:spacing w:after="0"/>
              <w:rPr>
                <w:sz w:val="20"/>
                <w:szCs w:val="20"/>
                <w:color w:val="auto"/>
              </w:rPr>
            </w:pPr>
            <w:r>
              <w:rPr>
                <w:rFonts w:ascii="Arial" w:cs="Arial" w:eastAsia="Arial" w:hAnsi="Arial"/>
                <w:sz w:val="17"/>
                <w:szCs w:val="17"/>
                <w:color w:val="auto"/>
              </w:rPr>
              <w:t>Stock options to purchase common stock (as converted to common stock)</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13,466,157</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16,366,407</w:t>
            </w:r>
          </w:p>
        </w:tc>
        <w:tc>
          <w:tcPr>
            <w:tcW w:w="10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16,261,387</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16,742,178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20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recorded an income tax expense of $1.1 million and $0.3 million for the three months ended June 30, 2022 and 2021, respectively. The income tax expense for the three months ended June 30, 2022 was primarily attributable to state and foreign taxes, whereas the income tax expense for the three months ended June 30, 2021 was primarily attributable to foreign taxes. The Company recorded an income tax expense of $1.6 million and $0.5 million for the six months ended June 30, 2022 and 2021, respectively. The income tax expense for the six months ended June 30, 2022 was primarily attributable to state and foreign taxes, whereas the income tax expense for the six months ended June 30, 2021 was primarily attributable to foreign taxes.</w:t>
      </w:r>
    </w:p>
    <w:p>
      <w:pPr>
        <w:spacing w:after="0" w:line="17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Company’s effective tax rate differs from the U.S. federal statutory rate primarily due to the change in valuation allowance in the U.S. The Company is open to future tax examinations from 2018 to the present; however, carryforward attributes that were generated prior to 2018 may still be adjusted upon examination by federal, state or local tax authorities to the extent they will be used in a future period. In 2021, the U.S. Internal Revenue Service commenced a corporate income tax audit with respect to the 2018 calendar year, which was completed in 2022.</w:t>
      </w:r>
    </w:p>
    <w:p>
      <w:pPr>
        <w:spacing w:after="0" w:line="17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June 30, 2022, the Company continues to maintain a full valuation allowance of the U.S. net deferred tax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06"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 annual rent increases. Operating lease expense is recognized on a straight-line basis over the term of the lease. There were no finance lease obligations as of June 30, 2022.</w:t>
      </w:r>
    </w:p>
    <w:p>
      <w:pPr>
        <w:spacing w:after="0" w:line="173"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March 2021, the Company entered into a lease agreement for 680 square feet of office space in Tel Aviv, Israel. The term of the lease commenced on March 15, 2021 and continues until March 8, 2023. The Company has the option to extend the lease for an additional two-year term at market-based rates. The base rent payments commenced in March 2021. The Company is obligated to pay its portion of building operating and tax expenses.</w:t>
      </w:r>
    </w:p>
    <w:p>
      <w:pPr>
        <w:spacing w:after="0" w:line="160"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In May 2021, the Company executed a lease extension on previously rented office space in Cluj, Romania that commenced on May 15, 2021 and continues until March 31, 2024. In May 2021 and July 2021, the Company executed lease extensions on previously rented office space in Singapore that commenced on May 15, 2021 and continues until November 14, 2022. The Company is obligated to pay its portion of building operating and tax expenses under both agreements.</w:t>
      </w:r>
    </w:p>
    <w:p>
      <w:pPr>
        <w:spacing w:after="0" w:line="173" w:lineRule="exact"/>
        <w:rPr>
          <w:sz w:val="20"/>
          <w:szCs w:val="20"/>
          <w:color w:val="auto"/>
        </w:rPr>
      </w:pPr>
    </w:p>
    <w:p>
      <w:pPr>
        <w:ind w:right="380" w:firstLine="509"/>
        <w:spacing w:after="0" w:line="245" w:lineRule="auto"/>
        <w:rPr>
          <w:sz w:val="20"/>
          <w:szCs w:val="20"/>
          <w:color w:val="auto"/>
        </w:rPr>
      </w:pPr>
      <w:r>
        <w:rPr>
          <w:rFonts w:ascii="Arial" w:cs="Arial" w:eastAsia="Arial" w:hAnsi="Arial"/>
          <w:sz w:val="18"/>
          <w:szCs w:val="18"/>
          <w:color w:val="auto"/>
        </w:rPr>
        <w:t>In connection with the WPM acquisition, the Company acquired one lease agreement for office space. The lease has a contractual term of 5 years beginning on August 1, 2021 and ending on July 31, 2026.</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ROU assets are included in Other assets and operating lease liabilities are included in Other liabilities.</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June 30, 2022</w:t>
            </w:r>
          </w:p>
        </w:tc>
      </w:tr>
      <w:tr>
        <w:trPr>
          <w:trHeight w:val="209"/>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ROU assets</w:t>
            </w: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1.95 years</w:t>
            </w:r>
          </w:p>
        </w:tc>
        <w:tc>
          <w:tcPr>
            <w:tcW w:w="60" w:type="dxa"/>
            <w:vAlign w:val="bottom"/>
          </w:tcPr>
          <w:p>
            <w:pPr>
              <w:spacing w:after="0"/>
              <w:rPr>
                <w:sz w:val="18"/>
                <w:szCs w:val="18"/>
                <w:color w:val="auto"/>
              </w:rPr>
            </w:pPr>
          </w:p>
        </w:tc>
      </w:tr>
      <w:tr>
        <w:trPr>
          <w:trHeight w:val="217"/>
        </w:trPr>
        <w:tc>
          <w:tcPr>
            <w:tcW w:w="89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4.5 %</w:t>
            </w:r>
          </w:p>
        </w:tc>
      </w:tr>
      <w:tr>
        <w:trPr>
          <w:trHeight w:val="390"/>
        </w:trPr>
        <w:tc>
          <w:tcPr>
            <w:tcW w:w="8980" w:type="dxa"/>
            <w:vAlign w:val="bottom"/>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June 30, 2022</w:t>
            </w:r>
          </w:p>
        </w:tc>
      </w:tr>
      <w:tr>
        <w:trPr>
          <w:trHeight w:val="209"/>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391"/>
        </w:trPr>
        <w:tc>
          <w:tcPr>
            <w:tcW w:w="8980" w:type="dxa"/>
            <w:vAlign w:val="bottom"/>
          </w:tcPr>
          <w:p>
            <w:pPr>
              <w:ind w:left="520"/>
              <w:spacing w:after="0"/>
              <w:rPr>
                <w:sz w:val="20"/>
                <w:szCs w:val="20"/>
                <w:color w:val="auto"/>
              </w:rPr>
            </w:pPr>
            <w:r>
              <w:rPr>
                <w:rFonts w:ascii="Arial" w:cs="Arial" w:eastAsia="Arial" w:hAnsi="Arial"/>
                <w:sz w:val="18"/>
                <w:szCs w:val="18"/>
                <w:color w:val="auto"/>
              </w:rPr>
              <w:t>Future minimum lease payments as of June 30, 2022, were as follows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0"/>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8980" w:type="dxa"/>
            <w:vAlign w:val="bottom"/>
          </w:tcPr>
          <w:p>
            <w:pPr>
              <w:ind w:left="20"/>
              <w:spacing w:after="0"/>
              <w:rPr>
                <w:sz w:val="20"/>
                <w:szCs w:val="20"/>
                <w:color w:val="auto"/>
              </w:rPr>
            </w:pPr>
            <w:r>
              <w:rPr>
                <w:rFonts w:ascii="Arial" w:cs="Arial" w:eastAsia="Arial" w:hAnsi="Arial"/>
                <w:sz w:val="18"/>
                <w:szCs w:val="18"/>
                <w:color w:val="auto"/>
              </w:rPr>
              <w:t>2022 (remaining six months)</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980" w:type="dxa"/>
            <w:vAlign w:val="bottom"/>
          </w:tcPr>
          <w:p>
            <w:pPr>
              <w:ind w:left="140"/>
              <w:spacing w:after="0"/>
              <w:rPr>
                <w:sz w:val="20"/>
                <w:szCs w:val="20"/>
                <w:color w:val="auto"/>
              </w:rPr>
            </w:pPr>
            <w:r>
              <w:rPr>
                <w:rFonts w:ascii="Arial" w:cs="Arial" w:eastAsia="Arial" w:hAnsi="Arial"/>
                <w:sz w:val="18"/>
                <w:szCs w:val="18"/>
                <w:color w:val="auto"/>
              </w:rPr>
              <w:t>Total undiscounted lease payments</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Less - present value discount</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980" w:type="dxa"/>
            <w:vAlign w:val="bottom"/>
          </w:tcPr>
          <w:p>
            <w:pPr>
              <w:ind w:left="140"/>
              <w:spacing w:after="0"/>
              <w:rPr>
                <w:sz w:val="20"/>
                <w:szCs w:val="20"/>
                <w:color w:val="auto"/>
              </w:rPr>
            </w:pPr>
            <w:r>
              <w:rPr>
                <w:rFonts w:ascii="Arial" w:cs="Arial" w:eastAsia="Arial" w:hAnsi="Arial"/>
                <w:sz w:val="18"/>
                <w:szCs w:val="18"/>
                <w:color w:val="auto"/>
              </w:rPr>
              <w:t>Lease Liability, at present value</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720" w:firstLine="509"/>
        <w:spacing w:after="0" w:line="266" w:lineRule="auto"/>
        <w:rPr>
          <w:sz w:val="20"/>
          <w:szCs w:val="20"/>
          <w:color w:val="auto"/>
        </w:rPr>
      </w:pPr>
      <w:r>
        <w:rPr>
          <w:rFonts w:ascii="Arial" w:cs="Arial" w:eastAsia="Arial" w:hAnsi="Arial"/>
          <w:sz w:val="18"/>
          <w:szCs w:val="18"/>
          <w:color w:val="auto"/>
        </w:rPr>
        <w:t xml:space="preserve">Future minimum lease payments as of December 31, 2021, prior to the adoption of ASC 842 as described in </w:t>
      </w:r>
      <w:r>
        <w:rPr>
          <w:rFonts w:ascii="Arial" w:cs="Arial" w:eastAsia="Arial" w:hAnsi="Arial"/>
          <w:sz w:val="18"/>
          <w:szCs w:val="18"/>
          <w:i w:val="1"/>
          <w:iCs w:val="1"/>
          <w:color w:val="auto"/>
        </w:rPr>
        <w:t>Note 1 -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Overview and Summary of Significant Accounting Policies, </w:t>
      </w:r>
      <w:r>
        <w:rPr>
          <w:rFonts w:ascii="Arial" w:cs="Arial" w:eastAsia="Arial" w:hAnsi="Arial"/>
          <w:sz w:val="18"/>
          <w:szCs w:val="18"/>
          <w:color w:val="auto"/>
        </w:rPr>
        <w:t>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2"/>
        </w:trPr>
        <w:tc>
          <w:tcPr>
            <w:tcW w:w="9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2023</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7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spacing w:after="0"/>
              <w:rPr>
                <w:sz w:val="18"/>
                <w:szCs w:val="18"/>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The components of operating lease expense during the three and six months ended June 30, 2022 is shown on the table below (in thousands), while rent expense for the three and six months ending June 30, 2021 was $0.6 million and $1.1 million,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98"/>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r>
      <w:tr>
        <w:trPr>
          <w:trHeight w:val="162"/>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r>
      <w:tr>
        <w:trPr>
          <w:trHeight w:val="189"/>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r>
      <w:tr>
        <w:trPr>
          <w:trHeight w:val="209"/>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r>
      <w:tr>
        <w:trPr>
          <w:trHeight w:val="216"/>
        </w:trPr>
        <w:tc>
          <w:tcPr>
            <w:tcW w:w="8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expense</w:t>
            </w: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320" w:type="dxa"/>
            <w:vAlign w:val="bottom"/>
          </w:tcPr>
          <w:p>
            <w:pPr>
              <w:ind w:left="140"/>
              <w:spacing w:after="0"/>
              <w:rPr>
                <w:sz w:val="20"/>
                <w:szCs w:val="20"/>
                <w:color w:val="auto"/>
              </w:rPr>
            </w:pPr>
            <w:r>
              <w:rPr>
                <w:rFonts w:ascii="Arial" w:cs="Arial" w:eastAsia="Arial" w:hAnsi="Arial"/>
                <w:sz w:val="18"/>
                <w:szCs w:val="18"/>
                <w:color w:val="auto"/>
              </w:rPr>
              <w:t>Total operating lease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06"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As of June 30, 2022, the Company was not aware of any pending legal matters or claims, individually or in the aggregate, that are expected to have a material adverse effect on its financial position, results of operations, or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for the periods ended June 30, 2022 and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0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July 13, 2022, Flywire through its Australian entity acquired all of the issued and outstanding shares of Cohort Solutions Pty Ltd., an Australian Proprietary Company (Cohort Go) for an estimated aggregate purchase price of $32.2 million, consisting of $26.3 million in cash, $3.8 million in shares of the Company's common stock and up to $2.1 million in contingent consideration. Contingent consideration represents additional payments that Flywire may be required to make in the future dependent on the achievement of specific post-acquisition milestones and is subject to exchange rate fluctuation adjustment between the U.S. Dollar and Australian Dollar.</w:t>
      </w:r>
    </w:p>
    <w:p>
      <w:pPr>
        <w:spacing w:after="0" w:line="174" w:lineRule="exact"/>
        <w:rPr>
          <w:sz w:val="20"/>
          <w:szCs w:val="20"/>
          <w:color w:val="auto"/>
        </w:rPr>
      </w:pPr>
    </w:p>
    <w:p>
      <w:pPr>
        <w:ind w:right="360" w:firstLine="509"/>
        <w:spacing w:after="0"/>
        <w:rPr>
          <w:sz w:val="20"/>
          <w:szCs w:val="20"/>
          <w:color w:val="auto"/>
        </w:rPr>
      </w:pPr>
      <w:r>
        <w:rPr>
          <w:rFonts w:ascii="Arial" w:cs="Arial" w:eastAsia="Arial" w:hAnsi="Arial"/>
          <w:sz w:val="18"/>
          <w:szCs w:val="18"/>
          <w:color w:val="auto"/>
        </w:rPr>
        <w:t>Cohort Go is an Australian-based education payments provider that simplifies the student recruitment process by bringing together students, agents and essential student services such as health insurance into one platform. The acquisition of Cohort Go is intended to accelerate the growth of Flywire's agent business and continue the Company's global expansion.</w:t>
      </w:r>
    </w:p>
    <w:p>
      <w:pPr>
        <w:spacing w:after="0" w:line="175"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During the three months ended June 30, 2022, the Company incurred $0.2 million in acquisition related transaction costs, which are included in general and administrative expenses in the condensed consolidated statements of operations and comprehensive loss.</w:t>
      </w:r>
    </w:p>
    <w:p>
      <w:pPr>
        <w:spacing w:after="0" w:line="171"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The Company is currently in the process of finalizing the accounting for this transaction and expects to complete its allocation of the purchase consideration to the assets and liabilities assumed by the end of the third quarter of 2022.</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 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1" w:lineRule="exact"/>
        <w:rPr>
          <w:sz w:val="20"/>
          <w:szCs w:val="20"/>
          <w:color w:val="auto"/>
        </w:rPr>
      </w:pPr>
    </w:p>
    <w:p>
      <w:pPr>
        <w:ind w:right="20" w:firstLine="509"/>
        <w:spacing w:after="0" w:line="264"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is derived from three core elements: (i) our next-gen payments platform; (ii) our proprietary global payment network; and (iii) our vertical-specific software backed by our deep industry expertise. With our Flywire Advantage,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44"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165215" cy="43922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65215" cy="439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49" w:lineRule="exact"/>
        <w:rPr>
          <w:sz w:val="20"/>
          <w:szCs w:val="20"/>
          <w:color w:val="auto"/>
        </w:rPr>
      </w:pPr>
    </w:p>
    <w:p>
      <w:pPr>
        <w:ind w:left="1020" w:right="200" w:hanging="504"/>
        <w:spacing w:after="0" w:line="25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49% period-over-period from $1.9 billion during the three months ended June 30, 2021 to $2.9 billion during the three months ended June 30, 2022. We have grown our total payment volume by approximately 47% period-over-period from $4.8 billion during the six months ended June 30, 2021 to $7.0 billion during the six months ended June 30, 2022.</w:t>
      </w:r>
    </w:p>
    <w:p>
      <w:pPr>
        <w:spacing w:after="0" w:line="145" w:lineRule="exact"/>
        <w:rPr>
          <w:rFonts w:ascii="Arial" w:cs="Arial" w:eastAsia="Arial" w:hAnsi="Arial"/>
          <w:sz w:val="18"/>
          <w:szCs w:val="18"/>
          <w:color w:val="auto"/>
        </w:rPr>
      </w:pPr>
    </w:p>
    <w:p>
      <w:pPr>
        <w:jc w:val="both"/>
        <w:ind w:left="1020" w:right="60" w:hanging="504"/>
        <w:spacing w:after="0" w:line="25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143" w:lineRule="exact"/>
        <w:rPr>
          <w:rFonts w:ascii="Arial" w:cs="Arial" w:eastAsia="Arial" w:hAnsi="Arial"/>
          <w:sz w:val="18"/>
          <w:szCs w:val="18"/>
          <w:color w:val="auto"/>
        </w:rPr>
      </w:pPr>
    </w:p>
    <w:p>
      <w:pPr>
        <w:ind w:left="1020" w:right="120" w:hanging="504"/>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net promoter score (NPS) score of 64 in fiscal year 2020 demonstrates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affinity among our clients for our platform.</w:t>
      </w:r>
    </w:p>
    <w:p>
      <w:pPr>
        <w:spacing w:after="0" w:line="125" w:lineRule="exact"/>
        <w:rPr>
          <w:rFonts w:ascii="Arial" w:cs="Arial" w:eastAsia="Arial" w:hAnsi="Arial"/>
          <w:sz w:val="18"/>
          <w:szCs w:val="18"/>
          <w:color w:val="auto"/>
        </w:rPr>
      </w:pPr>
    </w:p>
    <w:p>
      <w:pPr>
        <w:ind w:left="1020" w:hanging="504"/>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2021,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5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As of June 30, 2022, we serve over 2,800 clients around the world. In education, we serve more than 2,200 institutions and 2.3 million students globally. In healthcare, we power more than 80 healthcare systems, including four of the top 10 healthcare systems in the United States ranked by hospital size as of December 31, 2021. In our newer</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payment verticals of travel and business-to-business (B2B) payments, we have a growing portfolio of more than an aggregate of 460 clients as of as of June 30, 2022.</w:t>
      </w:r>
    </w:p>
    <w:p>
      <w:pPr>
        <w:spacing w:after="0" w:line="171"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more than $13.2 billion and $7.0 billion in in total payment volume during the year ended December 31, 2021 and six months ended June 30, 2022, respectively. We generated revenue of $201.1 million and $131.8 million for the years ended December 31, 2021 and 2020, respectively, and incurred net losses of $28.1 million and $11.1 million for those same years. We generated revenue of $121.1 million and $82.0 million for the six months ended June 30, 2022 and 2021, respectively, and incurred net loss of $33.9 million and $26.8 million, respectively, for the same periods.</w:t>
      </w:r>
    </w:p>
    <w:p>
      <w:pPr>
        <w:spacing w:after="0" w:line="17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7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0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On May 28, 2021, we completed our IPO, in which we issued and sold 12,006,000 shares of common stock at a public offering price of $24.00 per share, which included 1,566,000 shares of common stock issued pursuant to the exercise in full of the underwriters' option to purchase additional shares. We received $263.8 million in net proceeds from the IPO, after deducting underwriting discounts and commissions of $19.4 million and other offering costs of $4.9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20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December 2021, we acquired all of the issued and outstanding shares of WPM for a purchase price of $59.6 million including $56.1 million of cash consideration, net of cash acquired and the estimated fair value of contingent consideration of $3.5 million. The contingent consideration is payable at various intervals through March 2024 in the form of up to approximately 225,000 shares of common stock and is dependent upon our achievement of specified minimum payment volume targets and integration targets established for the years ending December 31, 2022 and 2023. WPM was a leading software provider that enables seamless and secure payment experiences for universities and colleges across the U.K. The acquisition of WPM was intended to build on our existing education payments business and is expected to further accelerate our market share in the U.K. education sector. WPM contributed $1.6 million and $3.3 million in platform revenue during the three and six months ended June 30, 2022,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66"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 consists</w:t>
      </w:r>
      <w:r>
        <w:rPr>
          <w:rFonts w:ascii="Arial" w:cs="Arial" w:eastAsia="Arial" w:hAnsi="Arial"/>
          <w:sz w:val="18"/>
          <w:szCs w:val="18"/>
          <w:i w:val="1"/>
          <w:iCs w:val="1"/>
          <w:color w:val="auto"/>
        </w:rPr>
        <w:t xml:space="preserve"> </w:t>
      </w:r>
      <w:r>
        <w:rPr>
          <w:rFonts w:ascii="Arial" w:cs="Arial" w:eastAsia="Arial" w:hAnsi="Arial"/>
          <w:sz w:val="18"/>
          <w:szCs w:val="18"/>
          <w:color w:val="auto"/>
        </w:rPr>
        <w:t>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 collections,</w:t>
      </w:r>
    </w:p>
    <w:p>
      <w:pPr>
        <w:spacing w:after="0" w:line="13" w:lineRule="exact"/>
        <w:rPr>
          <w:sz w:val="20"/>
          <w:szCs w:val="20"/>
          <w:color w:val="auto"/>
        </w:rPr>
      </w:pPr>
    </w:p>
    <w:p>
      <w:pPr>
        <w:ind w:left="5520" w:right="3000" w:hanging="5512"/>
        <w:spacing w:after="0" w:line="464" w:lineRule="auto"/>
        <w:tabs>
          <w:tab w:leader="none" w:pos="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collected on payment plans established by our clients on our payment platform, (iii) subscription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fees and (iv) fees related to printing and mailing services which we consider to be ancillary to the solutions we provide to our clients.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key operating metrics and non-GAAP measures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Payment Volume</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2,860.3</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1,923.8</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7,034.1</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4,786.5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121.1</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58.8 %</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60.8 %</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59.5 %</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61.1 %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Adjusted Gross Margin</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64.5 %</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68.2 %</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65.1 %</w:t>
            </w:r>
          </w:p>
        </w:tc>
        <w:tc>
          <w:tcPr>
            <w:tcW w:w="3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68.4 %</w:t>
            </w:r>
          </w:p>
        </w:tc>
        <w:tc>
          <w:tcPr>
            <w:tcW w:w="0" w:type="dxa"/>
            <w:vAlign w:val="bottom"/>
          </w:tcPr>
          <w:p>
            <w:pPr>
              <w:spacing w:after="0"/>
              <w:rPr>
                <w:sz w:val="1"/>
                <w:szCs w:val="1"/>
                <w:color w:val="auto"/>
              </w:rPr>
            </w:pPr>
          </w:p>
        </w:tc>
      </w:tr>
      <w:tr>
        <w:trPr>
          <w:trHeight w:val="217"/>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(18.1 )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(33.9 )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For the three months ended June 30, 2022, transaction revenue and platform and usage-based fee revenue represented 73.8% and 26.2% of our revenue, respectively. For the three months ended June 30, 2022, transaction revenue and platform and usage-based fee revenue represented 80.6% and 19.4% of our total revenue less ancillary services, respectively. For the three months ended June 30, 2021, transaction revenue and platform and usage-based fee revenue represented 65.6% and 34.4% of our revenue, respectively. For the three months ended June 30, 2021, transaction revenue and platform and usage-based fee revenue represented 73.3% and 26.7% of our total revenue less ancillary services, respectively.</w:t>
      </w:r>
    </w:p>
    <w:p>
      <w:pPr>
        <w:spacing w:after="0" w:line="158" w:lineRule="exact"/>
        <w:rPr>
          <w:sz w:val="20"/>
          <w:szCs w:val="20"/>
          <w:color w:val="auto"/>
        </w:rPr>
      </w:pPr>
    </w:p>
    <w:p>
      <w:pPr>
        <w:ind w:right="380" w:firstLine="509"/>
        <w:spacing w:after="0" w:line="243" w:lineRule="auto"/>
        <w:rPr>
          <w:sz w:val="20"/>
          <w:szCs w:val="20"/>
          <w:color w:val="auto"/>
        </w:rPr>
      </w:pPr>
      <w:r>
        <w:rPr>
          <w:rFonts w:ascii="Arial" w:cs="Arial" w:eastAsia="Arial" w:hAnsi="Arial"/>
          <w:sz w:val="18"/>
          <w:szCs w:val="18"/>
          <w:color w:val="auto"/>
        </w:rPr>
        <w:t>For the six months ended June 30, 2022, transaction revenue and platform and usage-based fee revenue represented 74.6% and 25.4% of our revenue, respectively. For the six months ended June 30, 2022, transaction revenue and platform and usage-based fee revenue represented 81.0% and 19.0% of our total revenue less ancillary services, respectively. For the six months ended June 30, 2021, transaction revenue and platform and usage-based fee revenue represented 69.2% and 30.8% of our revenue, respectively. For the six months ended June 30, 2021, transaction revenue and platform and usage-based fee revenue represented 76.9% and 23.1% of our total revenue less ancillary services, respectively.</w:t>
      </w:r>
    </w:p>
    <w:p>
      <w:pPr>
        <w:spacing w:after="0" w:line="172"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For the three months ended June 30, 2022, our total payment volume was approximately $2.9 billion, consisting of $2.0 billion of total payment volume from transactions included in transaction revenue, and $0.9 billion of total payment volume from transactions included in platform and usage-based fee revenue. For the three months ended June 30, 2021, our total payment volume was approximately $1.9 billion, consisting of $1.2 billion of total payment volume from transactions included in transaction revenue, and $0.7 billion of total payment volume from transactions included in platform and usage-based fee revenue.</w:t>
      </w:r>
    </w:p>
    <w:p>
      <w:pPr>
        <w:spacing w:after="0" w:line="174"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For six months ended June 30, 2022, our total payment volume was approximately $7.0 billion, consisting of $4.5 billion of total payment volume from transactions included in transaction revenue and $2.5 billion of total payment volume from transactions included in platform and usage-based fee revenue. For six months ended June 30, 2021, our total payment volume was approximately $4.8 billion, consisting of $2.9 billion of total payment volume from transactions included in transaction revenue and $1.9 billion of total payment volume from transactions included in platform and usage-based fee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206"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Less Ancillary Services, Adjusted Gross Profit, Adjusted Gross Margin and Adjusted EBITDA</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use non -GAAP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1"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53" w:lineRule="exact"/>
        <w:rPr>
          <w:sz w:val="20"/>
          <w:szCs w:val="20"/>
          <w:color w:val="auto"/>
        </w:rPr>
      </w:pPr>
    </w:p>
    <w:p>
      <w:pPr>
        <w:ind w:left="1020" w:right="60" w:hanging="504"/>
        <w:spacing w:after="0" w:line="25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45" w:lineRule="exact"/>
        <w:rPr>
          <w:rFonts w:ascii="Arial" w:cs="Arial" w:eastAsia="Arial" w:hAnsi="Arial"/>
          <w:sz w:val="18"/>
          <w:szCs w:val="18"/>
          <w:color w:val="auto"/>
        </w:rPr>
      </w:pPr>
    </w:p>
    <w:p>
      <w:pPr>
        <w:ind w:left="1020" w:right="20" w:hanging="504"/>
        <w:spacing w:after="0" w:line="25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and (ii) offset marketing fees against costs incurred. Management believes this presentation supplements the GAAP presentation of gross profit with a useful measure of the gross profit of our payment-related services, which are the primary services we provide to our clients.</w:t>
      </w:r>
    </w:p>
    <w:p>
      <w:pPr>
        <w:spacing w:after="0" w:line="131" w:lineRule="exact"/>
        <w:rPr>
          <w:rFonts w:ascii="Arial" w:cs="Arial" w:eastAsia="Arial" w:hAnsi="Arial"/>
          <w:sz w:val="18"/>
          <w:szCs w:val="18"/>
          <w:color w:val="auto"/>
        </w:rPr>
      </w:pPr>
    </w:p>
    <w:p>
      <w:pPr>
        <w:ind w:left="1020" w:right="40" w:hanging="504"/>
        <w:spacing w:after="0" w:line="26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Gross Margin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w:t>
      </w:r>
    </w:p>
    <w:p>
      <w:pPr>
        <w:spacing w:after="0" w:line="122" w:lineRule="exact"/>
        <w:rPr>
          <w:rFonts w:ascii="Arial" w:cs="Arial" w:eastAsia="Arial" w:hAnsi="Arial"/>
          <w:sz w:val="18"/>
          <w:szCs w:val="18"/>
          <w:color w:val="auto"/>
        </w:rPr>
      </w:pPr>
    </w:p>
    <w:p>
      <w:pPr>
        <w:ind w:left="1020" w:right="20" w:hanging="504"/>
        <w:spacing w:after="0" w:line="24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(ii) the impact from the change in fair value measurement for contingent consideration associated with acquisitions, (iii) the impact from the change in fair value measurement of our preferred stock warrants prior to our IPO, (iv) other income (expense), net,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6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Profit,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193"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and Adjusted EBITDA to the most comparable GAAP figure on a consolidated basis for the periods presented.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7"/>
          </w:tcPr>
          <w:p>
            <w:pPr>
              <w:jc w:val="right"/>
              <w:ind w:right="73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3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Adjusted to exclude gross up for:</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5"/>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74"/>
              <w:spacing w:after="0"/>
              <w:rPr>
                <w:sz w:val="20"/>
                <w:szCs w:val="20"/>
                <w:color w:val="auto"/>
              </w:rPr>
            </w:pPr>
            <w:r>
              <w:rPr>
                <w:rFonts w:ascii="Arial" w:cs="Arial" w:eastAsia="Arial" w:hAnsi="Arial"/>
                <w:sz w:val="18"/>
                <w:szCs w:val="18"/>
                <w:color w:val="auto"/>
              </w:rPr>
              <w:t>(4.8 )</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75"/>
              <w:spacing w:after="0"/>
              <w:rPr>
                <w:sz w:val="20"/>
                <w:szCs w:val="20"/>
                <w:color w:val="auto"/>
              </w:rPr>
            </w:pPr>
            <w:r>
              <w:rPr>
                <w:rFonts w:ascii="Arial" w:cs="Arial" w:eastAsia="Arial" w:hAnsi="Arial"/>
                <w:sz w:val="18"/>
                <w:szCs w:val="18"/>
                <w:color w:val="auto"/>
              </w:rPr>
              <w:t>(3.9 )</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(9.8 )</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80"/>
              <w:spacing w:after="0"/>
              <w:rPr>
                <w:sz w:val="20"/>
                <w:szCs w:val="20"/>
                <w:color w:val="auto"/>
              </w:rPr>
            </w:pPr>
            <w:r>
              <w:rPr>
                <w:rFonts w:ascii="Arial" w:cs="Arial" w:eastAsia="Arial" w:hAnsi="Arial"/>
                <w:sz w:val="18"/>
                <w:szCs w:val="18"/>
                <w:color w:val="auto"/>
              </w:rPr>
              <w:t>Marketing fees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74"/>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75"/>
              <w:spacing w:after="0"/>
              <w:rPr>
                <w:sz w:val="20"/>
                <w:szCs w:val="20"/>
                <w:color w:val="auto"/>
              </w:rPr>
            </w:pPr>
            <w:r>
              <w:rPr>
                <w:rFonts w:ascii="Arial" w:cs="Arial" w:eastAsia="Arial" w:hAnsi="Arial"/>
                <w:sz w:val="18"/>
                <w:szCs w:val="18"/>
                <w:color w:val="auto"/>
              </w:rPr>
              <w:t>(0.1 )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(0.6 )</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Payment processing services costs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46.1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29.2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20" w:type="dxa"/>
            <w:vAlign w:val="bottom"/>
            <w:gridSpan w:val="5"/>
            <w:shd w:val="clear" w:color="auto" w:fill="CFF0FC"/>
          </w:tcPr>
          <w:p>
            <w:pPr>
              <w:ind w:left="20"/>
              <w:spacing w:after="0" w:line="188" w:lineRule="exact"/>
              <w:rPr>
                <w:sz w:val="20"/>
                <w:szCs w:val="20"/>
                <w:color w:val="auto"/>
              </w:rPr>
            </w:pPr>
            <w:r>
              <w:rPr>
                <w:rFonts w:ascii="Arial" w:cs="Arial" w:eastAsia="Arial" w:hAnsi="Arial"/>
                <w:sz w:val="18"/>
                <w:szCs w:val="18"/>
                <w:color w:val="auto"/>
              </w:rPr>
              <w:t>Hosting and amortization costs within technology and</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development expenses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Adjusted to:</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Exclude printing and mailing costs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74"/>
              <w:spacing w:after="0"/>
              <w:rPr>
                <w:sz w:val="20"/>
                <w:szCs w:val="20"/>
                <w:color w:val="auto"/>
              </w:rPr>
            </w:pPr>
            <w:r>
              <w:rPr>
                <w:rFonts w:ascii="Arial" w:cs="Arial" w:eastAsia="Arial" w:hAnsi="Arial"/>
                <w:sz w:val="18"/>
                <w:szCs w:val="18"/>
                <w:color w:val="auto"/>
              </w:rPr>
              <w:t>(4.8 )</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75"/>
              <w:spacing w:after="0"/>
              <w:rPr>
                <w:sz w:val="20"/>
                <w:szCs w:val="20"/>
                <w:color w:val="auto"/>
              </w:rPr>
            </w:pPr>
            <w:r>
              <w:rPr>
                <w:rFonts w:ascii="Arial" w:cs="Arial" w:eastAsia="Arial" w:hAnsi="Arial"/>
                <w:sz w:val="18"/>
                <w:szCs w:val="18"/>
                <w:color w:val="auto"/>
              </w:rPr>
              <w:t>(3.9 )</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(9.8 )</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5"/>
          </w:tcPr>
          <w:p>
            <w:pPr>
              <w:ind w:left="280"/>
              <w:spacing w:after="0"/>
              <w:rPr>
                <w:sz w:val="20"/>
                <w:szCs w:val="20"/>
                <w:color w:val="auto"/>
              </w:rPr>
            </w:pPr>
            <w:r>
              <w:rPr>
                <w:rFonts w:ascii="Arial" w:cs="Arial" w:eastAsia="Arial" w:hAnsi="Arial"/>
                <w:sz w:val="18"/>
                <w:szCs w:val="18"/>
                <w:color w:val="auto"/>
              </w:rPr>
              <w:t>Offset marketing fees against related costs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74"/>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75"/>
              <w:spacing w:after="0"/>
              <w:rPr>
                <w:sz w:val="20"/>
                <w:szCs w:val="20"/>
                <w:color w:val="auto"/>
              </w:rPr>
            </w:pPr>
            <w:r>
              <w:rPr>
                <w:rFonts w:ascii="Arial" w:cs="Arial" w:eastAsia="Arial" w:hAnsi="Arial"/>
                <w:sz w:val="18"/>
                <w:szCs w:val="18"/>
                <w:color w:val="auto"/>
              </w:rPr>
              <w:t>(0.1 )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(0.6 )</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Costs of Revenue Less Ancillary Services</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58.8 %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60.8 %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59.5 %</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61.1 %</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Gross Profit</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33.2</w:t>
            </w:r>
          </w:p>
        </w:tc>
        <w:tc>
          <w:tcPr>
            <w:tcW w:w="500" w:type="dxa"/>
            <w:vAlign w:val="bottom"/>
            <w:gridSpan w:val="3"/>
          </w:tcPr>
          <w:p>
            <w:pPr>
              <w:jc w:val="right"/>
              <w:ind w:right="140"/>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22.5</w:t>
            </w:r>
          </w:p>
        </w:tc>
        <w:tc>
          <w:tcPr>
            <w:tcW w:w="220" w:type="dxa"/>
            <w:vAlign w:val="bottom"/>
          </w:tcPr>
          <w:p>
            <w:pPr>
              <w:spacing w:after="0"/>
              <w:rPr>
                <w:sz w:val="16"/>
                <w:szCs w:val="16"/>
                <w:color w:val="auto"/>
              </w:rPr>
            </w:pP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72.0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jc w:val="right"/>
              <w:ind w:right="12"/>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50.1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Adjusted Gross Margin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64.5 %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68.2 %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65.1 %</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68.4 %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5"/>
          </w:tcPr>
          <w:p>
            <w:pPr>
              <w:jc w:val="center"/>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3"/>
                <w:szCs w:val="13"/>
                <w:b w:val="1"/>
                <w:bCs w:val="1"/>
                <w:color w:val="auto"/>
              </w:rPr>
              <w:t>June 30, 2022</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3"/>
                <w:szCs w:val="13"/>
                <w:b w:val="1"/>
                <w:bCs w:val="1"/>
                <w:color w:val="auto"/>
              </w:rPr>
              <w:t>June 30, 2021</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340"/>
              <w:spacing w:after="0" w:line="120"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tcPr>
          <w:p>
            <w:pPr>
              <w:jc w:val="center"/>
              <w:ind w:right="380"/>
              <w:spacing w:after="0" w:line="120" w:lineRule="exact"/>
              <w:rPr>
                <w:sz w:val="20"/>
                <w:szCs w:val="20"/>
                <w:color w:val="auto"/>
              </w:rPr>
            </w:pPr>
            <w:r>
              <w:rPr>
                <w:rFonts w:ascii="Arial" w:cs="Arial" w:eastAsia="Arial" w:hAnsi="Arial"/>
                <w:sz w:val="13"/>
                <w:szCs w:val="13"/>
                <w:b w:val="1"/>
                <w:bCs w:val="1"/>
                <w:color w:val="auto"/>
              </w:rPr>
              <w:t>Platform</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320"/>
              <w:spacing w:after="0" w:line="146"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380"/>
              <w:spacing w:after="0" w:line="146" w:lineRule="exact"/>
              <w:rPr>
                <w:sz w:val="20"/>
                <w:szCs w:val="20"/>
                <w:color w:val="auto"/>
              </w:rPr>
            </w:pPr>
            <w:r>
              <w:rPr>
                <w:rFonts w:ascii="Arial" w:cs="Arial" w:eastAsia="Arial" w:hAnsi="Arial"/>
                <w:sz w:val="13"/>
                <w:szCs w:val="13"/>
                <w:b w:val="1"/>
                <w:bCs w:val="1"/>
                <w:color w:val="auto"/>
              </w:rPr>
              <w:t>and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340"/>
              <w:spacing w:after="0" w:line="138" w:lineRule="exact"/>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380"/>
              <w:spacing w:after="0" w:line="138" w:lineRule="exact"/>
              <w:rPr>
                <w:sz w:val="20"/>
                <w:szCs w:val="20"/>
                <w:color w:val="auto"/>
              </w:rPr>
            </w:pPr>
            <w:r>
              <w:rPr>
                <w:rFonts w:ascii="Arial" w:cs="Arial" w:eastAsia="Arial" w:hAnsi="Arial"/>
                <w:sz w:val="13"/>
                <w:szCs w:val="13"/>
                <w:b w:val="1"/>
                <w:bCs w:val="1"/>
                <w:color w:val="auto"/>
              </w:rPr>
              <w:t>Usage-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320"/>
              <w:spacing w:after="0" w:line="146" w:lineRule="exact"/>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380"/>
              <w:spacing w:after="0" w:line="146" w:lineRule="exact"/>
              <w:rPr>
                <w:sz w:val="20"/>
                <w:szCs w:val="20"/>
                <w:color w:val="auto"/>
              </w:rPr>
            </w:pPr>
            <w:r>
              <w:rPr>
                <w:rFonts w:ascii="Arial" w:cs="Arial" w:eastAsia="Arial" w:hAnsi="Arial"/>
                <w:sz w:val="13"/>
                <w:szCs w:val="13"/>
                <w:b w:val="1"/>
                <w:bCs w:val="1"/>
                <w:color w:val="auto"/>
              </w:rPr>
              <w:t>Based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0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200" w:type="dxa"/>
            <w:vAlign w:val="bottom"/>
          </w:tcPr>
          <w:p>
            <w:pPr>
              <w:spacing w:after="0"/>
              <w:rPr>
                <w:sz w:val="16"/>
                <w:szCs w:val="16"/>
                <w:color w:val="auto"/>
              </w:rPr>
            </w:pPr>
          </w:p>
        </w:tc>
        <w:tc>
          <w:tcPr>
            <w:tcW w:w="1220" w:type="dxa"/>
            <w:vAlign w:val="bottom"/>
            <w:gridSpan w:val="2"/>
          </w:tcPr>
          <w:p>
            <w:pPr>
              <w:jc w:val="right"/>
              <w:ind w:right="353"/>
              <w:spacing w:after="0"/>
              <w:rPr>
                <w:sz w:val="20"/>
                <w:szCs w:val="20"/>
                <w:color w:val="auto"/>
              </w:rPr>
            </w:pPr>
            <w:r>
              <w:rPr>
                <w:rFonts w:ascii="Arial" w:cs="Arial" w:eastAsia="Arial" w:hAnsi="Arial"/>
                <w:sz w:val="13"/>
                <w:szCs w:val="13"/>
                <w:b w:val="1"/>
                <w:bCs w:val="1"/>
                <w:color w:val="auto"/>
              </w:rPr>
              <w:t>Transaction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7"/>
              </w:rPr>
              <w:t>Fee</w:t>
            </w:r>
          </w:p>
        </w:tc>
        <w:tc>
          <w:tcPr>
            <w:tcW w:w="180" w:type="dxa"/>
            <w:vAlign w:val="bottom"/>
          </w:tcPr>
          <w:p>
            <w:pPr>
              <w:spacing w:after="0"/>
              <w:rPr>
                <w:sz w:val="16"/>
                <w:szCs w:val="16"/>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Transaction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rPr>
              <w:t>Fee</w:t>
            </w:r>
          </w:p>
        </w:tc>
        <w:tc>
          <w:tcPr>
            <w:tcW w:w="200" w:type="dxa"/>
            <w:vAlign w:val="bottom"/>
          </w:tcPr>
          <w:p>
            <w:pPr>
              <w:spacing w:after="0"/>
              <w:rPr>
                <w:sz w:val="16"/>
                <w:szCs w:val="16"/>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202"/>
        </w:trPr>
        <w:tc>
          <w:tcPr>
            <w:tcW w:w="3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56.5</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24.3</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12.7</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0" w:type="dxa"/>
            <w:vAlign w:val="bottom"/>
            <w:gridSpan w:val="2"/>
          </w:tcPr>
          <w:p>
            <w:pPr>
              <w:ind w:left="20"/>
              <w:spacing w:after="0" w:line="169" w:lineRule="exact"/>
              <w:rPr>
                <w:sz w:val="20"/>
                <w:szCs w:val="20"/>
                <w:color w:val="auto"/>
              </w:rPr>
            </w:pPr>
            <w:r>
              <w:rPr>
                <w:rFonts w:ascii="Arial" w:cs="Arial" w:eastAsia="Arial" w:hAnsi="Arial"/>
                <w:sz w:val="17"/>
                <w:szCs w:val="17"/>
                <w:color w:val="auto"/>
              </w:rPr>
              <w:t>Adjusted to exclude gross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160"/>
              <w:spacing w:after="0"/>
              <w:rPr>
                <w:sz w:val="20"/>
                <w:szCs w:val="20"/>
                <w:color w:val="auto"/>
              </w:rPr>
            </w:pPr>
            <w:r>
              <w:rPr>
                <w:rFonts w:ascii="Arial" w:cs="Arial" w:eastAsia="Arial" w:hAnsi="Arial"/>
                <w:sz w:val="17"/>
                <w:szCs w:val="17"/>
                <w:color w:val="auto"/>
              </w:rPr>
              <w:t>up for:</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00" w:type="dxa"/>
            <w:vAlign w:val="bottom"/>
            <w:gridSpan w:val="2"/>
            <w:shd w:val="clear" w:color="auto" w:fill="CFF0FC"/>
          </w:tcPr>
          <w:p>
            <w:pPr>
              <w:ind w:left="280"/>
              <w:spacing w:after="0" w:line="178" w:lineRule="exact"/>
              <w:rPr>
                <w:sz w:val="20"/>
                <w:szCs w:val="20"/>
                <w:color w:val="auto"/>
              </w:rPr>
            </w:pPr>
            <w:r>
              <w:rPr>
                <w:rFonts w:ascii="Arial" w:cs="Arial" w:eastAsia="Arial" w:hAnsi="Arial"/>
                <w:sz w:val="17"/>
                <w:szCs w:val="17"/>
                <w:color w:val="auto"/>
              </w:rPr>
              <w:t>Pass-through cost for</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20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printing and mailing</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1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(4.8 )</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w w:val="90"/>
              </w:rPr>
              <w:t>(4.8 )</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(3.9 )</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ind w:left="280"/>
              <w:spacing w:after="0"/>
              <w:rPr>
                <w:sz w:val="20"/>
                <w:szCs w:val="20"/>
                <w:color w:val="auto"/>
              </w:rPr>
            </w:pPr>
            <w:r>
              <w:rPr>
                <w:rFonts w:ascii="Arial" w:cs="Arial" w:eastAsia="Arial" w:hAnsi="Arial"/>
                <w:sz w:val="17"/>
                <w:szCs w:val="17"/>
                <w:color w:val="auto"/>
              </w:rPr>
              <w:t>Marketing fees</w:t>
            </w:r>
          </w:p>
        </w:tc>
        <w:tc>
          <w:tcPr>
            <w:tcW w:w="200" w:type="dxa"/>
            <w:vAlign w:val="bottom"/>
          </w:tcPr>
          <w:p>
            <w:pPr>
              <w:spacing w:after="0"/>
              <w:rPr>
                <w:sz w:val="17"/>
                <w:szCs w:val="17"/>
                <w:color w:val="auto"/>
              </w:rPr>
            </w:pPr>
          </w:p>
        </w:tc>
        <w:tc>
          <w:tcPr>
            <w:tcW w:w="1220" w:type="dxa"/>
            <w:vAlign w:val="bottom"/>
            <w:gridSpan w:val="2"/>
          </w:tcPr>
          <w:p>
            <w:pPr>
              <w:jc w:val="right"/>
              <w:ind w:right="33"/>
              <w:spacing w:after="0"/>
              <w:rPr>
                <w:sz w:val="20"/>
                <w:szCs w:val="20"/>
                <w:color w:val="auto"/>
              </w:rPr>
            </w:pPr>
            <w:r>
              <w:rPr>
                <w:rFonts w:ascii="Arial" w:cs="Arial" w:eastAsia="Arial" w:hAnsi="Arial"/>
                <w:sz w:val="17"/>
                <w:szCs w:val="17"/>
                <w:color w:val="auto"/>
              </w:rPr>
              <w:t>(0.2 )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w w:val="90"/>
              </w:rPr>
              <w:t>(0.2 )</w:t>
            </w:r>
          </w:p>
        </w:tc>
        <w:tc>
          <w:tcPr>
            <w:tcW w:w="140" w:type="dxa"/>
            <w:vAlign w:val="bottom"/>
          </w:tcPr>
          <w:p>
            <w:pPr>
              <w:spacing w:after="0"/>
              <w:rPr>
                <w:sz w:val="17"/>
                <w:szCs w:val="17"/>
                <w:color w:val="auto"/>
              </w:rPr>
            </w:pPr>
          </w:p>
        </w:tc>
        <w:tc>
          <w:tcPr>
            <w:tcW w:w="1180" w:type="dxa"/>
            <w:vAlign w:val="bottom"/>
            <w:gridSpan w:val="3"/>
          </w:tcPr>
          <w:p>
            <w:pPr>
              <w:jc w:val="right"/>
              <w:ind w:right="58"/>
              <w:spacing w:after="0"/>
              <w:rPr>
                <w:sz w:val="20"/>
                <w:szCs w:val="20"/>
                <w:color w:val="auto"/>
              </w:rPr>
            </w:pPr>
            <w:r>
              <w:rPr>
                <w:rFonts w:ascii="Arial" w:cs="Arial" w:eastAsia="Arial" w:hAnsi="Arial"/>
                <w:sz w:val="17"/>
                <w:szCs w:val="17"/>
                <w:color w:val="auto"/>
              </w:rPr>
              <w:t>(0.1 )</w:t>
            </w:r>
          </w:p>
        </w:tc>
        <w:tc>
          <w:tcPr>
            <w:tcW w:w="180" w:type="dxa"/>
            <w:vAlign w:val="bottom"/>
          </w:tcPr>
          <w:p>
            <w:pPr>
              <w:spacing w:after="0"/>
              <w:rPr>
                <w:sz w:val="17"/>
                <w:szCs w:val="17"/>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(0.1 )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CFF0FC"/>
          </w:tcPr>
          <w:p>
            <w:pPr>
              <w:ind w:left="20"/>
              <w:spacing w:after="0" w:line="163" w:lineRule="exact"/>
              <w:rPr>
                <w:sz w:val="20"/>
                <w:szCs w:val="20"/>
                <w:color w:val="auto"/>
              </w:rPr>
            </w:pPr>
            <w:r>
              <w:rPr>
                <w:rFonts w:ascii="Arial" w:cs="Arial" w:eastAsia="Arial" w:hAnsi="Arial"/>
                <w:sz w:val="17"/>
                <w:szCs w:val="17"/>
                <w:color w:val="auto"/>
              </w:rPr>
              <w:t>Revenue Less Ancillary</w:t>
            </w:r>
          </w:p>
        </w:tc>
        <w:tc>
          <w:tcPr>
            <w:tcW w:w="200" w:type="dxa"/>
            <w:vAlign w:val="bottom"/>
            <w:tcBorders>
              <w:top w:val="single" w:sz="8" w:color="auto"/>
            </w:tcBorders>
            <w:vMerge w:val="restart"/>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41.5</w:t>
            </w:r>
          </w:p>
        </w:tc>
        <w:tc>
          <w:tcPr>
            <w:tcW w:w="180" w:type="dxa"/>
            <w:vAlign w:val="bottom"/>
            <w:shd w:val="clear" w:color="auto" w:fill="CFF0FC"/>
          </w:tcPr>
          <w:p>
            <w:pPr>
              <w:spacing w:after="0"/>
              <w:rPr>
                <w:sz w:val="14"/>
                <w:szCs w:val="14"/>
                <w:color w:val="auto"/>
              </w:rPr>
            </w:pPr>
          </w:p>
        </w:tc>
        <w:tc>
          <w:tcPr>
            <w:tcW w:w="60" w:type="dxa"/>
            <w:vAlign w:val="bottom"/>
            <w:vMerge w:val="restart"/>
            <w:shd w:val="clear" w:color="auto" w:fill="CFF0FC"/>
          </w:tcPr>
          <w:p>
            <w:pPr>
              <w:spacing w:after="0"/>
              <w:rPr>
                <w:sz w:val="14"/>
                <w:szCs w:val="14"/>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51.5</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24.2</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ind w:right="1"/>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FF0FC"/>
            </w:tcBorders>
            <w:gridSpan w:val="2"/>
            <w:shd w:val="clear" w:color="auto" w:fill="CFF0FC"/>
          </w:tcPr>
          <w:p>
            <w:pPr>
              <w:ind w:left="160"/>
              <w:spacing w:after="0" w:line="181" w:lineRule="exact"/>
              <w:rPr>
                <w:sz w:val="20"/>
                <w:szCs w:val="20"/>
                <w:color w:val="auto"/>
              </w:rPr>
            </w:pPr>
            <w:r>
              <w:rPr>
                <w:rFonts w:ascii="Arial" w:cs="Arial" w:eastAsia="Arial" w:hAnsi="Arial"/>
                <w:sz w:val="17"/>
                <w:szCs w:val="17"/>
                <w:color w:val="auto"/>
              </w:rPr>
              <w:t>Services</w:t>
            </w: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1100" w:type="dxa"/>
            <w:vAlign w:val="bottom"/>
            <w:tcBorders>
              <w:bottom w:val="single" w:sz="8" w:color="auto"/>
            </w:tcBorders>
            <w:gridSpan w:val="3"/>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980" w:type="dxa"/>
            <w:vAlign w:val="bottom"/>
            <w:tcBorders>
              <w:bottom w:val="single" w:sz="8" w:color="auto"/>
            </w:tcBorders>
            <w:gridSpan w:val="3"/>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980" w:type="dxa"/>
            <w:vAlign w:val="bottom"/>
            <w:tcBorders>
              <w:bottom w:val="single" w:sz="8" w:color="auto"/>
            </w:tcBorders>
            <w:gridSpan w:val="2"/>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gridSpan w:val="2"/>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0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Percentage of Revenue</w:t>
            </w:r>
          </w:p>
        </w:tc>
        <w:tc>
          <w:tcPr>
            <w:tcW w:w="200" w:type="dxa"/>
            <w:vAlign w:val="bottom"/>
          </w:tcPr>
          <w:p>
            <w:pPr>
              <w:spacing w:after="0"/>
              <w:rPr>
                <w:sz w:val="15"/>
                <w:szCs w:val="15"/>
                <w:color w:val="auto"/>
              </w:rPr>
            </w:pPr>
          </w:p>
        </w:tc>
        <w:tc>
          <w:tcPr>
            <w:tcW w:w="122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73.8 %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60"/>
              <w:spacing w:after="0" w:line="176" w:lineRule="exact"/>
              <w:rPr>
                <w:sz w:val="20"/>
                <w:szCs w:val="20"/>
                <w:color w:val="auto"/>
              </w:rPr>
            </w:pPr>
            <w:r>
              <w:rPr>
                <w:rFonts w:ascii="Arial" w:cs="Arial" w:eastAsia="Arial" w:hAnsi="Arial"/>
                <w:sz w:val="17"/>
                <w:szCs w:val="17"/>
                <w:color w:val="auto"/>
              </w:rPr>
              <w:t>26.2 %</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gridSpan w:val="3"/>
          </w:tcPr>
          <w:p>
            <w:pPr>
              <w:jc w:val="right"/>
              <w:ind w:right="40"/>
              <w:spacing w:after="0" w:line="176" w:lineRule="exact"/>
              <w:rPr>
                <w:sz w:val="20"/>
                <w:szCs w:val="20"/>
                <w:color w:val="auto"/>
              </w:rPr>
            </w:pPr>
            <w:r>
              <w:rPr>
                <w:rFonts w:ascii="Arial" w:cs="Arial" w:eastAsia="Arial" w:hAnsi="Arial"/>
                <w:sz w:val="17"/>
                <w:szCs w:val="17"/>
                <w:color w:val="auto"/>
                <w:w w:val="91"/>
              </w:rPr>
              <w:t>100 %</w:t>
            </w:r>
          </w:p>
        </w:tc>
        <w:tc>
          <w:tcPr>
            <w:tcW w:w="140" w:type="dxa"/>
            <w:vAlign w:val="bottom"/>
          </w:tcPr>
          <w:p>
            <w:pPr>
              <w:spacing w:after="0"/>
              <w:rPr>
                <w:sz w:val="15"/>
                <w:szCs w:val="15"/>
                <w:color w:val="auto"/>
              </w:rPr>
            </w:pPr>
          </w:p>
        </w:tc>
        <w:tc>
          <w:tcPr>
            <w:tcW w:w="1180" w:type="dxa"/>
            <w:vAlign w:val="bottom"/>
            <w:gridSpan w:val="3"/>
          </w:tcPr>
          <w:p>
            <w:pPr>
              <w:jc w:val="right"/>
              <w:spacing w:after="0" w:line="176" w:lineRule="exact"/>
              <w:rPr>
                <w:sz w:val="20"/>
                <w:szCs w:val="20"/>
                <w:color w:val="auto"/>
              </w:rPr>
            </w:pPr>
            <w:r>
              <w:rPr>
                <w:rFonts w:ascii="Arial" w:cs="Arial" w:eastAsia="Arial" w:hAnsi="Arial"/>
                <w:sz w:val="17"/>
                <w:szCs w:val="17"/>
                <w:color w:val="auto"/>
              </w:rPr>
              <w:t>65.6 %</w:t>
            </w:r>
          </w:p>
        </w:tc>
        <w:tc>
          <w:tcPr>
            <w:tcW w:w="180" w:type="dxa"/>
            <w:vAlign w:val="bottom"/>
          </w:tcPr>
          <w:p>
            <w:pPr>
              <w:spacing w:after="0"/>
              <w:rPr>
                <w:sz w:val="15"/>
                <w:szCs w:val="15"/>
                <w:color w:val="auto"/>
              </w:rPr>
            </w:pPr>
          </w:p>
        </w:tc>
        <w:tc>
          <w:tcPr>
            <w:tcW w:w="1060" w:type="dxa"/>
            <w:vAlign w:val="bottom"/>
            <w:gridSpan w:val="3"/>
          </w:tcPr>
          <w:p>
            <w:pPr>
              <w:jc w:val="right"/>
              <w:ind w:right="40"/>
              <w:spacing w:after="0" w:line="176" w:lineRule="exact"/>
              <w:rPr>
                <w:sz w:val="20"/>
                <w:szCs w:val="20"/>
                <w:color w:val="auto"/>
              </w:rPr>
            </w:pPr>
            <w:r>
              <w:rPr>
                <w:rFonts w:ascii="Arial" w:cs="Arial" w:eastAsia="Arial" w:hAnsi="Arial"/>
                <w:sz w:val="17"/>
                <w:szCs w:val="17"/>
                <w:color w:val="auto"/>
              </w:rPr>
              <w:t>34.4 %</w:t>
            </w:r>
          </w:p>
        </w:tc>
        <w:tc>
          <w:tcPr>
            <w:tcW w:w="200" w:type="dxa"/>
            <w:vAlign w:val="bottom"/>
          </w:tcPr>
          <w:p>
            <w:pPr>
              <w:spacing w:after="0"/>
              <w:rPr>
                <w:sz w:val="15"/>
                <w:szCs w:val="15"/>
                <w:color w:val="auto"/>
              </w:rPr>
            </w:pPr>
          </w:p>
        </w:tc>
        <w:tc>
          <w:tcPr>
            <w:tcW w:w="1080" w:type="dxa"/>
            <w:vAlign w:val="bottom"/>
            <w:gridSpan w:val="3"/>
          </w:tcPr>
          <w:p>
            <w:pPr>
              <w:jc w:val="right"/>
              <w:spacing w:after="0" w:line="176" w:lineRule="exact"/>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Percentage of Revenue Less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0" w:type="dxa"/>
            <w:vAlign w:val="bottom"/>
            <w:gridSpan w:val="2"/>
          </w:tcPr>
          <w:p>
            <w:pPr>
              <w:ind w:left="160"/>
              <w:spacing w:after="0"/>
              <w:rPr>
                <w:sz w:val="20"/>
                <w:szCs w:val="20"/>
                <w:color w:val="auto"/>
              </w:rPr>
            </w:pPr>
            <w:r>
              <w:rPr>
                <w:rFonts w:ascii="Arial" w:cs="Arial" w:eastAsia="Arial" w:hAnsi="Arial"/>
                <w:sz w:val="17"/>
                <w:szCs w:val="17"/>
                <w:color w:val="auto"/>
              </w:rPr>
              <w:t>Ancillary Services</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80.6 %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7"/>
                <w:szCs w:val="17"/>
                <w:color w:val="auto"/>
              </w:rPr>
              <w:t>19.4 %</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7"/>
                <w:szCs w:val="17"/>
                <w:color w:val="auto"/>
                <w:w w:val="91"/>
              </w:rPr>
              <w:t>100 %</w:t>
            </w: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73.3 %</w:t>
            </w: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26.7 %</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341"/>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rPr>
              <w:t>Six Months Ended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5"/>
          </w:tcPr>
          <w:p>
            <w:pPr>
              <w:jc w:val="center"/>
              <w:spacing w:after="0"/>
              <w:rPr>
                <w:sz w:val="20"/>
                <w:szCs w:val="20"/>
                <w:color w:val="auto"/>
              </w:rPr>
            </w:pPr>
            <w:r>
              <w:rPr>
                <w:rFonts w:ascii="Arial" w:cs="Arial" w:eastAsia="Arial" w:hAnsi="Arial"/>
                <w:sz w:val="13"/>
                <w:szCs w:val="13"/>
                <w:b w:val="1"/>
                <w:bCs w:val="1"/>
                <w:color w:val="auto"/>
              </w:rPr>
              <w:t>Six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3"/>
                <w:szCs w:val="13"/>
                <w:b w:val="1"/>
                <w:bCs w:val="1"/>
                <w:color w:val="auto"/>
              </w:rPr>
              <w:t>June 30, 2022</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3"/>
                <w:szCs w:val="13"/>
                <w:b w:val="1"/>
                <w:bCs w:val="1"/>
                <w:color w:val="auto"/>
              </w:rPr>
              <w:t>June 30, 2021</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340"/>
              <w:spacing w:after="0" w:line="120"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tcPr>
          <w:p>
            <w:pPr>
              <w:jc w:val="center"/>
              <w:ind w:right="380"/>
              <w:spacing w:after="0" w:line="120" w:lineRule="exact"/>
              <w:rPr>
                <w:sz w:val="20"/>
                <w:szCs w:val="20"/>
                <w:color w:val="auto"/>
              </w:rPr>
            </w:pPr>
            <w:r>
              <w:rPr>
                <w:rFonts w:ascii="Arial" w:cs="Arial" w:eastAsia="Arial" w:hAnsi="Arial"/>
                <w:sz w:val="13"/>
                <w:szCs w:val="13"/>
                <w:b w:val="1"/>
                <w:bCs w:val="1"/>
                <w:color w:val="auto"/>
              </w:rPr>
              <w:t>Platform</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320"/>
              <w:spacing w:after="0" w:line="146"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380"/>
              <w:spacing w:after="0" w:line="146" w:lineRule="exact"/>
              <w:rPr>
                <w:sz w:val="20"/>
                <w:szCs w:val="20"/>
                <w:color w:val="auto"/>
              </w:rPr>
            </w:pPr>
            <w:r>
              <w:rPr>
                <w:rFonts w:ascii="Arial" w:cs="Arial" w:eastAsia="Arial" w:hAnsi="Arial"/>
                <w:sz w:val="13"/>
                <w:szCs w:val="13"/>
                <w:b w:val="1"/>
                <w:bCs w:val="1"/>
                <w:color w:val="auto"/>
              </w:rPr>
              <w:t>and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340"/>
              <w:spacing w:after="0" w:line="138" w:lineRule="exact"/>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380"/>
              <w:spacing w:after="0" w:line="138" w:lineRule="exact"/>
              <w:rPr>
                <w:sz w:val="20"/>
                <w:szCs w:val="20"/>
                <w:color w:val="auto"/>
              </w:rPr>
            </w:pPr>
            <w:r>
              <w:rPr>
                <w:rFonts w:ascii="Arial" w:cs="Arial" w:eastAsia="Arial" w:hAnsi="Arial"/>
                <w:sz w:val="13"/>
                <w:szCs w:val="13"/>
                <w:b w:val="1"/>
                <w:bCs w:val="1"/>
                <w:color w:val="auto"/>
              </w:rPr>
              <w:t>Usage-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320"/>
              <w:spacing w:after="0" w:line="146" w:lineRule="exact"/>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380"/>
              <w:spacing w:after="0" w:line="146" w:lineRule="exact"/>
              <w:rPr>
                <w:sz w:val="20"/>
                <w:szCs w:val="20"/>
                <w:color w:val="auto"/>
              </w:rPr>
            </w:pPr>
            <w:r>
              <w:rPr>
                <w:rFonts w:ascii="Arial" w:cs="Arial" w:eastAsia="Arial" w:hAnsi="Arial"/>
                <w:sz w:val="13"/>
                <w:szCs w:val="13"/>
                <w:b w:val="1"/>
                <w:bCs w:val="1"/>
                <w:color w:val="auto"/>
              </w:rPr>
              <w:t>Based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0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200" w:type="dxa"/>
            <w:vAlign w:val="bottom"/>
          </w:tcPr>
          <w:p>
            <w:pPr>
              <w:spacing w:after="0"/>
              <w:rPr>
                <w:sz w:val="16"/>
                <w:szCs w:val="16"/>
                <w:color w:val="auto"/>
              </w:rPr>
            </w:pPr>
          </w:p>
        </w:tc>
        <w:tc>
          <w:tcPr>
            <w:tcW w:w="1220" w:type="dxa"/>
            <w:vAlign w:val="bottom"/>
            <w:gridSpan w:val="2"/>
          </w:tcPr>
          <w:p>
            <w:pPr>
              <w:jc w:val="right"/>
              <w:ind w:right="353"/>
              <w:spacing w:after="0"/>
              <w:rPr>
                <w:sz w:val="20"/>
                <w:szCs w:val="20"/>
                <w:color w:val="auto"/>
              </w:rPr>
            </w:pPr>
            <w:r>
              <w:rPr>
                <w:rFonts w:ascii="Arial" w:cs="Arial" w:eastAsia="Arial" w:hAnsi="Arial"/>
                <w:sz w:val="13"/>
                <w:szCs w:val="13"/>
                <w:b w:val="1"/>
                <w:bCs w:val="1"/>
                <w:color w:val="auto"/>
              </w:rPr>
              <w:t>Transaction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7"/>
              </w:rPr>
              <w:t>Fee</w:t>
            </w:r>
          </w:p>
        </w:tc>
        <w:tc>
          <w:tcPr>
            <w:tcW w:w="180" w:type="dxa"/>
            <w:vAlign w:val="bottom"/>
          </w:tcPr>
          <w:p>
            <w:pPr>
              <w:spacing w:after="0"/>
              <w:rPr>
                <w:sz w:val="16"/>
                <w:szCs w:val="16"/>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Transaction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rPr>
              <w:t>Fee</w:t>
            </w:r>
          </w:p>
        </w:tc>
        <w:tc>
          <w:tcPr>
            <w:tcW w:w="200" w:type="dxa"/>
            <w:vAlign w:val="bottom"/>
          </w:tcPr>
          <w:p>
            <w:pPr>
              <w:spacing w:after="0"/>
              <w:rPr>
                <w:sz w:val="16"/>
                <w:szCs w:val="16"/>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202"/>
        </w:trPr>
        <w:tc>
          <w:tcPr>
            <w:tcW w:w="3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90.3</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121.1</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56.7</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82.0</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0" w:type="dxa"/>
            <w:vAlign w:val="bottom"/>
            <w:gridSpan w:val="2"/>
          </w:tcPr>
          <w:p>
            <w:pPr>
              <w:ind w:left="20"/>
              <w:spacing w:after="0" w:line="169" w:lineRule="exact"/>
              <w:rPr>
                <w:sz w:val="20"/>
                <w:szCs w:val="20"/>
                <w:color w:val="auto"/>
              </w:rPr>
            </w:pPr>
            <w:r>
              <w:rPr>
                <w:rFonts w:ascii="Arial" w:cs="Arial" w:eastAsia="Arial" w:hAnsi="Arial"/>
                <w:sz w:val="17"/>
                <w:szCs w:val="17"/>
                <w:color w:val="auto"/>
              </w:rPr>
              <w:t>Adjusted to exclude gross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160"/>
              <w:spacing w:after="0"/>
              <w:rPr>
                <w:sz w:val="20"/>
                <w:szCs w:val="20"/>
                <w:color w:val="auto"/>
              </w:rPr>
            </w:pPr>
            <w:r>
              <w:rPr>
                <w:rFonts w:ascii="Arial" w:cs="Arial" w:eastAsia="Arial" w:hAnsi="Arial"/>
                <w:sz w:val="17"/>
                <w:szCs w:val="17"/>
                <w:color w:val="auto"/>
              </w:rPr>
              <w:t>up for:</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00" w:type="dxa"/>
            <w:vAlign w:val="bottom"/>
            <w:gridSpan w:val="2"/>
            <w:shd w:val="clear" w:color="auto" w:fill="CFF0FC"/>
          </w:tcPr>
          <w:p>
            <w:pPr>
              <w:ind w:left="280"/>
              <w:spacing w:after="0" w:line="178" w:lineRule="exact"/>
              <w:rPr>
                <w:sz w:val="20"/>
                <w:szCs w:val="20"/>
                <w:color w:val="auto"/>
              </w:rPr>
            </w:pPr>
            <w:r>
              <w:rPr>
                <w:rFonts w:ascii="Arial" w:cs="Arial" w:eastAsia="Arial" w:hAnsi="Arial"/>
                <w:sz w:val="17"/>
                <w:szCs w:val="17"/>
                <w:color w:val="auto"/>
              </w:rPr>
              <w:t>Pass-through cost for</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20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printing and mailing</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1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(9.8 )</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w w:val="90"/>
              </w:rPr>
              <w:t>(9.8 )</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(8.4 )</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ind w:left="280"/>
              <w:spacing w:after="0"/>
              <w:rPr>
                <w:sz w:val="20"/>
                <w:szCs w:val="20"/>
                <w:color w:val="auto"/>
              </w:rPr>
            </w:pPr>
            <w:r>
              <w:rPr>
                <w:rFonts w:ascii="Arial" w:cs="Arial" w:eastAsia="Arial" w:hAnsi="Arial"/>
                <w:sz w:val="17"/>
                <w:szCs w:val="17"/>
                <w:color w:val="auto"/>
              </w:rPr>
              <w:t>Marketing fees</w:t>
            </w:r>
          </w:p>
        </w:tc>
        <w:tc>
          <w:tcPr>
            <w:tcW w:w="200" w:type="dxa"/>
            <w:vAlign w:val="bottom"/>
          </w:tcPr>
          <w:p>
            <w:pPr>
              <w:spacing w:after="0"/>
              <w:rPr>
                <w:sz w:val="17"/>
                <w:szCs w:val="17"/>
                <w:color w:val="auto"/>
              </w:rPr>
            </w:pPr>
          </w:p>
        </w:tc>
        <w:tc>
          <w:tcPr>
            <w:tcW w:w="1220" w:type="dxa"/>
            <w:vAlign w:val="bottom"/>
            <w:gridSpan w:val="2"/>
          </w:tcPr>
          <w:p>
            <w:pPr>
              <w:jc w:val="right"/>
              <w:ind w:right="33"/>
              <w:spacing w:after="0"/>
              <w:rPr>
                <w:sz w:val="20"/>
                <w:szCs w:val="20"/>
                <w:color w:val="auto"/>
              </w:rPr>
            </w:pPr>
            <w:r>
              <w:rPr>
                <w:rFonts w:ascii="Arial" w:cs="Arial" w:eastAsia="Arial" w:hAnsi="Arial"/>
                <w:sz w:val="17"/>
                <w:szCs w:val="17"/>
                <w:color w:val="auto"/>
              </w:rPr>
              <w:t>(0.6 )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w w:val="90"/>
              </w:rPr>
              <w:t>(0.6 )</w:t>
            </w:r>
          </w:p>
        </w:tc>
        <w:tc>
          <w:tcPr>
            <w:tcW w:w="140" w:type="dxa"/>
            <w:vAlign w:val="bottom"/>
          </w:tcPr>
          <w:p>
            <w:pPr>
              <w:spacing w:after="0"/>
              <w:rPr>
                <w:sz w:val="17"/>
                <w:szCs w:val="17"/>
                <w:color w:val="auto"/>
              </w:rPr>
            </w:pPr>
          </w:p>
        </w:tc>
        <w:tc>
          <w:tcPr>
            <w:tcW w:w="1180" w:type="dxa"/>
            <w:vAlign w:val="bottom"/>
            <w:gridSpan w:val="3"/>
          </w:tcPr>
          <w:p>
            <w:pPr>
              <w:jc w:val="right"/>
              <w:ind w:right="58"/>
              <w:spacing w:after="0"/>
              <w:rPr>
                <w:sz w:val="20"/>
                <w:szCs w:val="20"/>
                <w:color w:val="auto"/>
              </w:rPr>
            </w:pPr>
            <w:r>
              <w:rPr>
                <w:rFonts w:ascii="Arial" w:cs="Arial" w:eastAsia="Arial" w:hAnsi="Arial"/>
                <w:sz w:val="17"/>
                <w:szCs w:val="17"/>
                <w:color w:val="auto"/>
              </w:rPr>
              <w:t>(0.4 )</w:t>
            </w:r>
          </w:p>
        </w:tc>
        <w:tc>
          <w:tcPr>
            <w:tcW w:w="180" w:type="dxa"/>
            <w:vAlign w:val="bottom"/>
          </w:tcPr>
          <w:p>
            <w:pPr>
              <w:spacing w:after="0"/>
              <w:rPr>
                <w:sz w:val="17"/>
                <w:szCs w:val="17"/>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(0.4 )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CFF0FC"/>
          </w:tcPr>
          <w:p>
            <w:pPr>
              <w:ind w:left="20"/>
              <w:spacing w:after="0" w:line="163" w:lineRule="exact"/>
              <w:rPr>
                <w:sz w:val="20"/>
                <w:szCs w:val="20"/>
                <w:color w:val="auto"/>
              </w:rPr>
            </w:pPr>
            <w:r>
              <w:rPr>
                <w:rFonts w:ascii="Arial" w:cs="Arial" w:eastAsia="Arial" w:hAnsi="Arial"/>
                <w:sz w:val="17"/>
                <w:szCs w:val="17"/>
                <w:color w:val="auto"/>
              </w:rPr>
              <w:t>Revenue Less Ancillary</w:t>
            </w:r>
          </w:p>
        </w:tc>
        <w:tc>
          <w:tcPr>
            <w:tcW w:w="200" w:type="dxa"/>
            <w:vAlign w:val="bottom"/>
            <w:tcBorders>
              <w:top w:val="single" w:sz="8" w:color="auto"/>
            </w:tcBorders>
            <w:vMerge w:val="restart"/>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89.7</w:t>
            </w:r>
          </w:p>
        </w:tc>
        <w:tc>
          <w:tcPr>
            <w:tcW w:w="180" w:type="dxa"/>
            <w:vAlign w:val="bottom"/>
            <w:shd w:val="clear" w:color="auto" w:fill="CFF0FC"/>
          </w:tcPr>
          <w:p>
            <w:pPr>
              <w:spacing w:after="0"/>
              <w:rPr>
                <w:sz w:val="14"/>
                <w:szCs w:val="14"/>
                <w:color w:val="auto"/>
              </w:rPr>
            </w:pPr>
          </w:p>
        </w:tc>
        <w:tc>
          <w:tcPr>
            <w:tcW w:w="60" w:type="dxa"/>
            <w:vAlign w:val="bottom"/>
            <w:vMerge w:val="restart"/>
            <w:shd w:val="clear" w:color="auto" w:fill="CFF0FC"/>
          </w:tcPr>
          <w:p>
            <w:pPr>
              <w:spacing w:after="0"/>
              <w:rPr>
                <w:sz w:val="14"/>
                <w:szCs w:val="14"/>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110.7</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56.3</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ind w:right="1"/>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16.9</w:t>
            </w: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73.2</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FF0FC"/>
            </w:tcBorders>
            <w:gridSpan w:val="2"/>
            <w:shd w:val="clear" w:color="auto" w:fill="CFF0FC"/>
          </w:tcPr>
          <w:p>
            <w:pPr>
              <w:ind w:left="160"/>
              <w:spacing w:after="0" w:line="181" w:lineRule="exact"/>
              <w:rPr>
                <w:sz w:val="20"/>
                <w:szCs w:val="20"/>
                <w:color w:val="auto"/>
              </w:rPr>
            </w:pPr>
            <w:r>
              <w:rPr>
                <w:rFonts w:ascii="Arial" w:cs="Arial" w:eastAsia="Arial" w:hAnsi="Arial"/>
                <w:sz w:val="17"/>
                <w:szCs w:val="17"/>
                <w:color w:val="auto"/>
              </w:rPr>
              <w:t>Services</w:t>
            </w: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1100" w:type="dxa"/>
            <w:vAlign w:val="bottom"/>
            <w:tcBorders>
              <w:bottom w:val="single" w:sz="8" w:color="auto"/>
            </w:tcBorders>
            <w:gridSpan w:val="3"/>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980" w:type="dxa"/>
            <w:vAlign w:val="bottom"/>
            <w:tcBorders>
              <w:bottom w:val="single" w:sz="8" w:color="auto"/>
            </w:tcBorders>
            <w:gridSpan w:val="3"/>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980" w:type="dxa"/>
            <w:vAlign w:val="bottom"/>
            <w:tcBorders>
              <w:bottom w:val="single" w:sz="8" w:color="auto"/>
            </w:tcBorders>
            <w:gridSpan w:val="2"/>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gridSpan w:val="2"/>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0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Percentage of Revenue</w:t>
            </w:r>
          </w:p>
        </w:tc>
        <w:tc>
          <w:tcPr>
            <w:tcW w:w="200" w:type="dxa"/>
            <w:vAlign w:val="bottom"/>
          </w:tcPr>
          <w:p>
            <w:pPr>
              <w:spacing w:after="0"/>
              <w:rPr>
                <w:sz w:val="15"/>
                <w:szCs w:val="15"/>
                <w:color w:val="auto"/>
              </w:rPr>
            </w:pPr>
          </w:p>
        </w:tc>
        <w:tc>
          <w:tcPr>
            <w:tcW w:w="122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74.6 %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60"/>
              <w:spacing w:after="0" w:line="176" w:lineRule="exact"/>
              <w:rPr>
                <w:sz w:val="20"/>
                <w:szCs w:val="20"/>
                <w:color w:val="auto"/>
              </w:rPr>
            </w:pPr>
            <w:r>
              <w:rPr>
                <w:rFonts w:ascii="Arial" w:cs="Arial" w:eastAsia="Arial" w:hAnsi="Arial"/>
                <w:sz w:val="17"/>
                <w:szCs w:val="17"/>
                <w:color w:val="auto"/>
              </w:rPr>
              <w:t>25.4 %</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gridSpan w:val="3"/>
          </w:tcPr>
          <w:p>
            <w:pPr>
              <w:jc w:val="right"/>
              <w:ind w:right="40"/>
              <w:spacing w:after="0" w:line="176" w:lineRule="exact"/>
              <w:rPr>
                <w:sz w:val="20"/>
                <w:szCs w:val="20"/>
                <w:color w:val="auto"/>
              </w:rPr>
            </w:pPr>
            <w:r>
              <w:rPr>
                <w:rFonts w:ascii="Arial" w:cs="Arial" w:eastAsia="Arial" w:hAnsi="Arial"/>
                <w:sz w:val="17"/>
                <w:szCs w:val="17"/>
                <w:color w:val="auto"/>
                <w:w w:val="91"/>
              </w:rPr>
              <w:t>100 %</w:t>
            </w:r>
          </w:p>
        </w:tc>
        <w:tc>
          <w:tcPr>
            <w:tcW w:w="140" w:type="dxa"/>
            <w:vAlign w:val="bottom"/>
          </w:tcPr>
          <w:p>
            <w:pPr>
              <w:spacing w:after="0"/>
              <w:rPr>
                <w:sz w:val="15"/>
                <w:szCs w:val="15"/>
                <w:color w:val="auto"/>
              </w:rPr>
            </w:pPr>
          </w:p>
        </w:tc>
        <w:tc>
          <w:tcPr>
            <w:tcW w:w="1180" w:type="dxa"/>
            <w:vAlign w:val="bottom"/>
            <w:gridSpan w:val="3"/>
          </w:tcPr>
          <w:p>
            <w:pPr>
              <w:jc w:val="right"/>
              <w:spacing w:after="0" w:line="176" w:lineRule="exact"/>
              <w:rPr>
                <w:sz w:val="20"/>
                <w:szCs w:val="20"/>
                <w:color w:val="auto"/>
              </w:rPr>
            </w:pPr>
            <w:r>
              <w:rPr>
                <w:rFonts w:ascii="Arial" w:cs="Arial" w:eastAsia="Arial" w:hAnsi="Arial"/>
                <w:sz w:val="17"/>
                <w:szCs w:val="17"/>
                <w:color w:val="auto"/>
              </w:rPr>
              <w:t>69.2 %</w:t>
            </w:r>
          </w:p>
        </w:tc>
        <w:tc>
          <w:tcPr>
            <w:tcW w:w="180" w:type="dxa"/>
            <w:vAlign w:val="bottom"/>
          </w:tcPr>
          <w:p>
            <w:pPr>
              <w:spacing w:after="0"/>
              <w:rPr>
                <w:sz w:val="15"/>
                <w:szCs w:val="15"/>
                <w:color w:val="auto"/>
              </w:rPr>
            </w:pPr>
          </w:p>
        </w:tc>
        <w:tc>
          <w:tcPr>
            <w:tcW w:w="1060" w:type="dxa"/>
            <w:vAlign w:val="bottom"/>
            <w:gridSpan w:val="3"/>
          </w:tcPr>
          <w:p>
            <w:pPr>
              <w:jc w:val="right"/>
              <w:ind w:right="40"/>
              <w:spacing w:after="0" w:line="176" w:lineRule="exact"/>
              <w:rPr>
                <w:sz w:val="20"/>
                <w:szCs w:val="20"/>
                <w:color w:val="auto"/>
              </w:rPr>
            </w:pPr>
            <w:r>
              <w:rPr>
                <w:rFonts w:ascii="Arial" w:cs="Arial" w:eastAsia="Arial" w:hAnsi="Arial"/>
                <w:sz w:val="17"/>
                <w:szCs w:val="17"/>
                <w:color w:val="auto"/>
              </w:rPr>
              <w:t>30.8 %</w:t>
            </w:r>
          </w:p>
        </w:tc>
        <w:tc>
          <w:tcPr>
            <w:tcW w:w="200" w:type="dxa"/>
            <w:vAlign w:val="bottom"/>
          </w:tcPr>
          <w:p>
            <w:pPr>
              <w:spacing w:after="0"/>
              <w:rPr>
                <w:sz w:val="15"/>
                <w:szCs w:val="15"/>
                <w:color w:val="auto"/>
              </w:rPr>
            </w:pPr>
          </w:p>
        </w:tc>
        <w:tc>
          <w:tcPr>
            <w:tcW w:w="1080" w:type="dxa"/>
            <w:vAlign w:val="bottom"/>
            <w:gridSpan w:val="3"/>
          </w:tcPr>
          <w:p>
            <w:pPr>
              <w:jc w:val="right"/>
              <w:spacing w:after="0" w:line="176" w:lineRule="exact"/>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Percentage of Revenue Less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0" w:type="dxa"/>
            <w:vAlign w:val="bottom"/>
            <w:gridSpan w:val="2"/>
          </w:tcPr>
          <w:p>
            <w:pPr>
              <w:ind w:left="160"/>
              <w:spacing w:after="0"/>
              <w:rPr>
                <w:sz w:val="20"/>
                <w:szCs w:val="20"/>
                <w:color w:val="auto"/>
              </w:rPr>
            </w:pPr>
            <w:r>
              <w:rPr>
                <w:rFonts w:ascii="Arial" w:cs="Arial" w:eastAsia="Arial" w:hAnsi="Arial"/>
                <w:sz w:val="17"/>
                <w:szCs w:val="17"/>
                <w:color w:val="auto"/>
              </w:rPr>
              <w:t>Ancillary Services</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81.0 %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7"/>
                <w:szCs w:val="17"/>
                <w:color w:val="auto"/>
              </w:rPr>
              <w:t>19.0 %</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7"/>
                <w:szCs w:val="17"/>
                <w:color w:val="auto"/>
                <w:w w:val="91"/>
              </w:rPr>
              <w:t>100 %</w:t>
            </w: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76.9 %</w:t>
            </w: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23.1 %</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42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-6335395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-6318250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-6335395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-6318250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-6335395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-6318250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-6335395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-6318250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-5222240</wp:posOffset>
            </wp:positionV>
            <wp:extent cx="7132320"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-4922520</wp:posOffset>
            </wp:positionV>
            <wp:extent cx="713232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-2961640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-2945130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-2961640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-2945130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-2961640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-2945130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-2961640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-2945130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-2961640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-2945130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-2807970</wp:posOffset>
            </wp:positionV>
            <wp:extent cx="7132320" cy="2482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-753110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-735965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-753110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-735965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-753110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-735965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-753110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-735965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-753110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-735965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-735965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2482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(0.9 )</w:t>
            </w: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(1.0 )</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26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(0.1 )</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Indirect taxes related to intercompany activity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line="216"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74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136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-110490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-93345</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-110490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-93345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-110490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-93345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ind w:left="520" w:right="140" w:hanging="512"/>
        <w:spacing w:after="0" w:line="245"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months ended June 30, 2022, other (income) expense consisted of $(0.2) million of interest income and $5.3 million of losses from the remeasurement of foreign currency transactions into their functional currency. For the three months ended June 30, 2021, other (income) expense consisted of $(0.1) of gains from remeasurement of foreign currency transactions into their functional currency. For the six months ended June 30, 2022, other (income) expense consisted of $(0.2) million of interest income and $7.6 million of losses from the remeasurement of foreign currency transactions into their functional currency. For the six months ended June 30, 2021, other (income) expense consisted of $0.3 million of losses from the remeasurement of foreign currency transactions into their functional currency.</w:t>
      </w:r>
    </w:p>
    <w:p>
      <w:pPr>
        <w:jc w:val="both"/>
        <w:ind w:left="520" w:right="20" w:hanging="512"/>
        <w:spacing w:after="0" w:line="25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Acquisition related transaction costs consisted of legal and advisory fees incurred in connection with the Cohort Go acquisition. Refer to </w:t>
      </w:r>
      <w:r>
        <w:rPr>
          <w:rFonts w:ascii="Arial" w:cs="Arial" w:eastAsia="Arial" w:hAnsi="Arial"/>
          <w:sz w:val="14"/>
          <w:szCs w:val="14"/>
          <w:i w:val="1"/>
          <w:iCs w:val="1"/>
          <w:color w:val="auto"/>
        </w:rPr>
        <w:t>Note 17 - Subsequent Events</w:t>
      </w:r>
      <w:r>
        <w:rPr>
          <w:rFonts w:ascii="Arial" w:cs="Arial" w:eastAsia="Arial" w:hAnsi="Arial"/>
          <w:sz w:val="14"/>
          <w:szCs w:val="14"/>
          <w:color w:val="auto"/>
        </w:rPr>
        <w:t xml:space="preserve"> to our unaudited condensed consolidated financial statements appearing elsewhere in this Quarterly Report on Form 10-Q for more details on the acquisition of Cohort Go.</w:t>
      </w:r>
    </w:p>
    <w:p>
      <w:pPr>
        <w:ind w:left="520" w:right="60" w:hanging="512"/>
        <w:spacing w:after="0" w:line="257"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Simplee’s and WPM's employees in connection with integration of the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20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7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20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20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While we expect our expenses related to technology and development to increase, we believe these investments will contribute to long-term growth and profitability.</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0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 We expect our mix to shift to bank transfers throughout the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9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pandemic, could affect the amounts of volumes processed on our platform, thus resulting in fluctuations to our revenue streams.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unprecedented and rapid spread of COVID-19 in 2020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quarterly and annual net dollar-based retention rate remained strong. For the year ended December 31, 2021, our annual net dollar-based retention rate was approximately 140%. For the year ended December 31, 2020, despite the impact of the COVID-19 pandemic on our clients and the industries we serve, our annual net dollar-based retention rate was approximately 100%. During the year ended December 31, 2021, we added an additional 300 clients and have observed a recovery in payment volumes and growth in clients. As a result of the payment volume growth, client growth and public company complexities, we have increased hiring. Although international travel restrictions remain for certain countries, these have lessened considerably, and borders are generally opened to pre-pandemic levels, allowing for an increase in international students to attend education clients. We expect this trend to continue throughout the year for our education clients. Additionally, the opening of borders and abatement of COVID-19 restrictions has increased travel abroad and we expect travel to continue to return to pre-pandemic levels. As variants (most notably Delta and Omicron) or sub-variants of COVID-19 emerge, we will continue to evaluate the nature and extent of these potential impacts to our business, consolidated financial statements, and liquidity.</w:t>
      </w:r>
    </w:p>
    <w:p>
      <w:pPr>
        <w:spacing w:after="0" w:line="17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did not have a material impact on our consolidated financial statements for the years ended December 31, 2020 and 2021. We continue to monitor any effects that may result from the CARES Act or other government relief programs that are made available.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9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do not have any operations, including long-lived assets, in Ukraine or Russia, and to our knowledge, our clients do not receive material amounts of payments from payers in these regions. We are actively monitoring the situation in Ukraine and assessing its impact on our business, but as of the issuance date of these condensed consolidated financial statements, the current conflict between Russia and Ukraine, and the resulting impact on inflation and interest rates have not had a material impact on the Company’s revenue, results of operations or financial position. However, we have no way to predict the progress or outcome of the conflict or its impacts in Ukraine, Russia or Belarus as the conflict, and any resulting government reactions, are rapidly developing and beyond our control. The extent and duration of the military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action, sanctions and resulting market disruptions could be significant and could potentially have a substantial impact on the global economy and our business for an unknown period of time.</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206"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We have a wide range of clients across education, healthcare, travel and B2B. Following the onset of the COVID-19 pandemic, there was a temporary deceleration of payment volumes and revenue from education clients relying on international enrollments due to the uncertainty of borders re-opening. During 2021 and the first half of 2022, borders continued to open allowing for an increase in international students to attend education clients. We expect this trend to continue throughout the year for our education clients. Additionally, the opening of borders and abatement of COVID-19 restrictions has increased travel abroad and we expect travel to continue to return to pre-pandemic levels.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206"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9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During the spring of 2020, due to initial COVID-19 uncertainty, we reduced our workforce by approximately 12%. From July 2020 through June 30, 2022, our workforce increased by approximately 96% in order to meet the demand of client growth and life as a public company. As vaccination rates have increased, our offices have reopened, although FlyMates have the flexibility to work remotely. We have also increased our hiring plan to address key roles in a measured way with the goal of ensuring continuity and growth.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189" w:lineRule="exact"/>
        <w:rPr>
          <w:sz w:val="20"/>
          <w:szCs w:val="20"/>
          <w:color w:val="auto"/>
        </w:rPr>
      </w:pPr>
    </w:p>
    <w:p>
      <w:pPr>
        <w:ind w:right="560" w:firstLine="509"/>
        <w:spacing w:after="0" w:line="243"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transaction. Our revenue mix fluctuates and as more revenue is derived from credit cards our adjusted gross margin goes down.</w:t>
      </w:r>
    </w:p>
    <w:p>
      <w:pPr>
        <w:spacing w:after="0" w:line="18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and Usage-Based Fee Revenue</w:t>
      </w:r>
    </w:p>
    <w:p>
      <w:pPr>
        <w:spacing w:after="0" w:line="20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93"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06"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7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06"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5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Interest expense consists of interest previously incurred on our LSA and interest on our current Revolving Credit Facility. During 2018, we borrowed $25.0 million under the LSA to complete the acquisition of OnPlan Holdings LLC. On April 25, 2020, we entered into a Joinder and Second Amendment to the LSA to refinance the LSA. As part of the refinancing, the lender re-advanced $4.2 million of principal paid on the loan through May 1, 2020. The LSA was interest only until May 2023 and carried annual interest at a rate equal to the greater of (i) 5.25% above the prime rate or (ii) 8.50%. In July 2021, we refinanced the LSA by entering into a $50.0 million Revolving Credit Facility. The Revolving Credit Facility has an adjustable rate of interest based on the type of loan requested, either at an annual rate based on the Alternate Base Rate (ABR), which references the prime rate plus an applicable rate or LIBO Rate plus an applicable rate. Loans based on ABR bear interest at a rate between ABR plus 0.75% and ABR plus 1.25%, and loans based on LIBO Rate bear interest at a rate between LIBO Rate plus 1.75% and LIBO Rate plus 2.25%, depending on our liquidity.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our consolidated balance sheets as these were free standing instruments that may have required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all preferred stock warrants were either fully exercised or converted to warrants to purchase common stock and no longer require liability classification. As a result, we no longer recognize the change in fair value of preferred stock warrant liability in our condensed consolidated statements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6" w:lineRule="exact"/>
        <w:rPr>
          <w:sz w:val="20"/>
          <w:szCs w:val="20"/>
          <w:color w:val="auto"/>
        </w:rPr>
      </w:pPr>
    </w:p>
    <w:p>
      <w:pPr>
        <w:ind w:right="960" w:firstLine="509"/>
        <w:spacing w:after="0" w:line="245"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w:t>
      </w:r>
    </w:p>
    <w:p>
      <w:pPr>
        <w:spacing w:after="0" w:line="193"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Provision for income taxes consists primarily of foreign and state income taxes. We have historically generated net operating losses (NOL) carryforwards for U.S. Federal and state tax purposes as we expand the scale of our international business activities. We are currently anticipating generating U.S. taxable income in 2022 primarily due to capitalizing a large portion of our research and development costs. Any additional changes in the U.S. and foreign taxation of such activities may increase our overall provision for income taxes in the future.</w:t>
      </w:r>
    </w:p>
    <w:p>
      <w:pPr>
        <w:spacing w:after="0" w:line="15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30, 2022 and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6"/>
                <w:szCs w:val="16"/>
                <w:color w:val="auto"/>
              </w:rPr>
            </w:pPr>
          </w:p>
        </w:tc>
        <w:tc>
          <w:tcPr>
            <w:tcW w:w="2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900" w:type="dxa"/>
            <w:vAlign w:val="bottom"/>
            <w:gridSpan w:val="2"/>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 costs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91.3 %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73.4 %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66.1 %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(17.4 )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(7.5 )</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(9.9 )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132.0 %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(0.3 )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(9.8 )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(5.1 )</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(5200.0 )%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80"/>
              <w:spacing w:after="0"/>
              <w:rPr>
                <w:sz w:val="20"/>
                <w:szCs w:val="20"/>
                <w:color w:val="auto"/>
              </w:rPr>
            </w:pPr>
            <w:r>
              <w:rPr>
                <w:rFonts w:ascii="Arial" w:cs="Arial" w:eastAsia="Arial" w:hAnsi="Arial"/>
                <w:sz w:val="18"/>
                <w:szCs w:val="18"/>
                <w:color w:val="auto"/>
              </w:rPr>
              <w:t>Total other expenses, net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(10.3 )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8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(22.7 )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(17.8 )</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266.7 %</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(23.8 )</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(18.1 )</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217"/>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(23.8 )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(18.2 )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-1677670</wp:posOffset>
            </wp:positionV>
            <wp:extent cx="713232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-1403350</wp:posOffset>
            </wp:positionV>
            <wp:extent cx="71323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145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2" w:lineRule="exact"/>
        <w:rPr>
          <w:sz w:val="20"/>
          <w:szCs w:val="20"/>
          <w:color w:val="auto"/>
        </w:rPr>
      </w:pPr>
    </w:p>
    <w:p>
      <w:pPr>
        <w:ind w:right="180" w:firstLine="509"/>
        <w:spacing w:after="0" w:line="245" w:lineRule="auto"/>
        <w:rPr>
          <w:sz w:val="20"/>
          <w:szCs w:val="20"/>
          <w:color w:val="auto"/>
        </w:rPr>
      </w:pPr>
      <w:r>
        <w:rPr>
          <w:rFonts w:ascii="Arial" w:cs="Arial" w:eastAsia="Arial" w:hAnsi="Arial"/>
          <w:sz w:val="18"/>
          <w:szCs w:val="18"/>
          <w:color w:val="auto"/>
        </w:rPr>
        <w:t>Revenue was $56.5 million for the three months ended June 30, 2022, compared to $37.0 million for the three months ended June 30, 2021, an increase of $19.5 million or 52.7%.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Transaction revenue</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9"/>
        </w:trPr>
        <w:tc>
          <w:tcPr>
            <w:tcW w:w="5920" w:type="dxa"/>
            <w:vAlign w:val="bottom"/>
            <w:gridSpan w:val="2"/>
          </w:tcPr>
          <w:p>
            <w:pPr>
              <w:ind w:left="28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Transaction revenue was $41.7 million for the three months ended June 30, 2022, compared to $24.3 million for the three months ended June 30, 2021, an increase of $17.4 million or 71.6%. The increase in transaction revenue was primarily driven by growth in transaction payment volumes, from both our existing clients and new clients added during the three months ended June 30, 2022. We experienced strong growth in payment volume across all regions and verticals during the period. Total payment volume increased 49% during the three months ended June 30, 2022 to $ 2.9 billion. Our marketing services revenue increased as a result of our payment partners using more of our marketing services in the three months ended June 30, 2022 compared to the three months ended June 30, 2021.</w:t>
      </w:r>
    </w:p>
    <w:p>
      <w:pPr>
        <w:spacing w:after="0" w:line="158"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Platform and usage-based fee revenue was $14.8 million for the three months ended June 30, 2022, compared to $12.7 million for the three months ended June 30, 2021, an increase of $2.1 million or 16.5%. The increase in platform and usage-based fee revenue was driven primarily by the WPM acquisition, which accounted for a $1.6 million increase over the same period in 2021. The remainder of the increase was attributable to increased usage by our clients and new clients signed during the three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202" w:lineRule="exact"/>
        <w:rPr>
          <w:sz w:val="20"/>
          <w:szCs w:val="20"/>
          <w:color w:val="auto"/>
        </w:rPr>
      </w:pPr>
    </w:p>
    <w:p>
      <w:pPr>
        <w:jc w:val="both"/>
        <w:ind w:right="400" w:firstLine="509"/>
        <w:spacing w:after="0"/>
        <w:rPr>
          <w:sz w:val="20"/>
          <w:szCs w:val="20"/>
          <w:color w:val="auto"/>
        </w:rPr>
      </w:pPr>
      <w:r>
        <w:rPr>
          <w:rFonts w:ascii="Arial" w:cs="Arial" w:eastAsia="Arial" w:hAnsi="Arial"/>
          <w:sz w:val="18"/>
          <w:szCs w:val="18"/>
          <w:color w:val="auto"/>
        </w:rPr>
        <w:t>Payment processing services costs were $21.8 million for the three months ended June 30, 2022, compared to $ 13.1 million for the three months ended June 30, 2021, an increase of $8.7 million or 66.4%. The increase in payment processing services costs is correlated with the increase in total payment volume of 49% over the same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8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Technology and development expenses were $13.2 million for the three months ended June 30, 2022, compared to $6.9 million for the three months ended June 30, 2021, an increase of $6.3 million or 91.3%.The increase in technology and development cost was primarily driven by an increase in personnel costs, stock-based compensation expense,</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amortization expense, travel related expenses and software and hosting expenses. Personnel costs were $ 8.1 million for the three months ended June 30, 2022, compared to $3.8 million for the three months ended June 301, 2021, an increase of $4.3 million or 113.2%. The increase in personnel costs was primarily driven by an increase in headcount within our technology and development teams. Stock-based compensation expense was $1.6 million for the three months ended June 30, 2022, compared to $0.4 million for the three months ended June 30, 2021, an increase of $1.2 million or 300.0%. The increase in stock-based compensation is attributable to grants awarded to existing and new FlyMates. Amortization of intangible assets was $1.6 million for the three months ended June 30, 2022, compared to $1.2 million for the three months ended June 30, 2021, an increase of $0.4 million or 33.3%. The increase in amortization expense was the result of the acquisition of WPM. Travel expenses were $ 0.3 for the three months ended June 30, 2022, compared to $ 0 for the three months ended June 30, 2021, an increase of $0.3 million. Higher travel expenses were due to increased FlyMate collaboration as COVID-19 restrictions lifted and client engagement. Software and hosting expenses were $1.1 million for the three months ended June 30, 2022, compared to $0.9 million for the three months ended June 30, 2021, an increase of $0.2 million or 22.2%. The increase in software and hosting expenses was primarily related to increased hosting fees based on payment volumes growth and additional software needs based on headcount growth.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Selling and marketing expenses were $18.9 million for the three months ended June 30, 2022, compared to $ 10.9 million for the three months ended June 30, 2021, an increase of $8.0 million or 73.4%. The increase in selling and marketing expenses was primarily driven by an increase in personnel costs, stock-based compensation expense, marketing costs, professional fees, travel related expenses, and amortization expense. Personnel costs were $10.6 million for the three months ended June 30, 2022, compared to $7.1 million for the three months ended June 30, 2021, an increase of $3.5 million or 49.3%. The increase in personnel costs was primarily driven by an increase in headcount within our selling and marketing teams and commissions earned on sales during the period. Stock-based compensation expense was $2.2 million for the three months ended June 30, 2022, compared to $0.8 million for the three months ended June 30, 2021, an increase of $1.4 million or 175.0%. The increase in stock-based compensation is attributable to grants awarded to existing and new FlyMates. Marketing costs were $2.0 million for the three months ended June 30, 2022, compared to $0.8 million for the three months ended June 30, 2021, an increase of $1.2 million or 150.0%. The increase in marketing costs was due to increased marketing initiatives and hosted events, including marketing activities associated with WPM. Professional fees were $1.6 million for the three months ended June 30, 2022, compared to $0.7 million for the three months ended June 30, 2021, an increase of $0.9 million or 128.6%. The increase in professional fees was due to increases in third party commissions and consulting fees. Travel expenses were $0.8 for the three months ended June 30, 2022, compared to $0.1 for the three months ended June 30, 2021, an increase of $0.7 million or 700.0%. Higher travel expenses were due to increased client engagement and FlyMate collaboration. Amortization of intangible assets was $0.9 million for the three months ended June 30, 2022, compared to $0.6 million for the three months ended June 30, 2021, an increase of $ 0.3 million or 50.0%. The increase in amortization expense was due to acquired customer relationships related to the WPM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General and administrative expenses were $20.0 million for the three months ended June 30, 2022 and $ 13.6 million for the three months ended June 30, 2021, an increase of $6.4 million or 47.1%. The increases in general and administrative expenses were primarily driven by the increase stock-based compensation expense, personnel costs, general and administrative, other costs, professional fees, software and hosting expenses, and travel related expenses, which was partially offset by a decrease in the fair value of contingent consideration expense. Stock-based compensation was $4.7 million for the three months ended June 30, 2022, compared to $1.2 million for the three months ended June 30, 2021, an increase of $3.5 million or 291.7%. The increase in stock-based compensation is attributable to grants awarded to existing and new FlyMates. Personnel costs were $ 8.0 million for the three months ended June 30, 2022, compared to $5.5 million for the three months ended June 30, 2021, an increase of $2.5 million or 45.5%. The increase in personnel costs was primarily driven by an increase in headcount. General and administrative costs were $1.5 million for the three months ended June 30, 2022, compared to $0.6 million for the three months ended June 30, 2021, an increase of $0.9 million or 150.0%. The increase in general and administrative costs was primarily due to increased insurance costs as a public company. Other costs were $0.8 million for the three months ended June 30, 2022, compared to $0.2 million for the three months ended June 30, 2021, an increase of $0.6 million or 300.0%. The increase in other costs was primarily due to indirect taxes recorded during the period. Professional fees were $2.5 million for the three months ended June 30, 2022, compared to $2.0 million for the three months ended June 30, 2021, an increase of $0.5 million or 25.0%. The increase in professional fees was due to increased legal and audit fees as a result of becoming a public company. Software and hosting expenses were $1.3 million for the three months ended June 30, 2022, compared to $0.8 million for the three months ended June 30, 2021, an increase of $0.5 million or 62.5%. The increase in software and hosting expenses was primarily related to increased hosting fees based on payment volumes growth and additional software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needs based on headcount growth. Travel expenses were $ 0.4 for the three months ended June 30, 2022, compared to $0.2 for the three months ended June 30, 2021, an increase of $0.2 million or 100.0%. Higher travel expenses were due to increased FlyMate collaboration. The change in the fair value of contingent consideration related to acquisitions was $(0.9) million for the three months ended June 30, 2022, compared to $1.6 million for the three months ended June 30, 2021, a decrease of $2.5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Interest expense was $ 0.3 million for the three months ended June 30, 2022, compared to $ 0.6 million for the three months ended June 30, 2021, a decrease of $0.3 or 50.0%. During July 2021, we entered into a Revolving Credit Facility with three banks for a total commitment of $50.0 million. We drew $ 25.9 million on the Revolving Credit Facility and used the proceeds to early prepay our existing LSA of $25.0 million, which resulted in a new interest rate per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change in fair value of preferred stock warrant liability was $0 for the three months ended June 30, 2022, compared to $9.8 million for the three months ended June 30, 2021, a decrease of $9.8 million or 100.0%. Upon the completion of our IPO, all preferred stock warrants were either fully exercised or converted to warrants to purchase common stock. As a result, we no longer recognize the change in fair value of preferred stock warrant liability in our condensed consolidated statements of operations and comprehensive loss.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02" w:lineRule="exact"/>
        <w:rPr>
          <w:sz w:val="20"/>
          <w:szCs w:val="20"/>
          <w:color w:val="auto"/>
        </w:rPr>
      </w:pPr>
    </w:p>
    <w:p>
      <w:pPr>
        <w:ind w:right="320" w:firstLine="509"/>
        <w:spacing w:after="0" w:line="262" w:lineRule="auto"/>
        <w:rPr>
          <w:sz w:val="20"/>
          <w:szCs w:val="20"/>
          <w:color w:val="auto"/>
        </w:rPr>
      </w:pPr>
      <w:r>
        <w:rPr>
          <w:rFonts w:ascii="Arial" w:cs="Arial" w:eastAsia="Arial" w:hAnsi="Arial"/>
          <w:sz w:val="17"/>
          <w:szCs w:val="17"/>
          <w:color w:val="auto"/>
        </w:rPr>
        <w:t>Other income (expense), net, was $(5.1) million for the three months ended June 30, 2022, compared to $0.1 million for the three months ended June 30, 2021, an increase of $(5.2) million. The increase was primarily the result of the remeasurement of foreign currency transactions into the British pound sterling. Losses from the remeasurement of foreign currency transactions into their functional currencies were $5.3 million for the three months ended June 30, 2022, compared to gains of $0.1 million for the three months ended June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income tax expense was $1.1 million for the three months ended June 30, 2022, compared to an income tax expense of $0.3 million for the three months ended June 30, 2021, an increase of $0.8 or 266.7%. The income tax expense for the three months ended June 30, 2022 was primarily attributable to state and foreign taxes, while the income tax expense for the three months ended June 30, 2021 was primarily attributable to foreign taxes. Our effective tax rate was (4.7)% for the three months ended June 30, 2022 compared to (1.6)% for the three months ended June 30,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30, 2022 and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Six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57.9 %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66.9 %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60.1 %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51.7 %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(24.5 )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(14.0 )</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(10.5 )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75.0 %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(0.5 )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(10.8 )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(7.4 )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(0.3 )</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2366.7 %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Total other expenses, net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(7.9 )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(12.3 )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(35.8 )%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(32.4 )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(26.3 )</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220.0 %</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(33.9 )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(26.8 )</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17"/>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(0.4 )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(133.3 )%</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(26.5 )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-1677670</wp:posOffset>
            </wp:positionV>
            <wp:extent cx="71323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-1403350</wp:posOffset>
            </wp:positionV>
            <wp:extent cx="7132320"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145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Revenue was $121.1 million for the six months ended June 30, 2022, compared to $82.0 million for the six months ended June 30, 2021, an increase of $39.1 million or 47.7%.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3"/>
                <w:szCs w:val="13"/>
                <w:b w:val="1"/>
                <w:bCs w:val="1"/>
                <w:color w:val="auto"/>
              </w:rPr>
              <w:t>Six Months Ended June 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5"/>
        </w:trPr>
        <w:tc>
          <w:tcPr>
            <w:tcW w:w="59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5"/>
                <w:szCs w:val="15"/>
                <w:color w:val="auto"/>
              </w:rPr>
            </w:pPr>
          </w:p>
        </w:tc>
        <w:tc>
          <w:tcPr>
            <w:tcW w:w="860" w:type="dxa"/>
            <w:vAlign w:val="bottom"/>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4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 Change</w:t>
            </w:r>
          </w:p>
        </w:tc>
      </w:tr>
      <w:tr>
        <w:trPr>
          <w:trHeight w:val="208"/>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Transaction revenue</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21.7 %</w:t>
            </w:r>
          </w:p>
        </w:tc>
      </w:tr>
      <w:tr>
        <w:trPr>
          <w:trHeight w:val="209"/>
        </w:trPr>
        <w:tc>
          <w:tcPr>
            <w:tcW w:w="5920" w:type="dxa"/>
            <w:vAlign w:val="bottom"/>
            <w:gridSpan w:val="2"/>
          </w:tcPr>
          <w:p>
            <w:pPr>
              <w:ind w:left="28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Transaction revenue was $90.3 million for the six months ended June 30, 2022, compared to $56.7 million for the six months ended June 30, 2021, an increase of $33.6 million or 59.3%. The increase in transaction revenue was primarily driven by growth in transaction payment volumes, from both our existing clients and new clients added during the six months ended June 30, 2022. We experienced strong growth in payment volume across all regions and verticals during the period. Total payment volume increased 47% during the six months ended June 30, 2022 to $7.0 billion. Our marketing services revenue increased as a result of our payment partners using more of our marketing services in the six months ended June 30, 2022 compared to the six months ended June 30, 2021.</w:t>
      </w:r>
    </w:p>
    <w:p>
      <w:pPr>
        <w:spacing w:after="0" w:line="158" w:lineRule="exact"/>
        <w:rPr>
          <w:sz w:val="20"/>
          <w:szCs w:val="20"/>
          <w:color w:val="auto"/>
        </w:rPr>
      </w:pPr>
    </w:p>
    <w:p>
      <w:pPr>
        <w:jc w:val="both"/>
        <w:ind w:right="280" w:firstLine="509"/>
        <w:spacing w:after="0" w:line="243" w:lineRule="auto"/>
        <w:rPr>
          <w:sz w:val="20"/>
          <w:szCs w:val="20"/>
          <w:color w:val="auto"/>
        </w:rPr>
      </w:pPr>
      <w:r>
        <w:rPr>
          <w:rFonts w:ascii="Arial" w:cs="Arial" w:eastAsia="Arial" w:hAnsi="Arial"/>
          <w:sz w:val="18"/>
          <w:szCs w:val="18"/>
          <w:color w:val="auto"/>
        </w:rPr>
        <w:t>Platform and usage-based fee revenue was $30.8 million for the six months ended June 30, 2022, compared to $25.3 million for the six months ended June 30, 2021, an increase of $5.5 million or 21.7%. The increase in platform and usage-based fee revenue was driven primarily by the WPM acquisition, which accounted for a $3.3 million increase over the same period in 2021. The remainder of the increase was attributable to increased usage by our clients and new clients signed during the six months ended June 30,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202" w:lineRule="exact"/>
        <w:rPr>
          <w:sz w:val="20"/>
          <w:szCs w:val="20"/>
          <w:color w:val="auto"/>
        </w:rPr>
      </w:pPr>
    </w:p>
    <w:p>
      <w:pPr>
        <w:jc w:val="both"/>
        <w:ind w:right="280" w:firstLine="509"/>
        <w:spacing w:after="0"/>
        <w:rPr>
          <w:sz w:val="20"/>
          <w:szCs w:val="20"/>
          <w:color w:val="auto"/>
        </w:rPr>
      </w:pPr>
      <w:r>
        <w:rPr>
          <w:rFonts w:ascii="Arial" w:cs="Arial" w:eastAsia="Arial" w:hAnsi="Arial"/>
          <w:sz w:val="18"/>
          <w:szCs w:val="18"/>
          <w:color w:val="auto"/>
        </w:rPr>
        <w:t>Payment processing services costs were $46.1 million for the six months ended June 30, 2022, compared to $29.2 million for the six months ended June 30, 2021, an increase of $16.9 million or 57.9%. The increase in payment processing services costs is correlated with the increase in total payment volume of 47% over the same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Technology and development expenses were $ 24.2 million for the six months ended June 30, 2022, compared to $ 14.5 million for the six months ended June 30, 2021, an increase of $9.7 million or 66.9%. The increase in technology and development cost was primarily driven by an increase in personnel costs, stock-based compensation expense, amortization expense, software and hosting expenses, and travel related expenses. Personnel costs were $14.7 million for the six months ended June 30, 2022, compared to $7.6 million for the six months ended June 30, 2021, an increase of $7.1 million or 93.4%. The increase in personnel costs was primarily driven by an increase in headcount within our technology and development teams. Stock-based compensation expense was $ 2.6 million for the six months ended June 30, 2022, compared to $1.5 million for the six months ended June 30, 2021, an increase of $1.1 million or 73.3%. The increase in stock-based compensation is attributable to grants awarded to existing and new FlyMates. Amortization of intangible assets was $3.1 million for the six months ended June 30, 2022, compared to $2.3 million for the six months ended June 30, 2021, an increase of $0.8 million or 34.8%. The increase in amortization expense was the result of the acquisition of Simplee. Software and hosting expenses were $2.2 million for the six months ended June 30, 2022, compared to $1.8 million for the six months ended June 30, 2021, an increase of $0.4 million or 22.2%. The increase in software and hosting expenses was primarily related to increased hosting fees based on payment volumes growth and additional software needs based on headcount growth. Travel expenses were $0.5 for the six months ended June 30, 2022, compared to $0 for the six months ended June 30, 2021, an increase of $0.5 million. Higher travel expenses were due to increased FlyMate collaboration as COVID-19 restrictions lifted and client engagement.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8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Selling and marketing expenses were $36.5 million for the six months ended June 30, 2022, compared to $22.8 million for the six months ended June 30, 2021, an increase of $13.7 million or 60.1%. The increase in selling and marketing expenses was primarily driven by an increase in personnel costs, marketing costs, professional fees, travel related expenses, and amortization expense. Personnel costs were $21.0 million for the six months ended June 30, 2022, compared to $13.5 million for the six months ended June 30, 2021, an increase of $7.5 million or 55.6%. The increase in personnel costs was primarily driven by an increase in headcount within our selling and marketing teams and commissions earned on sales during the period. Marketing costs were $3.5 million for the six months ended June 30, 2022, compared to $1.5 million for the six months ended June 30, 2021, an increase of $2.0 million or 133.3%. The increase in marketing costs was due to increased marketing initiatives and hosted events, including marketing activities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associated with WPM. Professional fees were $3.5 million for the six months ended June 30, 2022, compared to $ 1.6 million for the six months ended June 30, 2021, an increase of $1.9 million or 118.8%. The increase in professional fees was due to increases in third party commissions and consulting fees. Travel expenses were $1.3 for the six months ended June 30, 2022, compared to $0.1 for the six months ended June 30, 2021, an increase of $1.2 million. Higher travel expenses were due to increased client engagement and FlyMate collaboration. Amortization of intangible assets was $1.9 million for the six months ended June 30, 2022, compared to $1.2 million for the six months ended June 30, 2021, an increase of $0.7 million or 58.3%. The increase in amortization expense was due to acquired customer relationships related to the WPM acquisition.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General and administrative expenses were $38.8 million for the six months ended June 30, 2022, compared to $29.5 million for the six months ended June 30, 2021, an increase of $9.3 million or 31.5%. The increase in general and administrative expenses was primarily driven by the increase in personnel costs, professional fees, general and administrative, other costs, software and hosting expenses, and travel related expenses, which was partially offset by a decrease in the fair value of contingent consideration expense. Personnel costs were $15.5 million for the six months ended June 30, 2022, compared to $10.6 million for the six months ended June 30, 2021, an increase of $4.9 million or 46.2%. The increase in personnel costs was primarily driven by an increase in headcount. Professional fees were $5.5 million for the six months ended June 30, 2022, compared to $3.3 million for the six months ended June 30, 2021, an increase of $2.2 million or 66.7%. The increase in professional fees was due to increased legal and audit fees as a result of becoming a public company. General and administrative costs were $3.0 million for the six months ended June 30, 2022, compared to $ 0.9 million for the six months ended June 30, 2021, an increase of $2.1 million or 233.3%. The increase in general and administrative costs was primarily due to increased insurance costs as a public company. Other costs were $1.4 million for the six months ended June 30, 2022, compared to $ 0.4 million for the six months ended June 30, 2021, an increase of $1.0 million or 250.0%. The increase in other costs was primarily due to indirect taxes recorded during the period. Software and hosting expenses were $ 2.6 million for the six months ended June 30, 2022, compared to $1.6 million for the six months ended June 30, 2021, an increase of $1.0 million or 62.5%. The increase in software and hosting expenses was primarily related to increased hosting fees based on payment volumes growth and additional software needs based on headcount growth. Travel expenses were $0.8 for the six months ended June 30, 2022, compared to $0.2 for the six months ended June 30, 2021, an increase of $0.6 million or 300%. Higher travel expenses were due to increased FlyMate collaboration. The change in the fair value of contingent consideration related to acquisitions was $(1.0) million for the six months ended June 30, 2022, compared to $1.6 million for the six months ended June 30, 2021, a decrease of $2.6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0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Interest expense was $0.5 million for the six months ended June 30, 2022, compared to $ 1.2 million for the six months ended June 30, 2021, a decrease of $0.7 million or 58.3%. During July 2021, we entered into a Revolving Credit Facility with three banks for a total commitment of $50.0 million. We drew $ 25.9 million on the Revolving Credit Facility and used the proceeds to early prepay our existing LSA of $25.0 million, which resulted in a new interest rate per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9" w:lineRule="exact"/>
        <w:rPr>
          <w:sz w:val="20"/>
          <w:szCs w:val="20"/>
          <w:color w:val="auto"/>
        </w:rPr>
      </w:pPr>
    </w:p>
    <w:p>
      <w:pPr>
        <w:jc w:val="both"/>
        <w:ind w:right="380" w:firstLine="509"/>
        <w:spacing w:after="0" w:line="243" w:lineRule="auto"/>
        <w:rPr>
          <w:sz w:val="20"/>
          <w:szCs w:val="20"/>
          <w:color w:val="auto"/>
        </w:rPr>
      </w:pPr>
      <w:r>
        <w:rPr>
          <w:rFonts w:ascii="Arial" w:cs="Arial" w:eastAsia="Arial" w:hAnsi="Arial"/>
          <w:sz w:val="18"/>
          <w:szCs w:val="18"/>
          <w:color w:val="auto"/>
        </w:rPr>
        <w:t>The fair value of preferred stock warrant liability was $ 0 for the six months ended June, 2022, compared to $10.8 million for the six months ended June 30, 2021, a decrease of $ 10.8 million or 100.0%. Upon the completion of our IPO, all preferred stock warrants were either fully exercised or converted to warrants to purchase common stock. As a result, we no longer recognize the change in fair value of preferred stock warrant liability in our condensed consolidated statements of operations and comprehensive loss.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8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Other expense, net, was $7.4 million for the six months ended June 30, 2022, compared to $0.3 million for the six months ended June 30, 2021, an increase of $7.1 million. The increase was primarily the result of the remeasurement of foreign currency transactions into the British pound sterling. Losses from the remeasurement of foreign currency transactions into their functional currencies were $7.6 million for the six months ended June 30, 2022, compared to losses of $0.3 million for the six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2"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The income tax expense was $1.6 million for the six months ended June 30, 2022, compared to an income tax expense of $0.5 million for the six months ended June 30, 2021, an increase of $1.1 million or 220.0%. The income tax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expense for the six months ended June 30, 2022 was primarily attributable to state and foreign taxes, while the income tax expense for the six months ended June 30, 2021 was primarily attributable to foreign taxes. Our effective tax rate was (4.9)% for the six months ended June 30, 2022 compared to (1.8)% for the six months ended June 30, 2021.</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6"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71" w:lineRule="exact"/>
        <w:rPr>
          <w:sz w:val="20"/>
          <w:szCs w:val="20"/>
          <w:color w:val="auto"/>
        </w:rPr>
      </w:pPr>
    </w:p>
    <w:p>
      <w:pPr>
        <w:jc w:val="both"/>
        <w:ind w:right="160" w:firstLine="509"/>
        <w:spacing w:after="0"/>
        <w:rPr>
          <w:sz w:val="20"/>
          <w:szCs w:val="20"/>
          <w:color w:val="auto"/>
        </w:rPr>
      </w:pPr>
      <w:r>
        <w:rPr>
          <w:rFonts w:ascii="Arial" w:cs="Arial" w:eastAsia="Arial" w:hAnsi="Arial"/>
          <w:sz w:val="18"/>
          <w:szCs w:val="18"/>
          <w:color w:val="auto"/>
        </w:rPr>
        <w:t>In May 2021, we completed our IPO which resulted in aggregate net proceeds of $263.8 million, after underwriting discounts of $19.4 million and issuance costs of $4.9 million. As of June 30, 2022, our principal source of liquidity is cash, cash equivalents and restricted cash of $362.6 million. Cash equivalents is comprised primarily of money market funds.</w:t>
      </w:r>
    </w:p>
    <w:p>
      <w:pPr>
        <w:spacing w:after="0" w:line="17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6"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Contractual obligations consist of outstanding indebtedness under the Revolving Credit Facility and operating leases that relate to real estate for our primary facilities.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4"/>
                <w:szCs w:val="14"/>
                <w:b w:val="1"/>
                <w:bCs w:val="1"/>
                <w:color w:val="auto"/>
              </w:rPr>
              <w:t>Payments Due by Year</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7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1 to 3</w:t>
            </w:r>
          </w:p>
        </w:tc>
        <w:tc>
          <w:tcPr>
            <w:tcW w:w="2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4 to 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14</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Debt obligations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25,939</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27,277</w:t>
            </w:r>
          </w:p>
        </w:tc>
        <w:tc>
          <w:tcPr>
            <w:tcW w:w="2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14</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5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60" w:type="dxa"/>
            <w:vAlign w:val="bottom"/>
            <w:gridSpan w:val="11"/>
          </w:tcPr>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gridSpan w:val="8"/>
          </w:tcPr>
          <w:p>
            <w:pPr>
              <w:jc w:val="right"/>
              <w:ind w:right="72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2"/>
          </w:tcPr>
          <w:p>
            <w:pPr>
              <w:jc w:val="right"/>
              <w:ind w:right="51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00" w:type="dxa"/>
            <w:vAlign w:val="bottom"/>
            <w:tcBorders>
              <w:bottom w:val="single" w:sz="8" w:color="CFF0FC"/>
            </w:tcBorders>
            <w:gridSpan w:val="4"/>
            <w:shd w:val="clear" w:color="auto" w:fill="CFF0FC"/>
          </w:tcPr>
          <w:p>
            <w:pPr>
              <w:ind w:left="2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-1591945</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-1574800</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-1591945</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-1574800</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-1591945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-1574800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-1591945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-1574800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operating activities consists of net loss adjusted for certain non-cash items and changes in other assets and liabilities.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2022, cash used in operating activities of $27.6 million was primarily the result of net loss of</w:t>
      </w:r>
    </w:p>
    <w:p>
      <w:pPr>
        <w:spacing w:after="0" w:line="234" w:lineRule="auto"/>
        <w:rPr>
          <w:sz w:val="20"/>
          <w:szCs w:val="20"/>
          <w:color w:val="auto"/>
        </w:rPr>
      </w:pPr>
      <w:r>
        <w:rPr>
          <w:rFonts w:ascii="Arial" w:cs="Arial" w:eastAsia="Arial" w:hAnsi="Arial"/>
          <w:sz w:val="18"/>
          <w:szCs w:val="18"/>
          <w:color w:val="auto"/>
        </w:rPr>
        <w:t>$33.9 million adjusted for non-cash expenses of $19.1 million, which primarily included stock-based compensation expenses of $13.9 million,</w:t>
      </w:r>
    </w:p>
    <w:p>
      <w:pPr>
        <w:spacing w:after="0"/>
        <w:rPr>
          <w:sz w:val="20"/>
          <w:szCs w:val="20"/>
          <w:color w:val="auto"/>
        </w:rPr>
      </w:pPr>
      <w:r>
        <w:rPr>
          <w:rFonts w:ascii="Arial" w:cs="Arial" w:eastAsia="Arial" w:hAnsi="Arial"/>
          <w:sz w:val="18"/>
          <w:szCs w:val="18"/>
          <w:color w:val="auto"/>
        </w:rPr>
        <w:t>depreciation and amortization of $5.8 million, and change in fair value of contingent consideration of $(1.0) million, offset by $12.7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to changes in our operating assets and liabilities.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2021, cash used in operating activities of $13.6 million was primarily the result of net loss of</w:t>
      </w:r>
    </w:p>
    <w:p>
      <w:pPr>
        <w:spacing w:after="0"/>
        <w:rPr>
          <w:sz w:val="20"/>
          <w:szCs w:val="20"/>
          <w:color w:val="auto"/>
        </w:rPr>
      </w:pPr>
      <w:r>
        <w:rPr>
          <w:rFonts w:ascii="Arial" w:cs="Arial" w:eastAsia="Arial" w:hAnsi="Arial"/>
          <w:sz w:val="18"/>
          <w:szCs w:val="18"/>
          <w:color w:val="auto"/>
        </w:rPr>
        <w:t>$26.8 million adjusted for non-cash expenses of $30.0 million, which primarily included stock-based compensation expenses of $12.8 million,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preferred stock warrant liability of $10.8 million and depreciation and amortization of $4.3 million, offset by $16.7</w:t>
      </w:r>
    </w:p>
    <w:p>
      <w:pPr>
        <w:spacing w:after="0"/>
        <w:rPr>
          <w:sz w:val="20"/>
          <w:szCs w:val="20"/>
          <w:color w:val="auto"/>
        </w:rPr>
      </w:pPr>
      <w:r>
        <w:rPr>
          <w:rFonts w:ascii="Arial" w:cs="Arial" w:eastAsia="Arial" w:hAnsi="Arial"/>
          <w:sz w:val="18"/>
          <w:szCs w:val="18"/>
          <w:color w:val="auto"/>
        </w:rPr>
        <w:t>million related to changes in our operating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ind w:right="540" w:firstLine="509"/>
        <w:spacing w:after="0" w:line="245" w:lineRule="auto"/>
        <w:rPr>
          <w:sz w:val="20"/>
          <w:szCs w:val="20"/>
          <w:color w:val="auto"/>
        </w:rPr>
      </w:pPr>
      <w:r>
        <w:rPr>
          <w:rFonts w:ascii="Arial" w:cs="Arial" w:eastAsia="Arial" w:hAnsi="Arial"/>
          <w:sz w:val="18"/>
          <w:szCs w:val="18"/>
          <w:color w:val="auto"/>
        </w:rPr>
        <w:t>During the six months ended June 30, 2022, cash used in investing activities of $3.6 million was the result of the capitalization of internally developed software costs.</w:t>
      </w:r>
    </w:p>
    <w:p>
      <w:pPr>
        <w:spacing w:after="0" w:line="171"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During the six months ended June 30, 2021, cash used in investing activities of $3.6 million was primarily the result of the capitalization of internally developed software costs of $3.5 million and an acquisition of an asset of $0.1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During the six months ended June 30, 2022, cash used by financing activities of $1.8 million was the result of payments for contingent consideration of $3.3 million related to our acquisition of Simplee, payments of tax withholdings for net settled option exercises of $0.8 million, offset by $2.3 million proceeds from the exercise of stock options.</w:t>
      </w:r>
    </w:p>
    <w:p>
      <w:pPr>
        <w:spacing w:after="0" w:line="17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During the six months ended June 30, 2021, cash provided by financing activities of $324.9 million was primarily driven by the proceeds received from our IPO of $268.7 million, net proceeds received from our sale of preferred stock for aggregate proceeds of $59.7 million and proceeds from the exercise of stock options and warrants of $4.1 million, partially offset by payments for contingent consideration of $3.8 million related to our acquisition of Simplee and $3.8 million related to offering costs associated with our IPO.</w:t>
      </w:r>
    </w:p>
    <w:p>
      <w:pPr>
        <w:spacing w:after="0" w:line="173"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As of June 30, 2022, we had $25.9 million of outstanding indebtedness under the Revolving Credit Facility. The proceeds of the Revolving Credit Facility were used to pay off the existing loan of $25.0 million. The Revolving Credit Facility consists of ABR loans or Eurodollar Borrowings, at our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We have access to an additional $24.1 million of additional funds under the Revolving Credit Facility to draw in the future.</w:t>
      </w:r>
    </w:p>
    <w:p>
      <w:pPr>
        <w:spacing w:after="0" w:line="16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 xml:space="preserve">As of June 30, 2021, we had $25.0 million of outstanding indebtedness under the LSA. The LSA was interest only until May 2023 and bore annual interest at a rate equal to the greater of (i) 5.25% above the prime rate of (ii) 8.50%. Refer to </w:t>
      </w:r>
      <w:r>
        <w:rPr>
          <w:rFonts w:ascii="Arial" w:cs="Arial" w:eastAsia="Arial" w:hAnsi="Arial"/>
          <w:sz w:val="18"/>
          <w:szCs w:val="18"/>
          <w:i w:val="1"/>
          <w:iCs w:val="1"/>
          <w:color w:val="auto"/>
        </w:rPr>
        <w:t>Note 10 - Debt</w:t>
      </w:r>
      <w:r>
        <w:rPr>
          <w:rFonts w:ascii="Arial" w:cs="Arial" w:eastAsia="Arial" w:hAnsi="Arial"/>
          <w:sz w:val="18"/>
          <w:szCs w:val="18"/>
          <w:color w:val="auto"/>
        </w:rPr>
        <w:t xml:space="preserve"> to our unaudited condensed consolidated financial statements appearing elsewhere in this Quarterly Report on Form 10-Q for additional details related to the LSA.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6"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0" w:lineRule="exact"/>
        <w:rPr>
          <w:sz w:val="20"/>
          <w:szCs w:val="20"/>
          <w:color w:val="auto"/>
        </w:rPr>
      </w:pPr>
    </w:p>
    <w:p>
      <w:pPr>
        <w:jc w:val="both"/>
        <w:ind w:right="160" w:firstLine="509"/>
        <w:spacing w:after="0" w:line="250" w:lineRule="auto"/>
        <w:rPr>
          <w:sz w:val="20"/>
          <w:szCs w:val="20"/>
          <w:color w:val="auto"/>
        </w:rPr>
      </w:pPr>
      <w:r>
        <w:rPr>
          <w:rFonts w:ascii="Arial" w:cs="Arial" w:eastAsia="Arial" w:hAnsi="Arial"/>
          <w:sz w:val="18"/>
          <w:szCs w:val="18"/>
          <w:color w:val="auto"/>
        </w:rPr>
        <w:t xml:space="preserve">Our critical accounting policies and estimates are described in the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section of our Annual Report on Form 10-K for the fiscal year ended December 31, 2021. Effective January 1, 2022,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 changed our accounting policy for leases resulting from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subsequent related ASUs. There were no other material changes to policies during the six months ended June 30, 2022.</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On January 1, 2022, we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related ASUs using January 1, 2022 as the date of initial application. The new lease standard sets out the principles for the recognition, measurement, presentation and disclosure of leases for both parties to a contract (i.e., lessees and lessors). We elected the modified retrospective transition option which allows for application of Topic 842 at the adoption date. Therefore, comparative prior period financial information was not adjusted and will continue to be reported under the previous accounting guidance of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No cumulative-effect adjustment to the opening accumulated deficit balance as of January 1, 2022 was necessary as a result of adopting the new standard. We elected the “package of practical expedients” permitted under the transition guidance which allowed us to not to reassess (i) whether any expired or existing contracts are, or contain, leases, (ii) the lease classification for any expired or existing leases and (iii) initial direct costs for any existing leases. We elected the practical expedient not to separate lease and non-lease components. We also elected the short-term lease recognition exemption and will not recognize ROU assets or lease liabilities for leases with a term less than 12 months. As a result of the adoption, we recognized ROU assets of $3.0 million in Other assets and a corresponding lease liability of $3.6 million in Other liabilities as of January 1, 2022. The ROU assets were adjusted per Topic 842 transition guidance for the existing deferred rent balance. Refer to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to our unaudited condensed consolidated financial statements appearing elsewhere in this Quarterly Report on Form 10-Q for details</w:t>
      </w:r>
      <w:r>
        <w:rPr>
          <w:rFonts w:ascii="Arial" w:cs="Arial" w:eastAsia="Arial" w:hAnsi="Arial"/>
          <w:sz w:val="18"/>
          <w:szCs w:val="18"/>
          <w:i w:val="1"/>
          <w:iCs w:val="1"/>
          <w:color w:val="auto"/>
        </w:rPr>
        <w:t xml:space="preserve"> </w:t>
      </w:r>
      <w:r>
        <w:rPr>
          <w:rFonts w:ascii="Arial" w:cs="Arial" w:eastAsia="Arial" w:hAnsi="Arial"/>
          <w:sz w:val="18"/>
          <w:szCs w:val="18"/>
          <w:color w:val="auto"/>
        </w:rPr>
        <w:t>on accounting for leases after the adoption of ASC 842.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6"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p>
    <w:p>
      <w:pPr>
        <w:spacing w:after="0" w:line="16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As of June 30, 2022, the market value of our common stock that was held by non-affiliates exceeded $ 700.0 million, and as a result, we will no longer qualify as an emerging growth company on the last day of the fiscal year ending December 31, 2022 when we will become a large accelerated filer. Therefore, as of that date, we will be required to comply with new or revised accounting standards as of the effective dates applicable to public companies that are not emerging growth companies.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8" w:lineRule="exact"/>
        <w:rPr>
          <w:sz w:val="20"/>
          <w:szCs w:val="20"/>
          <w:color w:val="auto"/>
        </w:rPr>
      </w:pPr>
    </w:p>
    <w:p>
      <w:pPr>
        <w:ind w:right="80" w:firstLine="509"/>
        <w:spacing w:after="0" w:line="250"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1 - 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such standards are not expected to have a material impact on our consolidated financial statements or do not otherwise apply to our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6"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Revolving Credit Facility consists of ABR loans or Eurodollar Borrowings, at our option. ABR loans bear interest at the ABR plus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As of June 30, 2022, $25.9 million was outstanding under our Revolving Credit Facility. An immediate 10% increase or decrease in interest rates would not have a material effect on our financial position, results of operations or cash flows.</w:t>
      </w:r>
    </w:p>
    <w:p>
      <w:pPr>
        <w:spacing w:after="0" w:line="181"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Prior to our Revolving Credit Facility, we incurred borrowings under the LSA which accrued interest at a floating per annum rate equal to the greater of (i) 5.25% above the prime rate; or (ii) 8.50%. As of June 30, 2021, $25.0 million was outstanding under the LSA.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9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 As a result, to date foreign currency fluctuations with respect to our cross-border payments have not resulted in a materially unfavorable effect on our operating results, financial position or cash flows. In addition, our reporting currency is the U.S. Dollar. The financial statements of our foreign subsidiaries are translated from local currency into U.S. Dollars using the exchange rate at the balance sheet date for assets and liabilities, and the average exchange rate in effect during the period for revenue and expenses. Our functional currency and the functional currency of our subsidiaries, with the exception of our U.K. subsidiary, is the U.S. Dollar. The functional currency for our U.K. subsidiary is considered to be the local currency and, accordingly, translation adjustments for this entity are included as a component of accumulated other comprehensive loss in our consolidated balance sheets. Gains and losses from the remeasurement of foreign currency transactions into the functional currency are recognized as other income (expense), net in the consolidated statements of operations and comprehensive loss. We do not believe a 10% increase or decrease in current exchange rates would have a material impact on our operating results, financial position or cash flows.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Inflation Risk</w:t>
      </w:r>
    </w:p>
    <w:p>
      <w:pPr>
        <w:spacing w:after="0" w:line="206" w:lineRule="exact"/>
        <w:rPr>
          <w:sz w:val="20"/>
          <w:szCs w:val="20"/>
          <w:color w:val="auto"/>
        </w:rPr>
      </w:pPr>
    </w:p>
    <w:p>
      <w:pPr>
        <w:jc w:val="both"/>
        <w:ind w:right="100" w:firstLine="509"/>
        <w:spacing w:after="0"/>
        <w:rPr>
          <w:sz w:val="20"/>
          <w:szCs w:val="20"/>
          <w:color w:val="auto"/>
        </w:rPr>
      </w:pPr>
      <w:r>
        <w:rPr>
          <w:rFonts w:ascii="Arial" w:cs="Arial" w:eastAsia="Arial" w:hAnsi="Arial"/>
          <w:sz w:val="18"/>
          <w:szCs w:val="18"/>
          <w:color w:val="auto"/>
        </w:rPr>
        <w:t>We do not believe that inflation had a material effect on our cash flows and results of operations during the three or six months ended June 30, 2022. If our costs were to become subject to significant inflationary pressures, we may not be able to fully offset such higher costs through increase in prices of our product offerings.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June 30, 2022, our disclosure controls and procedures were effective at the reasonable assurance level.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June 30, 2022 that have materially affected, or are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93"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II—OTHER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0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8"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06"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which could cause our actual results to be harmed, including risks regarding the following: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06" w:lineRule="exact"/>
        <w:rPr>
          <w:sz w:val="20"/>
          <w:szCs w:val="20"/>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quarterly fluctuations in operating results.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adversely affected by the COVID-19 global pandemic and related responsive actions.</w:t>
      </w:r>
    </w:p>
    <w:p>
      <w:pPr>
        <w:spacing w:after="0" w:line="170" w:lineRule="exact"/>
        <w:rPr>
          <w:rFonts w:ascii="Arial" w:cs="Arial" w:eastAsia="Arial" w:hAnsi="Arial"/>
          <w:sz w:val="18"/>
          <w:szCs w:val="18"/>
          <w:color w:val="auto"/>
        </w:rPr>
      </w:pPr>
    </w:p>
    <w:p>
      <w:pPr>
        <w:ind w:left="900" w:right="60" w:hanging="263"/>
        <w:spacing w:after="0" w:line="24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Efforts to attract new clients may be unsuccessful.</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84" w:lineRule="exact"/>
        <w:rPr>
          <w:rFonts w:ascii="Arial" w:cs="Arial" w:eastAsia="Arial" w:hAnsi="Arial"/>
          <w:sz w:val="18"/>
          <w:szCs w:val="18"/>
          <w:color w:val="auto"/>
        </w:rPr>
      </w:pPr>
    </w:p>
    <w:p>
      <w:pPr>
        <w:ind w:left="900" w:right="920" w:hanging="263"/>
        <w:spacing w:after="0" w:line="24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70" w:lineRule="exact"/>
        <w:rPr>
          <w:rFonts w:ascii="Arial" w:cs="Arial" w:eastAsia="Arial" w:hAnsi="Arial"/>
          <w:sz w:val="18"/>
          <w:szCs w:val="18"/>
          <w:color w:val="auto"/>
        </w:rPr>
      </w:pPr>
    </w:p>
    <w:p>
      <w:pPr>
        <w:ind w:left="900" w:right="960" w:hanging="263"/>
        <w:spacing w:after="0" w:line="26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markets are highly competitive.</w:t>
      </w:r>
    </w:p>
    <w:p>
      <w:pPr>
        <w:spacing w:after="0" w:line="184" w:lineRule="exact"/>
        <w:rPr>
          <w:rFonts w:ascii="Arial" w:cs="Arial" w:eastAsia="Arial" w:hAnsi="Arial"/>
          <w:sz w:val="18"/>
          <w:szCs w:val="18"/>
          <w:color w:val="auto"/>
        </w:rPr>
      </w:pPr>
    </w:p>
    <w:p>
      <w:pPr>
        <w:ind w:left="900" w:right="540" w:hanging="263"/>
        <w:spacing w:after="0" w:line="24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70" w:lineRule="exact"/>
        <w:rPr>
          <w:rFonts w:ascii="Arial" w:cs="Arial" w:eastAsia="Arial" w:hAnsi="Arial"/>
          <w:sz w:val="18"/>
          <w:szCs w:val="18"/>
          <w:color w:val="auto"/>
        </w:rPr>
      </w:pPr>
    </w:p>
    <w:p>
      <w:pPr>
        <w:ind w:left="900" w:hanging="263"/>
        <w:spacing w:after="0" w:line="24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healthcare industry is rapidly evolving.</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enter or expand into new verticals, including our relatively new B2B payment vertical.</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93" w:lineRule="exact"/>
        <w:rPr>
          <w:sz w:val="20"/>
          <w:szCs w:val="20"/>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exposed to fluctuations in foreign currency exchange rates.</w:t>
      </w:r>
    </w:p>
    <w:p>
      <w:pPr>
        <w:spacing w:after="0" w:line="184" w:lineRule="exact"/>
        <w:rPr>
          <w:rFonts w:ascii="Arial" w:cs="Arial" w:eastAsia="Arial" w:hAnsi="Arial"/>
          <w:sz w:val="18"/>
          <w:szCs w:val="18"/>
          <w:color w:val="auto"/>
        </w:rPr>
      </w:pPr>
    </w:p>
    <w:p>
      <w:pPr>
        <w:ind w:left="900" w:right="160" w:hanging="263"/>
        <w:spacing w:after="0" w:line="24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payment card networks fees or rules could harm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206" w:lineRule="exact"/>
        <w:rPr>
          <w:sz w:val="20"/>
          <w:szCs w:val="20"/>
          <w:color w:val="auto"/>
        </w:rPr>
      </w:pPr>
    </w:p>
    <w:p>
      <w:pPr>
        <w:ind w:left="900" w:hanging="2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70" w:lineRule="exact"/>
        <w:rPr>
          <w:rFonts w:ascii="Arial" w:cs="Arial" w:eastAsia="Arial" w:hAnsi="Arial"/>
          <w:sz w:val="18"/>
          <w:szCs w:val="18"/>
          <w:color w:val="auto"/>
        </w:rPr>
      </w:pPr>
    </w:p>
    <w:p>
      <w:pPr>
        <w:ind w:left="900" w:right="140" w:hanging="263"/>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governmental laws and requirements regarding economic and trade sanctions, anti-money laundering (AML), countering the financing of terrorism (CFT) and those applicable to a money service business (MSB).</w:t>
      </w:r>
    </w:p>
    <w:p>
      <w:pPr>
        <w:spacing w:after="0" w:line="143" w:lineRule="exact"/>
        <w:rPr>
          <w:rFonts w:ascii="Arial" w:cs="Arial" w:eastAsia="Arial" w:hAnsi="Arial"/>
          <w:sz w:val="18"/>
          <w:szCs w:val="18"/>
          <w:color w:val="auto"/>
        </w:rPr>
      </w:pPr>
    </w:p>
    <w:p>
      <w:pPr>
        <w:ind w:left="900" w:right="520" w:hanging="263"/>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206" w:lineRule="exact"/>
        <w:rPr>
          <w:sz w:val="20"/>
          <w:szCs w:val="20"/>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continue to incur increased costs as a public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06" w:lineRule="exact"/>
        <w:rPr>
          <w:sz w:val="20"/>
          <w:szCs w:val="20"/>
          <w:color w:val="auto"/>
        </w:rPr>
      </w:pPr>
    </w:p>
    <w:p>
      <w:pPr>
        <w:ind w:left="900" w:right="40" w:hanging="263"/>
        <w:spacing w:after="0" w:line="24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hanging="2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$28.1 million and $11.1 million the years ended December 31, 2021 and 2020, respectively, and $ 33.9 million during the six months ended June 30, 2022. In addition, as of June 30, 2022, we had an accumulated deficit of $159.8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will also face increased compliance and security costs associated with growth, the expansion of our client base, and being a public company, especially as we transition to a large accelerated filer status as of December 31, 2022.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6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volume of payments processed.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71" w:lineRule="exact"/>
        <w:rPr>
          <w:sz w:val="20"/>
          <w:szCs w:val="20"/>
          <w:color w:val="auto"/>
        </w:rPr>
      </w:pPr>
    </w:p>
    <w:p>
      <w:pPr>
        <w:ind w:left="900" w:right="260" w:hanging="26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4" w:lineRule="exact"/>
        <w:rPr>
          <w:rFonts w:ascii="Arial" w:cs="Arial" w:eastAsia="Arial" w:hAnsi="Arial"/>
          <w:sz w:val="18"/>
          <w:szCs w:val="18"/>
          <w:color w:val="auto"/>
        </w:rPr>
      </w:pPr>
    </w:p>
    <w:p>
      <w:pPr>
        <w:ind w:left="900" w:right="260" w:hanging="263"/>
        <w:spacing w:after="0" w:line="24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into more international markets;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48"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84" w:lineRule="exact"/>
        <w:rPr>
          <w:sz w:val="20"/>
          <w:szCs w:val="20"/>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cost-effectively acquire new clients and retain existing clients;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withstand the impacts of the COVID-19 pandemic;</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market share;</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 pricing pressure on our solutions which would compress our margins;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market our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 our existing solutions and develop new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awareness of our brand and maintain our reputation;</w:t>
      </w:r>
    </w:p>
    <w:p>
      <w:pPr>
        <w:spacing w:after="0" w:line="170" w:lineRule="exact"/>
        <w:rPr>
          <w:rFonts w:ascii="Arial" w:cs="Arial" w:eastAsia="Arial" w:hAnsi="Arial"/>
          <w:sz w:val="18"/>
          <w:szCs w:val="18"/>
          <w:color w:val="auto"/>
        </w:rPr>
      </w:pPr>
    </w:p>
    <w:p>
      <w:pPr>
        <w:ind w:left="1020" w:right="200" w:hanging="504"/>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 interruptions in our business from IT downtime, cybersecurity breaches, or labor stoppages;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170" w:lineRule="exact"/>
        <w:rPr>
          <w:rFonts w:ascii="Arial" w:cs="Arial" w:eastAsia="Arial" w:hAnsi="Arial"/>
          <w:sz w:val="18"/>
          <w:szCs w:val="18"/>
          <w:color w:val="auto"/>
        </w:rPr>
      </w:pPr>
    </w:p>
    <w:p>
      <w:pPr>
        <w:ind w:left="1020" w:right="220" w:hanging="504"/>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43" w:lineRule="exact"/>
        <w:rPr>
          <w:rFonts w:ascii="Arial" w:cs="Arial" w:eastAsia="Arial" w:hAnsi="Arial"/>
          <w:sz w:val="18"/>
          <w:szCs w:val="18"/>
          <w:color w:val="auto"/>
        </w:rPr>
      </w:pPr>
    </w:p>
    <w:p>
      <w:pPr>
        <w:ind w:left="1020" w:hanging="504"/>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43"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22"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the market for our solutions matures, solutions evolve, and competitors introduce lower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7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8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74"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53"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25"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7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75"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tuition payments;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current and future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revenue mix in a particular quarter;</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slowdown in spending on IT and software by our current and/or prospective clients;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cycles and performance of our direct and indirect sales force;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budgeting and implementation cycles of our current or potential clients;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renewals of contracts with our clients;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control and predict costs, including our operating expenses;</w:t>
      </w:r>
    </w:p>
    <w:p>
      <w:pPr>
        <w:spacing w:after="0" w:line="184" w:lineRule="exact"/>
        <w:rPr>
          <w:rFonts w:ascii="Arial" w:cs="Arial" w:eastAsia="Arial" w:hAnsi="Arial"/>
          <w:sz w:val="18"/>
          <w:szCs w:val="18"/>
          <w:color w:val="auto"/>
        </w:rPr>
      </w:pPr>
    </w:p>
    <w:p>
      <w:pPr>
        <w:ind w:left="1020" w:right="880" w:hanging="504"/>
        <w:spacing w:after="0" w:line="24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70" w:lineRule="exact"/>
        <w:rPr>
          <w:rFonts w:ascii="Arial" w:cs="Arial" w:eastAsia="Arial" w:hAnsi="Arial"/>
          <w:sz w:val="18"/>
          <w:szCs w:val="18"/>
          <w:color w:val="auto"/>
        </w:rPr>
      </w:pPr>
    </w:p>
    <w:p>
      <w:pPr>
        <w:ind w:left="1020" w:hanging="504"/>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successfully manage or integrate any acquisitions, including our acquisition of Simplee and recent acquisitions of WPM and Cohort Go;</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or publicity surrounding any pending or threatened lawsuits;</w:t>
      </w:r>
    </w:p>
    <w:p>
      <w:pPr>
        <w:spacing w:after="0" w:line="184" w:lineRule="exact"/>
        <w:rPr>
          <w:rFonts w:ascii="Arial" w:cs="Arial" w:eastAsia="Arial" w:hAnsi="Arial"/>
          <w:sz w:val="18"/>
          <w:szCs w:val="18"/>
          <w:color w:val="auto"/>
        </w:rPr>
      </w:pPr>
    </w:p>
    <w:p>
      <w:pPr>
        <w:ind w:left="1020" w:right="40" w:hanging="504"/>
        <w:spacing w:after="0" w:line="24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 including inflation and fluctuations in supply chains;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events, including those resulting from climate change or geopolitical events; and</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continuing effects of the COVID-19 pandemic and the responses thereto.</w:t>
      </w:r>
    </w:p>
    <w:p>
      <w:pPr>
        <w:spacing w:after="0" w:line="17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56"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9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The COVID-19 global pandemic and related government, private sector and individual consumer responsive actions may adversely impact our employees, strategic partners, and clients, which could adversely and materially impact our business, financial condition and results of operations.</w:t>
      </w:r>
    </w:p>
    <w:p>
      <w:pPr>
        <w:spacing w:after="0" w:line="14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global impacts of the COVID-19 pandemic and related government actions taken to reduce the spread of the virus, including the variants of the virus, have significantly increased economic uncertainty and reduced economic activity. The pandemic has resulted in authorities implementing numerous measures to try to contain the virus, such as travel bans and restrictions, quarantines, shelter-in-place or total lock-down orders and business limitations and shutdowns that began in the second quarter of fiscal year 2020.</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addition, the spread of COVID-19 and its multiple variants and sub-variants has caused us to modify our business practices, including restricting employee travel, implementing office closures, and, at times, having our FlyMates work remotely and canceling physical participation in meetings, events and conferences. We may take further actions in response to the continuing effects of the global pandemic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p>
    <w:p>
      <w:pPr>
        <w:spacing w:after="0" w:line="15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During the year ended December 31, 2020, we experienced periods of reduced payment volume in some of the industries we serve, including travel and education. Cross-border payment volumes were heavily impacted by the decline in travel as a result of the COVID-19 pandemic. During the year ended December 31, 2021, we observed a recovery in payment volumes in the industries we serve, including travel and education. The introduction of COVID-19 vaccines allowed for reopening of many higher education institutions to foreign students, and borders began to open for travel. The emergence of variants (most notably Delta and Omicron) and sub-variants has periodically slowed the reopening, and we will monitor new strains of COVID-19 as they are discovered. International cross-border transaction revenue represents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p>
    <w:p>
      <w:pPr>
        <w:spacing w:after="0" w:line="165"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174" w:lineRule="exact"/>
        <w:rPr>
          <w:rFonts w:ascii="Arial" w:cs="Arial" w:eastAsia="Arial" w:hAnsi="Arial"/>
          <w:sz w:val="18"/>
          <w:szCs w:val="18"/>
          <w:color w:val="auto"/>
        </w:rPr>
      </w:pPr>
    </w:p>
    <w:p>
      <w:pPr>
        <w:ind w:left="1020" w:right="18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pandemic; and</w:t>
      </w:r>
    </w:p>
    <w:p>
      <w:pPr>
        <w:spacing w:after="0" w:line="174" w:lineRule="exact"/>
        <w:rPr>
          <w:rFonts w:ascii="Arial" w:cs="Arial" w:eastAsia="Arial" w:hAnsi="Arial"/>
          <w:sz w:val="18"/>
          <w:szCs w:val="18"/>
          <w:color w:val="auto"/>
        </w:rPr>
      </w:pPr>
    </w:p>
    <w:p>
      <w:pPr>
        <w:ind w:left="1020" w:right="32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regulatory requirements, including, for example, government initiatives or requests to reduce or eliminate payment fees or other costs.</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while in effect, may have slowed our growth. Although we began increasing our operating expenses since such time, the impact from the COVID-19 pandemic on our business, results of operations and financial condition in the longer term remains difficult to predict.</w:t>
      </w:r>
    </w:p>
    <w:p>
      <w:pPr>
        <w:spacing w:after="0" w:line="174" w:lineRule="exact"/>
        <w:rPr>
          <w:sz w:val="20"/>
          <w:szCs w:val="20"/>
          <w:color w:val="auto"/>
        </w:rPr>
      </w:pPr>
    </w:p>
    <w:p>
      <w:pPr>
        <w:ind w:right="620" w:firstLine="509"/>
        <w:spacing w:after="0" w:line="241" w:lineRule="auto"/>
        <w:rPr>
          <w:sz w:val="20"/>
          <w:szCs w:val="20"/>
          <w:color w:val="auto"/>
        </w:rPr>
      </w:pPr>
      <w:r>
        <w:rPr>
          <w:rFonts w:ascii="Arial" w:cs="Arial" w:eastAsia="Arial" w:hAnsi="Arial"/>
          <w:sz w:val="18"/>
          <w:szCs w:val="18"/>
          <w:color w:val="auto"/>
        </w:rPr>
        <w:t>Our offices are currently open for optional use by FlyMates, as allowed under national, state and local orders. While we have implemented what we believe to be a comprehensive protocol to ensure the safety and wellbeing of employees returning to the office, including as required health screenings, physical changes to our floor layout, periodic testing and required proper personal protection equipment, these protocols may not be sufficient to mitigate the risks posed by the virus or otherwise be satisfactory to government authorities.</w:t>
      </w:r>
    </w:p>
    <w:p>
      <w:pPr>
        <w:spacing w:after="0" w:line="17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 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the client has gone out of business, we may be unable to collect on the chargeback and will bear the economic loss, which will negatively impact our business.</w:t>
      </w:r>
    </w:p>
    <w:p>
      <w:pPr>
        <w:spacing w:after="0" w:line="181"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As a result, we may continue to experience materially adverse impacts to our business as a result of the global economic impact of the COVID-19 pandemic, including lower domestic and cross border spending trends, the availability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600"/>
        <w:spacing w:after="0" w:line="245" w:lineRule="auto"/>
        <w:rPr>
          <w:sz w:val="20"/>
          <w:szCs w:val="20"/>
          <w:color w:val="auto"/>
        </w:rPr>
      </w:pPr>
      <w:r>
        <w:rPr>
          <w:rFonts w:ascii="Arial" w:cs="Arial" w:eastAsia="Arial" w:hAnsi="Arial"/>
          <w:sz w:val="18"/>
          <w:szCs w:val="18"/>
          <w:color w:val="auto"/>
        </w:rPr>
        <w:t>of credit, adverse impacts on our liquidity, and any recessionary conditions that persist, and exacerbate many of the other known risks described in this section titled “Risk Factors”.</w:t>
      </w:r>
    </w:p>
    <w:p>
      <w:pPr>
        <w:spacing w:after="0" w:line="14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4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4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61" w:lineRule="exact"/>
        <w:rPr>
          <w:sz w:val="20"/>
          <w:szCs w:val="20"/>
          <w:color w:val="auto"/>
        </w:rPr>
      </w:pPr>
    </w:p>
    <w:p>
      <w:pPr>
        <w:ind w:right="1080"/>
        <w:spacing w:after="0" w:line="271"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4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20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increase in availability of vaccines, educational institutions have,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the most part, returned to their normal billing cycles and payment due dates. Many higher education institutions are mandating full vaccination to promote normal operations and allowing students from abroad to return to their facilities. Similarly, subsectors of our travel client portfolio may experience increased seasonality as many of our travel clients depend upon advance planning for vacation or holiday travel, which has been hampered by the ongoing COVID-19 pandemic and related governmental and regulatory responses.</w:t>
      </w:r>
    </w:p>
    <w:p>
      <w:pPr>
        <w:spacing w:after="0" w:line="15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3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20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81"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206"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20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85" w:lineRule="exact"/>
        <w:rPr>
          <w:sz w:val="20"/>
          <w:szCs w:val="20"/>
          <w:color w:val="auto"/>
        </w:rPr>
      </w:pPr>
    </w:p>
    <w:p>
      <w:pPr>
        <w:jc w:val="both"/>
        <w:ind w:right="180" w:firstLine="509"/>
        <w:spacing w:after="0"/>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5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4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5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4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56" w:lineRule="exact"/>
        <w:rPr>
          <w:sz w:val="20"/>
          <w:szCs w:val="20"/>
          <w:color w:val="auto"/>
        </w:rPr>
      </w:pPr>
    </w:p>
    <w:p>
      <w:pPr>
        <w:ind w:left="900" w:right="100" w:hanging="263"/>
        <w:spacing w:after="0" w:line="24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Significant reductions in student funding, through grants or loans, may reduce enrollments and decrease the payment volume we process. Potential students may also be deterred by increases in the cost of attendance.</w:t>
      </w:r>
    </w:p>
    <w:p>
      <w:pPr>
        <w:spacing w:after="0" w:line="156" w:lineRule="exact"/>
        <w:rPr>
          <w:rFonts w:ascii="Arial" w:cs="Arial" w:eastAsia="Arial" w:hAnsi="Arial"/>
          <w:sz w:val="18"/>
          <w:szCs w:val="18"/>
          <w:color w:val="auto"/>
        </w:rPr>
      </w:pPr>
    </w:p>
    <w:p>
      <w:pPr>
        <w:ind w:left="900" w:right="360" w:hanging="26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43" w:lineRule="exact"/>
        <w:rPr>
          <w:rFonts w:ascii="Arial" w:cs="Arial" w:eastAsia="Arial" w:hAnsi="Arial"/>
          <w:sz w:val="18"/>
          <w:szCs w:val="18"/>
          <w:color w:val="auto"/>
        </w:rPr>
      </w:pPr>
    </w:p>
    <w:p>
      <w:pPr>
        <w:ind w:left="900" w:right="220" w:hanging="263"/>
        <w:spacing w:after="0" w:line="24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the ongoing COVID-19 pandemic or a lower price point for online classes.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right="160" w:hanging="263"/>
        <w:spacing w:after="0" w:line="24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70" w:lineRule="exact"/>
        <w:rPr>
          <w:rFonts w:ascii="Arial" w:cs="Arial" w:eastAsia="Arial" w:hAnsi="Arial"/>
          <w:sz w:val="18"/>
          <w:szCs w:val="18"/>
          <w:color w:val="auto"/>
        </w:rPr>
      </w:pPr>
    </w:p>
    <w:p>
      <w:pPr>
        <w:ind w:left="900" w:right="380" w:hanging="263"/>
        <w:spacing w:after="0" w:line="24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w:t>
      </w:r>
    </w:p>
    <w:p>
      <w:pPr>
        <w:spacing w:after="0" w:line="156" w:lineRule="exact"/>
        <w:rPr>
          <w:rFonts w:ascii="Arial" w:cs="Arial" w:eastAsia="Arial" w:hAnsi="Arial"/>
          <w:sz w:val="18"/>
          <w:szCs w:val="18"/>
          <w:color w:val="auto"/>
        </w:rPr>
      </w:pPr>
    </w:p>
    <w:p>
      <w:pPr>
        <w:jc w:val="both"/>
        <w:ind w:left="900" w:right="560" w:hanging="263"/>
        <w:spacing w:after="0" w:line="24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56"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35"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64"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5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7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60"/>
        <w:spacing w:after="0" w:line="243" w:lineRule="auto"/>
        <w:rPr>
          <w:sz w:val="20"/>
          <w:szCs w:val="20"/>
          <w:color w:val="auto"/>
        </w:rPr>
      </w:pPr>
      <w:r>
        <w:rPr>
          <w:rFonts w:ascii="Arial" w:cs="Arial" w:eastAsia="Arial" w:hAnsi="Arial"/>
          <w:sz w:val="18"/>
          <w:szCs w:val="18"/>
          <w:color w:val="auto"/>
        </w:rPr>
        <w:t>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73" w:lineRule="exact"/>
        <w:rPr>
          <w:sz w:val="20"/>
          <w:szCs w:val="20"/>
          <w:color w:val="auto"/>
        </w:rPr>
      </w:pPr>
    </w:p>
    <w:p>
      <w:pPr>
        <w:ind w:right="400" w:firstLine="509"/>
        <w:spacing w:after="0"/>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7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Events like regional or larger scale conflicts, war or other military conflict, including the conflict between Russia and Ukraine,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 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7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addition, the U.K.’s withdrawal from the E.U. (Brexit), including uncertainty, delays or practical difficulties in the implementation of Brexit, could continue to lead to economic uncertainty, sluggish growth or economic retraction,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6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During the year ended December 31, 2021, we witnessed recoveries in our financial results and growth in revenue and payment volumes in our travel payment vertical. While improvements have been noted, we are still experiencing impacts to our travel clients. We expect the continued effects of the COVID-19 pandemic, including the emergence and spread of variants or sub-variants of COVID-19, will continue to negatively impact our business throughout 2022,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jc w:val="both"/>
        <w:ind w:right="280"/>
        <w:spacing w:after="0" w:line="260"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4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5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5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4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we seek to continue to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credit, equity and foreign exchange markets, bankruptcies and outbreaks of COVID-19, as well as war, terrorist activity, political unrest, civil strife and other geopolitical uncertainty,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300" w:firstLine="509"/>
        <w:spacing w:after="0" w:line="241"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7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are actively monitoring the situation in Ukraine and assessing its impact on our business, but to date have not experienced any material impact.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As the adverse effects of this conflict continue to develop and potentially spread, both in Europe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this conflict and any of the abovementioned factors could have a material adverse effect on our business, financial condition and results of operations, particularly to the extent the conflict escalates to involve additional countries, further economic sanctions and wider military conflict. Any such disruptions could also magnify the impact of other risks described in this Quarterly Report on Form 10-Q.</w:t>
      </w:r>
    </w:p>
    <w:p>
      <w:pPr>
        <w:spacing w:after="0" w:line="18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addition, political instability or adverse political developments and new or continued economic deterioration, including as a result of the withdrawal by many global central banks of stimulus measures deployed during the peak of the COVID-19 pandemic, in any of the countries in which we operate could harm our business, results of operations and financial condition.</w:t>
      </w:r>
    </w:p>
    <w:p>
      <w:pPr>
        <w:spacing w:after="0" w:line="15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More recently, inflation rates in the United States have increased to levels not seen in several years, which may result in decreased demand for our solutions, increases in our operating costs including our labor costs, constrained credit and liquidity, and volatility in financial markets. The United States Federal Reserve has raised, and may again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the COVID-19 pandemic and concerns over inflation risk. A sharp rise in interest rates could have an adverse impact on the fair market value of securities we may invest in as part of our portfolio investments, which could adversely affect our financial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1" w:lineRule="exact"/>
        <w:rPr>
          <w:sz w:val="20"/>
          <w:szCs w:val="20"/>
          <w:color w:val="auto"/>
        </w:rPr>
      </w:pPr>
    </w:p>
    <w:p>
      <w:pPr>
        <w:ind w:right="900"/>
        <w:spacing w:after="0" w:line="286"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12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7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500"/>
        <w:spacing w:after="0" w:line="301"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2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For the year ended December 31, 2021, we processed over $13.2 billion in payments on our solutions, compared to approximately $7.5 billion for the year ended December 31, 2020. For the six months ended June 30, 2022, we processed approximately $7.0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163" w:lineRule="exact"/>
        <w:rPr>
          <w:sz w:val="20"/>
          <w:szCs w:val="20"/>
          <w:color w:val="auto"/>
        </w:rPr>
      </w:pPr>
    </w:p>
    <w:p>
      <w:pPr>
        <w:jc w:val="both"/>
        <w:ind w:right="620" w:firstLine="509"/>
        <w:spacing w:after="0" w:line="243"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73" w:lineRule="exact"/>
        <w:rPr>
          <w:sz w:val="20"/>
          <w:szCs w:val="20"/>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lost or delayed market acceptance and acquisition of new clients;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diversion of our resources, including through increased service expenses or financial concessions, and increased insurance costs.</w:t>
      </w:r>
    </w:p>
    <w:p>
      <w:pPr>
        <w:spacing w:after="0" w:line="18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34"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5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6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7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4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7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7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7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8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this is a relatively recent event, and the scope of the attack is still undetermined. Therefore, there is residual risk that we could experience a security breach arising from the SolarWinds supply chain attack.</w:t>
      </w:r>
    </w:p>
    <w:p>
      <w:pPr>
        <w:spacing w:after="0" w:line="16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81"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7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39" w:lineRule="exact"/>
        <w:rPr>
          <w:sz w:val="20"/>
          <w:szCs w:val="20"/>
          <w:color w:val="auto"/>
        </w:rPr>
      </w:pPr>
    </w:p>
    <w:p>
      <w:pPr>
        <w:ind w:right="580"/>
        <w:spacing w:after="0" w:line="286"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employees or other third parties, which could expose us to material financial losses and liability and otherwise harm our business.</w:t>
      </w:r>
    </w:p>
    <w:p>
      <w:pPr>
        <w:spacing w:after="0" w:line="122"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employees and payment partners or third parties.</w:t>
      </w:r>
    </w:p>
    <w:p>
      <w:pPr>
        <w:spacing w:after="0" w:line="17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83"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1"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14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including the recent depreciation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Russian ruble, could result in the dollar equivalent of our expenses being higher which may not be offset by additional revenue earned in the local currency. This could have a negative impact on our reported results of operations.</w:t>
      </w:r>
    </w:p>
    <w:p>
      <w:pPr>
        <w:spacing w:after="0" w:line="171"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7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52"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66"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6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Tel Aviv, Israel and Brisbane,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700"/>
        <w:spacing w:after="0" w:line="245" w:lineRule="auto"/>
        <w:rPr>
          <w:sz w:val="20"/>
          <w:szCs w:val="20"/>
          <w:color w:val="auto"/>
        </w:rPr>
      </w:pPr>
      <w:r>
        <w:rPr>
          <w:rFonts w:ascii="Arial" w:cs="Arial" w:eastAsia="Arial" w:hAnsi="Arial"/>
          <w:sz w:val="18"/>
          <w:szCs w:val="18"/>
          <w:color w:val="auto"/>
        </w:rPr>
        <w:t>increase our operating costs and reduce our profit margins. If we are unable to offer credit cards as a payment method to our clients’ customers, our business would be adversely affected.</w:t>
      </w:r>
    </w:p>
    <w:p>
      <w:pPr>
        <w:spacing w:after="0" w:line="14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4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73" w:lineRule="exact"/>
        <w:rPr>
          <w:sz w:val="20"/>
          <w:szCs w:val="20"/>
          <w:color w:val="auto"/>
        </w:rPr>
      </w:pPr>
    </w:p>
    <w:p>
      <w:pPr>
        <w:jc w:val="both"/>
        <w:ind w:right="520" w:firstLine="509"/>
        <w:spacing w:after="0"/>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7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5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If any of the third party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5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14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that further developing, maintaining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5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4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4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20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206" w:lineRule="exact"/>
        <w:rPr>
          <w:sz w:val="20"/>
          <w:szCs w:val="20"/>
          <w:color w:val="auto"/>
        </w:rPr>
      </w:pPr>
    </w:p>
    <w:p>
      <w:pPr>
        <w:ind w:right="320" w:firstLine="509"/>
        <w:spacing w:after="0" w:line="274"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14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Although more customers and partners have started gradually to relax restrictions imposed in response to the ongoing COVID-19 pandemic, many enterprises continue to restrict travel, limit availability of in person meetings and maintain other restrictions that could make the sales process more lengthy and difficult. 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the ongoing COVID-19 outbreak, increased inflationary conditions, recession concerns and the escalation of hostilities between Russia and Ukraine),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8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74" w:lineRule="exact"/>
        <w:rPr>
          <w:sz w:val="20"/>
          <w:szCs w:val="20"/>
          <w:color w:val="auto"/>
        </w:rPr>
      </w:pPr>
    </w:p>
    <w:p>
      <w:pPr>
        <w:jc w:val="both"/>
        <w:ind w:right="380" w:firstLine="509"/>
        <w:spacing w:after="0"/>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of scale such that we are unable to achieve profitability. Any increased or unexpected costs or unanticipated delays, including delays caused by factors outside of our control, could cause our operating results to suffer.</w:t>
      </w:r>
    </w:p>
    <w:p>
      <w:pPr>
        <w:spacing w:after="0" w:line="14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4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5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4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8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5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4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20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74"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Any acquisitions we undertake or have recently completed, including the acquisitions of Cohort Go in July 2022, WPM in December 2021 and Simplee in February 2020, will likely be accompanied by business risks which may include, among other things:</w:t>
      </w:r>
    </w:p>
    <w:p>
      <w:pPr>
        <w:spacing w:after="0" w:line="171" w:lineRule="exact"/>
        <w:rPr>
          <w:sz w:val="20"/>
          <w:szCs w:val="20"/>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170" w:lineRule="exact"/>
        <w:rPr>
          <w:rFonts w:ascii="Arial" w:cs="Arial" w:eastAsia="Arial" w:hAnsi="Arial"/>
          <w:sz w:val="18"/>
          <w:szCs w:val="18"/>
          <w:color w:val="auto"/>
        </w:rPr>
      </w:pPr>
    </w:p>
    <w:p>
      <w:pPr>
        <w:ind w:left="900" w:right="100" w:hanging="26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43" w:lineRule="exact"/>
        <w:rPr>
          <w:rFonts w:ascii="Arial" w:cs="Arial" w:eastAsia="Arial" w:hAnsi="Arial"/>
          <w:sz w:val="18"/>
          <w:szCs w:val="18"/>
          <w:color w:val="auto"/>
        </w:rPr>
      </w:pPr>
    </w:p>
    <w:p>
      <w:pPr>
        <w:ind w:left="900" w:right="980" w:hanging="26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4" w:lineRule="exact"/>
        <w:rPr>
          <w:rFonts w:ascii="Arial" w:cs="Arial" w:eastAsia="Arial" w:hAnsi="Arial"/>
          <w:sz w:val="18"/>
          <w:szCs w:val="18"/>
          <w:color w:val="auto"/>
        </w:rPr>
      </w:pPr>
    </w:p>
    <w:p>
      <w:pPr>
        <w:ind w:left="900" w:right="420" w:hanging="263"/>
        <w:spacing w:after="0" w:line="24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70" w:lineRule="exact"/>
        <w:rPr>
          <w:rFonts w:ascii="Arial" w:cs="Arial" w:eastAsia="Arial" w:hAnsi="Arial"/>
          <w:sz w:val="18"/>
          <w:szCs w:val="18"/>
          <w:color w:val="auto"/>
        </w:rPr>
      </w:pPr>
    </w:p>
    <w:p>
      <w:pPr>
        <w:ind w:left="900" w:right="560" w:hanging="263"/>
        <w:spacing w:after="0" w:line="24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93"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war or other military conflict, including an escalation of the conflict between Russia and Ukraine,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7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partners could seek significant compensation or contractual penalties from us for their losses, and those claims, even if unsuccessful, would likely be time-consuming and costly for us to address.</w:t>
      </w:r>
    </w:p>
    <w:p>
      <w:pPr>
        <w:spacing w:after="0" w:line="17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7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167"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6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7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71" w:lineRule="exact"/>
        <w:rPr>
          <w:sz w:val="20"/>
          <w:szCs w:val="20"/>
          <w:color w:val="auto"/>
        </w:rPr>
      </w:pPr>
    </w:p>
    <w:p>
      <w:pPr>
        <w:ind w:right="380"/>
        <w:spacing w:after="0" w:line="286"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us to offer local and alternative payment methods, creating a variety of operational challenges; additionally, our domestic and international operations subject us to increased risks, which could harm our business.</w:t>
      </w:r>
    </w:p>
    <w:p>
      <w:pPr>
        <w:spacing w:after="0" w:line="14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heightened tensions between China and Taiwan and the recent escalation of the conflict between Russia and Ukraine,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69" w:lineRule="exact"/>
        <w:rPr>
          <w:sz w:val="20"/>
          <w:szCs w:val="20"/>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rate volatility;</w:t>
      </w:r>
    </w:p>
    <w:p>
      <w:pPr>
        <w:spacing w:after="0" w:line="184" w:lineRule="exact"/>
        <w:rPr>
          <w:rFonts w:ascii="Arial" w:cs="Arial" w:eastAsia="Arial" w:hAnsi="Arial"/>
          <w:sz w:val="18"/>
          <w:szCs w:val="18"/>
          <w:color w:val="auto"/>
        </w:rPr>
      </w:pPr>
    </w:p>
    <w:p>
      <w:pPr>
        <w:ind w:left="900" w:right="20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economic conditions in the United States and globally, including economic slowdown, inflation, recession concerns and the disruption, volatility and tightening of credit and capital markets;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government regulation or required compliance with local laws;</w:t>
      </w:r>
    </w:p>
    <w:p>
      <w:pPr>
        <w:spacing w:after="0" w:line="184" w:lineRule="exact"/>
        <w:rPr>
          <w:rFonts w:ascii="Arial" w:cs="Arial" w:eastAsia="Arial" w:hAnsi="Arial"/>
          <w:sz w:val="18"/>
          <w:szCs w:val="18"/>
          <w:color w:val="auto"/>
        </w:rPr>
      </w:pPr>
    </w:p>
    <w:p>
      <w:pPr>
        <w:ind w:left="900" w:right="8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70" w:lineRule="exact"/>
        <w:rPr>
          <w:rFonts w:ascii="Arial" w:cs="Arial" w:eastAsia="Arial" w:hAnsi="Arial"/>
          <w:sz w:val="18"/>
          <w:szCs w:val="18"/>
          <w:color w:val="auto"/>
        </w:rPr>
      </w:pPr>
    </w:p>
    <w:p>
      <w:pPr>
        <w:ind w:left="900" w:right="680" w:hanging="263"/>
        <w:spacing w:after="0" w:line="290"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20" w:lineRule="exact"/>
        <w:rPr>
          <w:rFonts w:ascii="Arial" w:cs="Arial" w:eastAsia="Arial" w:hAnsi="Arial"/>
          <w:sz w:val="17"/>
          <w:szCs w:val="17"/>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184" w:lineRule="exact"/>
        <w:rPr>
          <w:rFonts w:ascii="Arial" w:cs="Arial" w:eastAsia="Arial" w:hAnsi="Arial"/>
          <w:sz w:val="18"/>
          <w:szCs w:val="18"/>
          <w:color w:val="auto"/>
        </w:rPr>
      </w:pPr>
    </w:p>
    <w:p>
      <w:pPr>
        <w:ind w:left="900" w:right="22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government sanctions on our ability to offer services in a region, such as the sanctions recently announced by the U.S. and other countries against Russia;</w:t>
      </w:r>
    </w:p>
    <w:p>
      <w:pPr>
        <w:spacing w:after="0" w:line="170" w:lineRule="exact"/>
        <w:rPr>
          <w:rFonts w:ascii="Arial" w:cs="Arial" w:eastAsia="Arial" w:hAnsi="Arial"/>
          <w:sz w:val="18"/>
          <w:szCs w:val="18"/>
          <w:color w:val="auto"/>
        </w:rPr>
      </w:pPr>
    </w:p>
    <w:p>
      <w:pPr>
        <w:ind w:left="900" w:right="24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170" w:lineRule="exact"/>
        <w:rPr>
          <w:rFonts w:ascii="Arial" w:cs="Arial" w:eastAsia="Arial" w:hAnsi="Arial"/>
          <w:sz w:val="18"/>
          <w:szCs w:val="18"/>
          <w:color w:val="auto"/>
        </w:rPr>
      </w:pPr>
    </w:p>
    <w:p>
      <w:pPr>
        <w:ind w:left="900" w:right="300" w:hanging="263"/>
        <w:spacing w:after="0" w:line="26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43" w:lineRule="exact"/>
        <w:rPr>
          <w:rFonts w:ascii="Arial" w:cs="Arial" w:eastAsia="Arial" w:hAnsi="Arial"/>
          <w:sz w:val="18"/>
          <w:szCs w:val="18"/>
          <w:color w:val="auto"/>
        </w:rPr>
      </w:pPr>
    </w:p>
    <w:p>
      <w:pPr>
        <w:ind w:left="900" w:right="720" w:hanging="263"/>
        <w:spacing w:after="0" w:line="26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4" w:lineRule="exact"/>
        <w:rPr>
          <w:rFonts w:ascii="Arial" w:cs="Arial" w:eastAsia="Arial" w:hAnsi="Arial"/>
          <w:sz w:val="18"/>
          <w:szCs w:val="18"/>
          <w:color w:val="auto"/>
        </w:rPr>
      </w:pPr>
    </w:p>
    <w:p>
      <w:pPr>
        <w:ind w:left="900" w:right="38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70" w:lineRule="exact"/>
        <w:rPr>
          <w:rFonts w:ascii="Arial" w:cs="Arial" w:eastAsia="Arial" w:hAnsi="Arial"/>
          <w:sz w:val="18"/>
          <w:szCs w:val="18"/>
          <w:color w:val="auto"/>
        </w:rPr>
      </w:pPr>
    </w:p>
    <w:p>
      <w:pPr>
        <w:ind w:left="900" w:hanging="263"/>
        <w:spacing w:after="0" w:line="26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right="320" w:hanging="263"/>
        <w:spacing w:after="0" w:line="24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w:t>
      </w:r>
    </w:p>
    <w:p>
      <w:pPr>
        <w:spacing w:after="0" w:line="156" w:lineRule="exact"/>
        <w:rPr>
          <w:rFonts w:ascii="Arial" w:cs="Arial" w:eastAsia="Arial" w:hAnsi="Arial"/>
          <w:sz w:val="18"/>
          <w:szCs w:val="18"/>
          <w:color w:val="auto"/>
        </w:rPr>
      </w:pPr>
    </w:p>
    <w:p>
      <w:pPr>
        <w:ind w:left="900" w:hanging="26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difficulties in collecting accounts receivable.</w:t>
      </w:r>
    </w:p>
    <w:p>
      <w:pPr>
        <w:spacing w:after="0" w:line="18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79"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6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39"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2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7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Certain of our subsidiaries are registered with the U.S. Department of the Treasury’s Financial Crimes Enforcement Network (FinCEN). Our subsidiary Flywire Global Corp. has obtained licenses to operate as a money transmitter (or the statutory equivalent) in 41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5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7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5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4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Government agencies may impose new or additional rules on money transmission, including regulations that:</w:t>
      </w:r>
    </w:p>
    <w:p>
      <w:pPr>
        <w:spacing w:after="0" w:line="171" w:lineRule="exact"/>
        <w:rPr>
          <w:sz w:val="20"/>
          <w:szCs w:val="20"/>
          <w:color w:val="auto"/>
        </w:rPr>
      </w:pPr>
    </w:p>
    <w:p>
      <w:pPr>
        <w:ind w:left="900" w:right="280" w:hanging="26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additional client identification and client due diligence requirements;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right="800" w:hanging="263"/>
        <w:spacing w:after="0" w:line="24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84" w:lineRule="exact"/>
        <w:rPr>
          <w:rFonts w:ascii="Arial" w:cs="Arial" w:eastAsia="Arial" w:hAnsi="Arial"/>
          <w:sz w:val="18"/>
          <w:szCs w:val="18"/>
          <w:color w:val="auto"/>
        </w:rPr>
      </w:pPr>
    </w:p>
    <w:p>
      <w:pPr>
        <w:ind w:left="900" w:right="420" w:hanging="26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74" w:lineRule="exact"/>
        <w:rPr>
          <w:rFonts w:ascii="Arial" w:cs="Arial" w:eastAsia="Arial" w:hAnsi="Arial"/>
          <w:sz w:val="18"/>
          <w:szCs w:val="18"/>
          <w:color w:val="auto"/>
        </w:rPr>
      </w:pPr>
    </w:p>
    <w:p>
      <w:pPr>
        <w:ind w:left="900" w:hanging="26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70" w:lineRule="exact"/>
        <w:rPr>
          <w:rFonts w:ascii="Arial" w:cs="Arial" w:eastAsia="Arial" w:hAnsi="Arial"/>
          <w:sz w:val="18"/>
          <w:szCs w:val="18"/>
          <w:color w:val="auto"/>
        </w:rPr>
      </w:pPr>
    </w:p>
    <w:p>
      <w:pPr>
        <w:ind w:left="900" w:right="300" w:hanging="26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43" w:lineRule="exact"/>
        <w:rPr>
          <w:rFonts w:ascii="Arial" w:cs="Arial" w:eastAsia="Arial" w:hAnsi="Arial"/>
          <w:sz w:val="18"/>
          <w:szCs w:val="18"/>
          <w:color w:val="auto"/>
        </w:rPr>
      </w:pPr>
    </w:p>
    <w:p>
      <w:pPr>
        <w:ind w:left="900" w:right="140" w:hanging="26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43" w:lineRule="exact"/>
        <w:rPr>
          <w:rFonts w:ascii="Arial" w:cs="Arial" w:eastAsia="Arial" w:hAnsi="Arial"/>
          <w:sz w:val="18"/>
          <w:szCs w:val="18"/>
          <w:color w:val="auto"/>
        </w:rPr>
      </w:pPr>
    </w:p>
    <w:p>
      <w:pPr>
        <w:ind w:left="900" w:right="540" w:hanging="26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2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the Treasury’s Office of Foreign Assets Controls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6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business operations in other parts of the world such as the U.K., Lithuania, Canada, Australia,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February and March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4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w:t>
      </w:r>
    </w:p>
    <w:p>
      <w:pPr>
        <w:spacing w:after="0" w:line="18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7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will take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will take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For example, the Utah Consumer Privacy Act became law on March 24, 2022. The Utah legislation most closely mirrors Virginia’s CDPA and will go into effect on December 31, 2023.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6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w:t>
      </w:r>
    </w:p>
    <w:p>
      <w:pPr>
        <w:spacing w:after="0" w:line="2" w:lineRule="exact"/>
        <w:rPr>
          <w:sz w:val="20"/>
          <w:szCs w:val="20"/>
          <w:color w:val="auto"/>
        </w:rPr>
      </w:pPr>
    </w:p>
    <w:p>
      <w:pPr>
        <w:ind w:right="20" w:firstLine="8"/>
        <w:spacing w:after="0" w:line="242" w:lineRule="auto"/>
        <w:tabs>
          <w:tab w:leader="none" w:pos="150"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 xml:space="preserve">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6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currently in effect must be replaced with the New SCCs by late December 2022.</w:t>
      </w:r>
    </w:p>
    <w:p>
      <w:pPr>
        <w:spacing w:after="0" w:line="165"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7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5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58" w:lineRule="exact"/>
        <w:rPr>
          <w:sz w:val="20"/>
          <w:szCs w:val="20"/>
          <w:color w:val="auto"/>
        </w:rPr>
      </w:pPr>
    </w:p>
    <w:p>
      <w:pPr>
        <w:ind w:right="320" w:firstLine="509"/>
        <w:spacing w:after="0" w:line="262"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58"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4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People’s Republic of China (home to the most online users in the world), is one of the latest countries to pass a new omnibus privacy law. China passed its new Data Security Law (DSL) in June 2021 and its new Personal Information Protection Law (PIPL) in August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recent enforcement actions against Alibaba Group Holding Ltd and Didi Global Inc. in 2022.</w:t>
      </w:r>
    </w:p>
    <w:p>
      <w:pPr>
        <w:spacing w:after="0" w:line="165"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and PIPL but cannot assure you that such steps will be effective, and we may face the risk of increased costs, liability and loss of business.</w:t>
      </w:r>
    </w:p>
    <w:p>
      <w:pPr>
        <w:spacing w:after="0" w:line="14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7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5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4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64"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5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6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announced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14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69"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7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endeavor to enter into agreements with our employees,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8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2" w:lineRule="exact"/>
        <w:rPr>
          <w:sz w:val="20"/>
          <w:szCs w:val="20"/>
          <w:color w:val="auto"/>
        </w:rPr>
      </w:pPr>
    </w:p>
    <w:p>
      <w:pPr>
        <w:ind w:right="320"/>
        <w:spacing w:after="0" w:line="286"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2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5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14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6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5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14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U.K.’s departure from the E.U. could adversely affect us.</w:t>
      </w:r>
    </w:p>
    <w:p>
      <w:pPr>
        <w:spacing w:after="0" w:line="193"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continues to be a significant lack of clarity over the terms of the U.K.’s future relationship with the E.U. in the future.</w:t>
      </w:r>
    </w:p>
    <w:p>
      <w:pPr>
        <w:spacing w:after="0" w:line="170"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opportunities. Brexit could also trigger a general deterioration in credit conditions, a downturn in consumer sentiment, and overall negative economic growth. Any of these scenarios could have an adverse effect on our business or our clients.</w:t>
      </w:r>
    </w:p>
    <w:p>
      <w:pPr>
        <w:spacing w:after="0" w:line="171"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156" w:lineRule="exact"/>
        <w:rPr>
          <w:sz w:val="20"/>
          <w:szCs w:val="20"/>
          <w:color w:val="auto"/>
        </w:rPr>
      </w:pPr>
    </w:p>
    <w:p>
      <w:pPr>
        <w:ind w:left="900" w:right="180" w:hanging="263"/>
        <w:spacing w:after="0" w:line="24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156" w:lineRule="exact"/>
        <w:rPr>
          <w:rFonts w:ascii="Arial" w:cs="Arial" w:eastAsia="Arial" w:hAnsi="Arial"/>
          <w:sz w:val="18"/>
          <w:szCs w:val="18"/>
          <w:color w:val="auto"/>
        </w:rPr>
      </w:pPr>
    </w:p>
    <w:p>
      <w:pPr>
        <w:ind w:left="900" w:right="360" w:hanging="263"/>
        <w:spacing w:after="0" w:line="24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169" w:lineRule="exact"/>
        <w:rPr>
          <w:rFonts w:ascii="Arial" w:cs="Arial" w:eastAsia="Arial" w:hAnsi="Arial"/>
          <w:sz w:val="18"/>
          <w:szCs w:val="18"/>
          <w:color w:val="auto"/>
        </w:rPr>
      </w:pPr>
    </w:p>
    <w:p>
      <w:pPr>
        <w:ind w:left="900" w:right="460" w:hanging="263"/>
        <w:spacing w:after="0" w:line="24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70" w:lineRule="exact"/>
        <w:rPr>
          <w:rFonts w:ascii="Arial" w:cs="Arial" w:eastAsia="Arial" w:hAnsi="Arial"/>
          <w:sz w:val="18"/>
          <w:szCs w:val="18"/>
          <w:color w:val="auto"/>
        </w:rPr>
      </w:pPr>
    </w:p>
    <w:p>
      <w:pPr>
        <w:ind w:left="900" w:right="720" w:hanging="263"/>
        <w:spacing w:after="0" w:line="24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171" w:lineRule="exact"/>
        <w:rPr>
          <w:sz w:val="20"/>
          <w:szCs w:val="20"/>
          <w:color w:val="auto"/>
        </w:rPr>
      </w:pPr>
    </w:p>
    <w:p>
      <w:pPr>
        <w:ind w:right="540" w:firstLine="509"/>
        <w:spacing w:after="0" w:line="245"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14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48" w:lineRule="exact"/>
        <w:rPr>
          <w:sz w:val="20"/>
          <w:szCs w:val="20"/>
          <w:color w:val="auto"/>
        </w:rPr>
      </w:pPr>
    </w:p>
    <w:p>
      <w:pPr>
        <w:ind w:right="240" w:firstLine="509"/>
        <w:spacing w:after="0" w:line="239"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7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6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 to offset future taxable income may be subject to certain limitations.</w:t>
      </w:r>
    </w:p>
    <w:p>
      <w:pPr>
        <w:spacing w:after="0" w:line="19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of June 30, 2022, we had U.S. federal NOL carryforwards of approximately $120.5 million and state NOL carryforwards of approximately $165.9 million. The federal and material state NOL carryforwards will begin to expire in 2030 and 2022,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including but not limited to as a result of our IPO, or if we undergo one or more ownership changes as a result of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We are in the process of completing a Section 382 study. Furthermore, our ability to utilize NOLs of companies that we may acquire in the future may be subject to limitations. For these reasons, we may not be able to utilize a material portion of the NOLs, even if we were to achieve profitability.</w:t>
      </w:r>
    </w:p>
    <w:p>
      <w:pPr>
        <w:spacing w:after="0" w:line="18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5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in 2023 when we will no longer be an emerging growth company and will be deemed a “large accelerated” filer.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83" w:lineRule="exact"/>
        <w:rPr>
          <w:sz w:val="20"/>
          <w:szCs w:val="20"/>
          <w:color w:val="auto"/>
        </w:rPr>
      </w:pPr>
    </w:p>
    <w:p>
      <w:pPr>
        <w:ind w:right="700" w:firstLine="509"/>
        <w:spacing w:after="0" w:line="245" w:lineRule="auto"/>
        <w:rPr>
          <w:sz w:val="20"/>
          <w:szCs w:val="20"/>
          <w:color w:val="auto"/>
        </w:rPr>
      </w:pPr>
      <w:r>
        <w:rPr>
          <w:rFonts w:ascii="Arial" w:cs="Arial" w:eastAsia="Arial" w:hAnsi="Arial"/>
          <w:sz w:val="18"/>
          <w:szCs w:val="18"/>
          <w:color w:val="auto"/>
        </w:rPr>
        <w:t>As a public company, we are required, pursuant to Section 404 of the Sarbanes-Oxley Act (Section 404), to furnish a report by management on, among other things, the effectiveness of our internal control over financial reporting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commencing with our Annual Report on Form 10-K for the year ending December 31, 2022.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7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This assessment will need to include disclosure of any material weaknesses identified by our management in our internal control over financial reporting and, as a result of our ceasing to be an emerging growth company and being deemed a “large accelerated” filer as of December 31, 2022, commencing with our Annual Report on Form 10-K for the year ending December 31, 2022,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be subject to shorter filing deadlines, which will require additional time and expense as well.</w:t>
      </w:r>
    </w:p>
    <w:p>
      <w:pPr>
        <w:spacing w:after="0" w:line="16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have undertaken and may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72"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We are actively engaged in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6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5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i w:val="1"/>
          <w:iCs w:val="1"/>
          <w:color w:val="auto"/>
        </w:rPr>
        <w:t>Increased scrutiny from investors and others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4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the environmental, social and governance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4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which we expect to further increase in 2023 when we will no longer be an “emerging growth company” and will be deemed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active or liquid market in our common stock may not be sustainable.</w:t>
      </w:r>
    </w:p>
    <w:p>
      <w:pPr>
        <w:spacing w:after="0" w:line="171"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43" w:lineRule="exact"/>
        <w:rPr>
          <w:sz w:val="20"/>
          <w:szCs w:val="20"/>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170" w:lineRule="exact"/>
        <w:rPr>
          <w:rFonts w:ascii="Arial" w:cs="Arial" w:eastAsia="Arial" w:hAnsi="Arial"/>
          <w:sz w:val="18"/>
          <w:szCs w:val="18"/>
          <w:color w:val="auto"/>
        </w:rPr>
      </w:pPr>
    </w:p>
    <w:p>
      <w:pPr>
        <w:ind w:left="1020" w:right="50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COVID-19 pandemic;</w:t>
      </w:r>
    </w:p>
    <w:p>
      <w:pPr>
        <w:spacing w:after="0" w:line="184" w:lineRule="exact"/>
        <w:rPr>
          <w:rFonts w:ascii="Arial" w:cs="Arial" w:eastAsia="Arial" w:hAnsi="Arial"/>
          <w:sz w:val="18"/>
          <w:szCs w:val="18"/>
          <w:color w:val="auto"/>
        </w:rPr>
      </w:pPr>
    </w:p>
    <w:p>
      <w:pPr>
        <w:ind w:left="1020" w:right="64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effects of the ongoing United States-China trade war;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factors discussed in this Quarterly Report on Form 10-Q and our other SEC filings.</w:t>
      </w:r>
    </w:p>
    <w:p>
      <w:pPr>
        <w:spacing w:after="0" w:line="184"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57" w:lineRule="exact"/>
        <w:rPr>
          <w:sz w:val="20"/>
          <w:szCs w:val="20"/>
          <w:color w:val="auto"/>
        </w:rPr>
      </w:pPr>
    </w:p>
    <w:p>
      <w:pPr>
        <w:ind w:right="300" w:firstLine="509"/>
        <w:spacing w:after="0" w:line="242" w:lineRule="auto"/>
        <w:rPr>
          <w:sz w:val="20"/>
          <w:szCs w:val="20"/>
          <w:color w:val="auto"/>
        </w:rPr>
      </w:pPr>
      <w:r>
        <w:rPr>
          <w:rFonts w:ascii="Arial" w:cs="Arial" w:eastAsia="Arial" w:hAnsi="Arial"/>
          <w:sz w:val="18"/>
          <w:szCs w:val="18"/>
          <w:color w:val="auto"/>
        </w:rPr>
        <w:t>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w:t>
      </w:r>
    </w:p>
    <w:p>
      <w:pPr>
        <w:spacing w:after="0" w:line="16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5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are currently an “emerging growth company,” and we cannot be certain if the reduced reporting and disclosure requirements applicable to emerging growth companies will make our common stock less attractive to investors.</w:t>
      </w:r>
    </w:p>
    <w:p>
      <w:pPr>
        <w:spacing w:after="0" w:line="14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are currently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as of December 31, 2022 when we cease to be an emerging growth company, we will no longer be able to use the extended transition period for complying with new or revised accounting standards.</w:t>
      </w:r>
    </w:p>
    <w:p>
      <w:pPr>
        <w:spacing w:after="0" w:line="17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will cease to be an emerging growth company and will be deemed to be a “large accelerated filer” as of December 31, 2022. As a “large accelerated filer” we will have to file a more expansive proxy statement and be subject to shorter filing deadlines, which will require additional time and expense.</w:t>
      </w:r>
    </w:p>
    <w:p>
      <w:pPr>
        <w:spacing w:after="0" w:line="175"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While we remain an “emerging growth company”, we cannot predict if investors will find our common stock less attractive if we continue to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4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or private equity or debt financings, third-party funding and marketing and distribution arrangements, as well as other strategic alliances and licensing arrangements or any combination of these approaches. However, disruptions in the capital markets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81"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20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41" w:lineRule="exact"/>
        <w:rPr>
          <w:sz w:val="20"/>
          <w:szCs w:val="20"/>
          <w:color w:val="auto"/>
        </w:rPr>
      </w:pPr>
    </w:p>
    <w:p>
      <w:pPr>
        <w:ind w:right="300"/>
        <w:spacing w:after="0" w:line="28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2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5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14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101,913,224 shares of our voting common stock and 5,988,378 shares of our non-voting common stock outstanding as of June 30, 2022.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5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73" w:lineRule="exact"/>
        <w:rPr>
          <w:sz w:val="20"/>
          <w:szCs w:val="20"/>
          <w:color w:val="auto"/>
        </w:rPr>
      </w:pPr>
    </w:p>
    <w:p>
      <w:pPr>
        <w:ind w:right="320" w:firstLine="509"/>
        <w:spacing w:after="0" w:line="274"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25"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June 30, 2022, our executive officers, directors and the holders of more than 5% of our outstanding voting and non-voting common stock, in the aggregate, beneficially owned approximately 28.6% of our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4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5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4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74" w:lineRule="exact"/>
        <w:rPr>
          <w:sz w:val="20"/>
          <w:szCs w:val="20"/>
          <w:color w:val="auto"/>
        </w:rPr>
      </w:pPr>
    </w:p>
    <w:p>
      <w:pPr>
        <w:ind w:left="900" w:right="700" w:hanging="263"/>
        <w:spacing w:after="0" w:line="24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jc w:val="both"/>
        <w:ind w:left="900" w:right="140" w:hanging="26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74" w:lineRule="exact"/>
        <w:rPr>
          <w:rFonts w:ascii="Arial" w:cs="Arial" w:eastAsia="Arial" w:hAnsi="Arial"/>
          <w:sz w:val="18"/>
          <w:szCs w:val="18"/>
          <w:color w:val="auto"/>
        </w:rPr>
      </w:pPr>
    </w:p>
    <w:p>
      <w:pPr>
        <w:ind w:left="900" w:right="20" w:hanging="263"/>
        <w:spacing w:after="0" w:line="24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56" w:lineRule="exact"/>
        <w:rPr>
          <w:rFonts w:ascii="Arial" w:cs="Arial" w:eastAsia="Arial" w:hAnsi="Arial"/>
          <w:sz w:val="18"/>
          <w:szCs w:val="18"/>
          <w:color w:val="auto"/>
        </w:rPr>
      </w:pPr>
    </w:p>
    <w:p>
      <w:pPr>
        <w:ind w:left="900" w:right="40" w:hanging="263"/>
        <w:spacing w:after="0" w:line="261"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43" w:lineRule="exact"/>
        <w:rPr>
          <w:rFonts w:ascii="Arial" w:cs="Arial" w:eastAsia="Arial" w:hAnsi="Arial"/>
          <w:sz w:val="18"/>
          <w:szCs w:val="18"/>
          <w:color w:val="auto"/>
        </w:rPr>
      </w:pPr>
    </w:p>
    <w:p>
      <w:pPr>
        <w:ind w:left="900" w:right="220" w:hanging="263"/>
        <w:spacing w:after="0" w:line="24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56" w:lineRule="exact"/>
        <w:rPr>
          <w:rFonts w:ascii="Arial" w:cs="Arial" w:eastAsia="Arial" w:hAnsi="Arial"/>
          <w:sz w:val="18"/>
          <w:szCs w:val="18"/>
          <w:color w:val="auto"/>
        </w:rPr>
      </w:pPr>
    </w:p>
    <w:p>
      <w:pPr>
        <w:ind w:left="900" w:right="220" w:hanging="263"/>
        <w:spacing w:after="0" w:line="24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73" w:lineRule="exact"/>
        <w:rPr>
          <w:rFonts w:ascii="Arial" w:cs="Arial" w:eastAsia="Arial" w:hAnsi="Arial"/>
          <w:sz w:val="18"/>
          <w:szCs w:val="18"/>
          <w:color w:val="auto"/>
        </w:rPr>
      </w:pPr>
    </w:p>
    <w:p>
      <w:pPr>
        <w:ind w:left="900" w:right="220" w:hanging="263"/>
        <w:spacing w:after="0" w:line="24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7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67"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Proceeds from IPO</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May 2021, we closed our IPO in which we issued and sold 12,006,000 shares of our voting common stock, including 1,566,000 shares of voting common stock sold pursuant to the underwriters’ full exercise of their option to purchase additional shares, at a public offering price of $ 24.00 per share, for aggregate net proceeds of $263.8 million, after deducting underwriting discounts and commissions of $19.4 million and other offering costs of $4.9 million. Goldman Sachs &amp; Co. LLC, J.P. Morgan Securities LLC and Citigroup Global Markets Inc. acted as representatives of the underwriters for our IPO. No payments for such expenses were made directly or indirectly to (i) any of our officers or directors or their associates, (ii) any persons owning 10% or more of any class of our equity securities or (iii) any of our affiliates. All of the shares issued and sold in the IPO were registered under the Securities Act pursuant to a Registration Statement on Form S-1 (File No. 333- 255706), which was declared effective by the SEC on May 25, 2021, and a Registration Statement on Form S-1 MEF (File No. 333-256471) filed pursuant to Rule 462(b) of the Securities Act.</w:t>
      </w:r>
    </w:p>
    <w:p>
      <w:pPr>
        <w:spacing w:after="0" w:line="1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IPO terminated after the sale of all securities registered pursuant to the Registration Statements. As of June 30, 2022, the net proceeds of our IPO are invested in money market funds, interest-bearing checking and deposit accounts. There has been no material change in the expected use of the net proceeds from our IPO as described in in our final prospectus, dated May 25, 2021, filed with the SEC pursuant to Rule 424(b) relating to our IPO.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u w:val="single" w:color="auto"/>
                <w:color w:val="0000FF"/>
              </w:rPr>
              <w:t>Table of Contents</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3"/>
        </w:trPr>
        <w:tc>
          <w:tcPr>
            <w:tcW w:w="35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580" w:type="dxa"/>
            <w:vAlign w:val="bottom"/>
          </w:tcPr>
          <w:p>
            <w:pPr>
              <w:jc w:val="center"/>
              <w:ind w:right="2450"/>
              <w:spacing w:after="0"/>
              <w:rPr>
                <w:sz w:val="20"/>
                <w:szCs w:val="20"/>
                <w:color w:val="auto"/>
              </w:rPr>
            </w:pPr>
            <w:r>
              <w:rPr>
                <w:rFonts w:ascii="Arial" w:cs="Arial" w:eastAsia="Arial" w:hAnsi="Arial"/>
                <w:sz w:val="18"/>
                <w:szCs w:val="18"/>
                <w:b w:val="1"/>
                <w:bCs w:val="1"/>
                <w:color w:val="auto"/>
                <w:w w:val="99"/>
              </w:rPr>
              <w:t>Exhibit</w:t>
            </w:r>
          </w:p>
        </w:tc>
        <w:tc>
          <w:tcPr>
            <w:tcW w:w="3160" w:type="dxa"/>
            <w:vAlign w:val="bottom"/>
            <w:vMerge w:val="restart"/>
          </w:tcPr>
          <w:p>
            <w:pPr>
              <w:ind w:left="2160"/>
              <w:spacing w:after="0"/>
              <w:rPr>
                <w:sz w:val="20"/>
                <w:szCs w:val="20"/>
                <w:color w:val="auto"/>
              </w:rPr>
            </w:pPr>
            <w:r>
              <w:rPr>
                <w:rFonts w:ascii="Arial" w:cs="Arial" w:eastAsia="Arial" w:hAnsi="Arial"/>
                <w:sz w:val="18"/>
                <w:szCs w:val="18"/>
                <w:b w:val="1"/>
                <w:bCs w:val="1"/>
                <w:color w:val="auto"/>
                <w:w w:val="98"/>
              </w:rPr>
              <w:t>Description</w:t>
            </w:r>
          </w:p>
        </w:tc>
        <w:tc>
          <w:tcPr>
            <w:tcW w:w="0" w:type="dxa"/>
            <w:vAlign w:val="bottom"/>
          </w:tcPr>
          <w:p>
            <w:pPr>
              <w:spacing w:after="0"/>
              <w:rPr>
                <w:sz w:val="1"/>
                <w:szCs w:val="1"/>
                <w:color w:val="auto"/>
              </w:rPr>
            </w:pPr>
          </w:p>
        </w:tc>
      </w:tr>
      <w:tr>
        <w:trPr>
          <w:trHeight w:val="239"/>
        </w:trPr>
        <w:tc>
          <w:tcPr>
            <w:tcW w:w="3580" w:type="dxa"/>
            <w:vAlign w:val="bottom"/>
          </w:tcPr>
          <w:p>
            <w:pPr>
              <w:jc w:val="center"/>
              <w:ind w:right="2530"/>
              <w:spacing w:after="0"/>
              <w:rPr>
                <w:sz w:val="20"/>
                <w:szCs w:val="20"/>
                <w:color w:val="auto"/>
              </w:rPr>
            </w:pPr>
            <w:r>
              <w:rPr>
                <w:rFonts w:ascii="Arial" w:cs="Arial" w:eastAsia="Arial" w:hAnsi="Arial"/>
                <w:sz w:val="18"/>
                <w:szCs w:val="18"/>
                <w:b w:val="1"/>
                <w:bCs w:val="1"/>
                <w:color w:val="auto"/>
                <w:w w:val="99"/>
              </w:rPr>
              <w:t>Number</w:t>
            </w:r>
          </w:p>
        </w:tc>
        <w:tc>
          <w:tcPr>
            <w:tcW w:w="3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88836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97"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6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9980" w:type="dxa"/>
            <w:vAlign w:val="bottom"/>
            <w:gridSpan w:val="14"/>
          </w:tcPr>
          <w:p>
            <w:pPr>
              <w:spacing w:after="0"/>
              <w:rPr>
                <w:rFonts w:ascii="Arial" w:cs="Arial" w:eastAsia="Arial" w:hAnsi="Arial"/>
                <w:sz w:val="18"/>
                <w:szCs w:val="18"/>
                <w:color w:val="0000FF"/>
              </w:rPr>
            </w:pPr>
            <w:hyperlink r:id="rId490">
              <w:r>
                <w:rPr>
                  <w:rFonts w:ascii="Arial" w:cs="Arial" w:eastAsia="Arial" w:hAnsi="Arial"/>
                  <w:sz w:val="18"/>
                  <w:szCs w:val="18"/>
                  <w:color w:val="0000FF"/>
                </w:rPr>
                <w:t>Amended and Restated Certificate of Incorporation of Flywire Corporation, incorporated by reference to Exhibit 3.1 to the</w:t>
              </w:r>
            </w:hyperlink>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5020" w:type="dxa"/>
            <w:vAlign w:val="bottom"/>
            <w:tcBorders>
              <w:top w:val="single" w:sz="8" w:color="0000FF"/>
              <w:bottom w:val="single" w:sz="8" w:color="0000EE"/>
            </w:tcBorders>
            <w:gridSpan w:val="4"/>
          </w:tcPr>
          <w:p>
            <w:pPr>
              <w:spacing w:after="0" w:line="169" w:lineRule="exact"/>
              <w:rPr>
                <w:rFonts w:ascii="Arial" w:cs="Arial" w:eastAsia="Arial" w:hAnsi="Arial"/>
                <w:sz w:val="18"/>
                <w:szCs w:val="18"/>
                <w:color w:val="0000FF"/>
                <w:w w:val="99"/>
              </w:rPr>
            </w:pPr>
            <w:hyperlink r:id="rId490">
              <w:r>
                <w:rPr>
                  <w:rFonts w:ascii="Arial" w:cs="Arial" w:eastAsia="Arial" w:hAnsi="Arial"/>
                  <w:sz w:val="18"/>
                  <w:szCs w:val="18"/>
                  <w:color w:val="0000FF"/>
                  <w:w w:val="99"/>
                </w:rPr>
                <w:t>Registrant’s Current Report on Form 8-K filed on June 1, 2021.</w:t>
              </w:r>
            </w:hyperlink>
          </w:p>
        </w:tc>
        <w:tc>
          <w:tcPr>
            <w:tcW w:w="46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106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3.2</w:t>
            </w:r>
          </w:p>
        </w:tc>
        <w:tc>
          <w:tcPr>
            <w:tcW w:w="9980" w:type="dxa"/>
            <w:vAlign w:val="bottom"/>
            <w:gridSpan w:val="14"/>
          </w:tcPr>
          <w:p>
            <w:pPr>
              <w:spacing w:after="0" w:line="195" w:lineRule="exact"/>
              <w:rPr>
                <w:rFonts w:ascii="Arial" w:cs="Arial" w:eastAsia="Arial" w:hAnsi="Arial"/>
                <w:sz w:val="18"/>
                <w:szCs w:val="18"/>
                <w:color w:val="0000FF"/>
              </w:rPr>
            </w:pPr>
            <w:hyperlink r:id="rId491">
              <w:r>
                <w:rPr>
                  <w:rFonts w:ascii="Arial" w:cs="Arial" w:eastAsia="Arial" w:hAnsi="Arial"/>
                  <w:sz w:val="18"/>
                  <w:szCs w:val="18"/>
                  <w:color w:val="0000FF"/>
                </w:rPr>
                <w:t>Amended and Restated Bylaws of Flywire Corporation, incorporated by reference to Exhibit 3.2 to the Registrant’s Current</w:t>
              </w:r>
            </w:hyperlink>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380" w:type="dxa"/>
            <w:vAlign w:val="bottom"/>
            <w:tcBorders>
              <w:top w:val="single" w:sz="8" w:color="0000FF"/>
              <w:bottom w:val="single" w:sz="8" w:color="0000EE"/>
            </w:tcBorders>
            <w:gridSpan w:val="3"/>
          </w:tcPr>
          <w:p>
            <w:pPr>
              <w:spacing w:after="0" w:line="169" w:lineRule="exact"/>
              <w:rPr>
                <w:rFonts w:ascii="Arial" w:cs="Arial" w:eastAsia="Arial" w:hAnsi="Arial"/>
                <w:sz w:val="18"/>
                <w:szCs w:val="18"/>
                <w:color w:val="0000FF"/>
                <w:w w:val="99"/>
              </w:rPr>
            </w:pPr>
            <w:hyperlink r:id="rId491">
              <w:r>
                <w:rPr>
                  <w:rFonts w:ascii="Arial" w:cs="Arial" w:eastAsia="Arial" w:hAnsi="Arial"/>
                  <w:sz w:val="18"/>
                  <w:szCs w:val="18"/>
                  <w:color w:val="0000FF"/>
                  <w:w w:val="99"/>
                </w:rPr>
                <w:t>Report on Form 8-K filed on June 1, 2021.</w:t>
              </w:r>
            </w:hyperlink>
          </w:p>
        </w:tc>
        <w:tc>
          <w:tcPr>
            <w:tcW w:w="634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10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31.1*</w:t>
            </w:r>
          </w:p>
        </w:tc>
        <w:tc>
          <w:tcPr>
            <w:tcW w:w="9980" w:type="dxa"/>
            <w:vAlign w:val="bottom"/>
            <w:gridSpan w:val="14"/>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2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600" w:type="dxa"/>
            <w:vAlign w:val="bottom"/>
            <w:tcBorders>
              <w:top w:val="single" w:sz="8" w:color="0000FF"/>
            </w:tcBorders>
            <w:gridSpan w:val="6"/>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10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31.2*</w:t>
            </w:r>
          </w:p>
        </w:tc>
        <w:tc>
          <w:tcPr>
            <w:tcW w:w="9980" w:type="dxa"/>
            <w:vAlign w:val="bottom"/>
            <w:gridSpan w:val="14"/>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2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540" w:type="dxa"/>
            <w:vAlign w:val="bottom"/>
            <w:tcBorders>
              <w:top w:val="single" w:sz="8" w:color="0000FF"/>
            </w:tcBorders>
            <w:gridSpan w:val="5"/>
          </w:tcPr>
          <w:p>
            <w:pPr>
              <w:spacing w:after="0"/>
              <w:rPr>
                <w:sz w:val="14"/>
                <w:szCs w:val="14"/>
                <w:color w:val="auto"/>
              </w:rPr>
            </w:pPr>
          </w:p>
        </w:tc>
        <w:tc>
          <w:tcPr>
            <w:tcW w:w="200" w:type="dxa"/>
            <w:vAlign w:val="bottom"/>
            <w:gridSpan w:val="2"/>
          </w:tcPr>
          <w:p>
            <w:pPr>
              <w:spacing w:after="0"/>
              <w:rPr>
                <w:sz w:val="14"/>
                <w:szCs w:val="14"/>
                <w:color w:val="auto"/>
              </w:rPr>
            </w:pPr>
          </w:p>
        </w:tc>
      </w:tr>
      <w:tr>
        <w:trPr>
          <w:trHeight w:val="196"/>
        </w:trPr>
        <w:tc>
          <w:tcPr>
            <w:tcW w:w="10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32.1*</w:t>
            </w:r>
          </w:p>
        </w:tc>
        <w:tc>
          <w:tcPr>
            <w:tcW w:w="9980" w:type="dxa"/>
            <w:vAlign w:val="bottom"/>
            <w:gridSpan w:val="14"/>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7400" w:type="dxa"/>
            <w:vAlign w:val="bottom"/>
            <w:tcBorders>
              <w:top w:val="single" w:sz="8" w:color="0000FF"/>
            </w:tcBorders>
            <w:gridSpan w:val="7"/>
          </w:tcPr>
          <w:p>
            <w:pPr>
              <w:spacing w:after="0"/>
              <w:rPr>
                <w:sz w:val="14"/>
                <w:szCs w:val="14"/>
                <w:color w:val="auto"/>
              </w:rPr>
            </w:pPr>
          </w:p>
        </w:tc>
        <w:tc>
          <w:tcPr>
            <w:tcW w:w="260" w:type="dxa"/>
            <w:vAlign w:val="bottom"/>
            <w:gridSpan w:val="4"/>
          </w:tcPr>
          <w:p>
            <w:pPr>
              <w:spacing w:after="0"/>
              <w:rPr>
                <w:sz w:val="14"/>
                <w:szCs w:val="14"/>
                <w:color w:val="auto"/>
              </w:rPr>
            </w:pPr>
          </w:p>
        </w:tc>
      </w:tr>
      <w:tr>
        <w:trPr>
          <w:trHeight w:val="196"/>
        </w:trPr>
        <w:tc>
          <w:tcPr>
            <w:tcW w:w="10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32.2*</w:t>
            </w:r>
          </w:p>
        </w:tc>
        <w:tc>
          <w:tcPr>
            <w:tcW w:w="9980" w:type="dxa"/>
            <w:vAlign w:val="bottom"/>
            <w:gridSpan w:val="14"/>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7340" w:type="dxa"/>
            <w:vAlign w:val="bottom"/>
            <w:tcBorders>
              <w:top w:val="single" w:sz="8" w:color="0000FF"/>
            </w:tcBorders>
            <w:gridSpan w:val="6"/>
          </w:tcPr>
          <w:p>
            <w:pPr>
              <w:spacing w:after="0"/>
              <w:rPr>
                <w:sz w:val="14"/>
                <w:szCs w:val="14"/>
                <w:color w:val="auto"/>
              </w:rPr>
            </w:pPr>
          </w:p>
        </w:tc>
        <w:tc>
          <w:tcPr>
            <w:tcW w:w="320" w:type="dxa"/>
            <w:vAlign w:val="bottom"/>
            <w:gridSpan w:val="5"/>
          </w:tcPr>
          <w:p>
            <w:pPr>
              <w:spacing w:after="0"/>
              <w:rPr>
                <w:sz w:val="14"/>
                <w:szCs w:val="14"/>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4"/>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r>
      <w:tr>
        <w:trPr>
          <w:trHeight w:val="216"/>
        </w:trPr>
        <w:tc>
          <w:tcPr>
            <w:tcW w:w="10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7"/>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34" w:lineRule="auto"/>
        <w:rPr>
          <w:sz w:val="20"/>
          <w:szCs w:val="20"/>
          <w:color w:val="auto"/>
        </w:rPr>
      </w:pPr>
      <w:r>
        <w:rPr>
          <w:rFonts w:ascii="Arial" w:cs="Arial" w:eastAsia="Arial" w:hAnsi="Arial"/>
          <w:sz w:val="14"/>
          <w:szCs w:val="14"/>
          <w:color w:val="auto"/>
        </w:rPr>
        <w:t>* Filed herewith</w:t>
      </w: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202" w:lineRule="exact"/>
        <w:rPr>
          <w:sz w:val="20"/>
          <w:szCs w:val="20"/>
          <w:color w:val="auto"/>
        </w:rPr>
      </w:pPr>
    </w:p>
    <w:p>
      <w:pPr>
        <w:ind w:firstLine="509"/>
        <w:spacing w:after="0" w:line="24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FLYWIRE CORPORATION</w:t>
      </w:r>
    </w:p>
    <w:p>
      <w:pPr>
        <w:spacing w:after="0" w:line="243" w:lineRule="exact"/>
        <w:rPr>
          <w:sz w:val="20"/>
          <w:szCs w:val="20"/>
          <w:color w:val="auto"/>
        </w:rPr>
      </w:pPr>
    </w:p>
    <w:p>
      <w:pPr>
        <w:ind w:left="20"/>
        <w:spacing w:after="0"/>
        <w:tabs>
          <w:tab w:leader="none" w:pos="5440" w:val="left"/>
          <w:tab w:leader="none" w:pos="7840" w:val="left"/>
        </w:tabs>
        <w:rPr>
          <w:sz w:val="20"/>
          <w:szCs w:val="20"/>
          <w:color w:val="auto"/>
        </w:rPr>
      </w:pPr>
      <w:r>
        <w:rPr>
          <w:rFonts w:ascii="Arial" w:cs="Arial" w:eastAsia="Arial" w:hAnsi="Arial"/>
          <w:sz w:val="17"/>
          <w:szCs w:val="17"/>
          <w:color w:val="auto"/>
        </w:rPr>
        <w:t>Date: August 11,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16510</wp:posOffset>
            </wp:positionV>
            <wp:extent cx="33051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8"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Michael Massaro</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7" w:lineRule="exact"/>
        <w:rPr>
          <w:sz w:val="20"/>
          <w:szCs w:val="20"/>
          <w:color w:val="auto"/>
        </w:rPr>
      </w:pPr>
    </w:p>
    <w:p>
      <w:pPr>
        <w:ind w:left="7480"/>
        <w:spacing w:after="0"/>
        <w:rPr>
          <w:sz w:val="20"/>
          <w:szCs w:val="20"/>
          <w:color w:val="auto"/>
        </w:rPr>
      </w:pPr>
      <w:r>
        <w:rPr>
          <w:rFonts w:ascii="Arial" w:cs="Arial" w:eastAsia="Arial" w:hAnsi="Arial"/>
          <w:sz w:val="17"/>
          <w:szCs w:val="17"/>
          <w:b w:val="1"/>
          <w:bCs w:val="1"/>
          <w:color w:val="auto"/>
        </w:rPr>
        <w:t>(Principal Executive Officer)</w:t>
      </w:r>
    </w:p>
    <w:p>
      <w:pPr>
        <w:spacing w:after="0" w:line="223" w:lineRule="exact"/>
        <w:rPr>
          <w:sz w:val="20"/>
          <w:szCs w:val="20"/>
          <w:color w:val="auto"/>
        </w:rPr>
      </w:pPr>
    </w:p>
    <w:p>
      <w:pPr>
        <w:ind w:left="20"/>
        <w:spacing w:after="0"/>
        <w:tabs>
          <w:tab w:leader="none" w:pos="5440" w:val="left"/>
          <w:tab w:leader="none" w:pos="8020" w:val="left"/>
        </w:tabs>
        <w:rPr>
          <w:sz w:val="20"/>
          <w:szCs w:val="20"/>
          <w:color w:val="auto"/>
        </w:rPr>
      </w:pPr>
      <w:r>
        <w:rPr>
          <w:rFonts w:ascii="Arial" w:cs="Arial" w:eastAsia="Arial" w:hAnsi="Arial"/>
          <w:sz w:val="17"/>
          <w:szCs w:val="17"/>
          <w:color w:val="auto"/>
        </w:rPr>
        <w:t>Date: August 11,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16510</wp:posOffset>
            </wp:positionV>
            <wp:extent cx="33051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8"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Michael Ellis</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ind w:left="684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3"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2022 of Flywire Corporation;</w:t>
      </w:r>
    </w:p>
    <w:p>
      <w:pPr>
        <w:spacing w:after="0" w:line="103" w:lineRule="exact"/>
        <w:rPr>
          <w:rFonts w:ascii="Arial" w:cs="Arial" w:eastAsia="Arial" w:hAnsi="Arial"/>
          <w:sz w:val="18"/>
          <w:szCs w:val="18"/>
          <w:color w:val="auto"/>
        </w:rPr>
      </w:pPr>
    </w:p>
    <w:p>
      <w:pPr>
        <w:ind w:left="520" w:hanging="512"/>
        <w:spacing w:after="0" w:line="247"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20" w:right="380" w:hanging="512"/>
        <w:spacing w:after="0" w:line="247"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520" w:right="180" w:hanging="512"/>
        <w:spacing w:after="0" w:line="245"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3" w:lineRule="exact"/>
        <w:rPr>
          <w:rFonts w:ascii="Arial" w:cs="Arial" w:eastAsia="Arial" w:hAnsi="Arial"/>
          <w:sz w:val="18"/>
          <w:szCs w:val="18"/>
          <w:color w:val="auto"/>
        </w:rPr>
      </w:pPr>
    </w:p>
    <w:p>
      <w:pPr>
        <w:ind w:left="1660" w:right="280" w:hanging="507"/>
        <w:spacing w:after="0" w:line="243" w:lineRule="auto"/>
        <w:tabs>
          <w:tab w:leader="none" w:pos="1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ind w:left="1560" w:hanging="407"/>
        <w:spacing w:after="0"/>
        <w:tabs>
          <w:tab w:leader="none" w:pos="1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660" w:right="280" w:hanging="507"/>
        <w:spacing w:after="0" w:line="247" w:lineRule="auto"/>
        <w:tabs>
          <w:tab w:leader="none" w:pos="1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660" w:right="20" w:hanging="507"/>
        <w:spacing w:after="0" w:line="269" w:lineRule="auto"/>
        <w:tabs>
          <w:tab w:leader="none" w:pos="155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520" w:right="400" w:hanging="512"/>
        <w:spacing w:after="0" w:line="247"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660" w:right="140" w:hanging="507"/>
        <w:spacing w:after="0" w:line="247" w:lineRule="auto"/>
        <w:tabs>
          <w:tab w:leader="none" w:pos="1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660" w:right="540" w:hanging="507"/>
        <w:spacing w:after="0" w:line="245" w:lineRule="auto"/>
        <w:tabs>
          <w:tab w:leader="none" w:pos="1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6940" w:val="left"/>
          <w:tab w:leader="none" w:pos="842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-3810</wp:posOffset>
            </wp:positionV>
            <wp:extent cx="24314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27"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Michael Massaro</w:t>
      </w:r>
    </w:p>
    <w:p>
      <w:pPr>
        <w:spacing w:after="0" w:line="21"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Michael Ellis, certify that:</w:t>
      </w:r>
    </w:p>
    <w:p>
      <w:pPr>
        <w:spacing w:after="0" w:line="103"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2022 of Flywire Corporation;</w:t>
      </w:r>
    </w:p>
    <w:p>
      <w:pPr>
        <w:spacing w:after="0" w:line="103" w:lineRule="exact"/>
        <w:rPr>
          <w:rFonts w:ascii="Arial" w:cs="Arial" w:eastAsia="Arial" w:hAnsi="Arial"/>
          <w:sz w:val="18"/>
          <w:szCs w:val="18"/>
          <w:color w:val="auto"/>
        </w:rPr>
      </w:pPr>
    </w:p>
    <w:p>
      <w:pPr>
        <w:ind w:left="520" w:hanging="512"/>
        <w:spacing w:after="0" w:line="247"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20" w:right="380" w:hanging="512"/>
        <w:spacing w:after="0" w:line="247"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520" w:right="180" w:hanging="512"/>
        <w:spacing w:after="0" w:line="245"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3" w:lineRule="exact"/>
        <w:rPr>
          <w:rFonts w:ascii="Arial" w:cs="Arial" w:eastAsia="Arial" w:hAnsi="Arial"/>
          <w:sz w:val="18"/>
          <w:szCs w:val="18"/>
          <w:color w:val="auto"/>
        </w:rPr>
      </w:pPr>
    </w:p>
    <w:p>
      <w:pPr>
        <w:ind w:left="1660" w:right="280" w:hanging="507"/>
        <w:spacing w:after="0" w:line="243" w:lineRule="auto"/>
        <w:tabs>
          <w:tab w:leader="none" w:pos="15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ind w:left="1560" w:hanging="407"/>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660" w:right="280" w:hanging="507"/>
        <w:spacing w:after="0" w:line="247" w:lineRule="auto"/>
        <w:tabs>
          <w:tab w:leader="none" w:pos="15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660" w:right="20" w:hanging="507"/>
        <w:spacing w:after="0" w:line="269" w:lineRule="auto"/>
        <w:tabs>
          <w:tab w:leader="none" w:pos="155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520" w:right="400" w:hanging="512"/>
        <w:spacing w:after="0" w:line="247"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660" w:right="140" w:hanging="507"/>
        <w:spacing w:after="0" w:line="247" w:lineRule="auto"/>
        <w:tabs>
          <w:tab w:leader="none" w:pos="15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660" w:right="540" w:hanging="507"/>
        <w:spacing w:after="0" w:line="245" w:lineRule="auto"/>
        <w:tabs>
          <w:tab w:leader="none" w:pos="15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6600" w:val="left"/>
          <w:tab w:leader="none" w:pos="844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-3810</wp:posOffset>
            </wp:positionV>
            <wp:extent cx="264604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27"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Michael Ellis</w:t>
      </w:r>
    </w:p>
    <w:p>
      <w:pPr>
        <w:spacing w:after="0" w:line="21"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connection with the Quarterly Report of Flywire Corporation (the “Company”) on Form 10-Q for the quarter ended June 30, 2022 as filed with the Securities and Exchange Commission on the date hereof (the “Report”), I certify, pursuant to 18 U.S.C. § 1350, as adopted pursuant to § 906 of the Sarbanes-Oxley Act of 2002, that:</w:t>
      </w:r>
    </w:p>
    <w:p>
      <w:pPr>
        <w:spacing w:after="0" w:line="107" w:lineRule="exact"/>
        <w:rPr>
          <w:sz w:val="20"/>
          <w:szCs w:val="20"/>
          <w:color w:val="auto"/>
        </w:rPr>
      </w:pPr>
    </w:p>
    <w:p>
      <w:pPr>
        <w:ind w:left="1560" w:hanging="407"/>
        <w:spacing w:after="0"/>
        <w:tabs>
          <w:tab w:leader="none" w:pos="1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45" w:lineRule="auto"/>
        <w:tabs>
          <w:tab w:leader="none" w:pos="15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8" w:lineRule="exact"/>
        <w:rPr>
          <w:sz w:val="20"/>
          <w:szCs w:val="20"/>
          <w:color w:val="auto"/>
        </w:rPr>
      </w:pPr>
    </w:p>
    <w:p>
      <w:pPr>
        <w:ind w:left="20"/>
        <w:spacing w:after="0"/>
        <w:tabs>
          <w:tab w:leader="none" w:pos="6480" w:val="left"/>
          <w:tab w:leader="none" w:pos="81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27311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27"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Michael Massaro</w:t>
      </w:r>
    </w:p>
    <w:p>
      <w:pPr>
        <w:spacing w:after="0" w:line="2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connection with the Quarterly Report of Flywire Corporation (the “Company”) on Form 10-Q for the quarter ended June 30, 2022 as filed with the Securities and Exchange Commission on the date hereof (the “Report”), I certify, pursuant to 18 U.S.C. § 1350, as adopted pursuant to § 906 of the Sarbanes-Oxley Act of 2002, that:</w:t>
      </w:r>
    </w:p>
    <w:p>
      <w:pPr>
        <w:spacing w:after="0" w:line="107" w:lineRule="exact"/>
        <w:rPr>
          <w:sz w:val="20"/>
          <w:szCs w:val="20"/>
          <w:color w:val="auto"/>
        </w:rPr>
      </w:pPr>
    </w:p>
    <w:p>
      <w:pPr>
        <w:ind w:left="1560" w:hanging="407"/>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45" w:lineRule="auto"/>
        <w:tabs>
          <w:tab w:leader="none" w:pos="15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8" w:lineRule="exact"/>
        <w:rPr>
          <w:sz w:val="20"/>
          <w:szCs w:val="20"/>
          <w:color w:val="auto"/>
        </w:rPr>
      </w:pPr>
    </w:p>
    <w:p>
      <w:pPr>
        <w:ind w:left="20"/>
        <w:spacing w:after="0"/>
        <w:tabs>
          <w:tab w:leader="none" w:pos="6480" w:val="left"/>
          <w:tab w:leader="none" w:pos="836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27311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27"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Michael Ellis</w:t>
      </w:r>
    </w:p>
    <w:p>
      <w:pPr>
        <w:spacing w:after="0" w:line="21"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Roman"/>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Roman"/>
      <w:start w:val="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upperLetter"/>
      <w:start w:val="35"/>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490" Type="http://schemas.openxmlformats.org/officeDocument/2006/relationships/hyperlink" Target="https://www.sec.gov/Archives/edgar/data/1580560/000119312521178711/d109060dex31.htm" TargetMode="External"/><Relationship Id="rId491" Type="http://schemas.openxmlformats.org/officeDocument/2006/relationships/hyperlink" Target="https://www.sec.gov/Archives/edgar/data/1580560/000119312521178711/d10906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2022-08-12T21:14:27Z</dcterms:created>
  <dcterms:modified xsi:type="dcterms:W3CDTF">2022-08-12T21:14:27Z</dcterms:modified>
</cp:coreProperties>
</file>