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-221615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9"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-598170</wp:posOffset>
            </wp:positionV>
            <wp:extent cx="5651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150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-598170</wp:posOffset>
            </wp:positionV>
            <wp:extent cx="5651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150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17145</wp:posOffset>
            </wp:positionV>
            <wp:extent cx="6999605" cy="945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945007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160" w:space="520"/>
            <w:col w:w="84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20" w:type="dxa"/>
            <w:vAlign w:val="bottom"/>
            <w:gridSpan w:val="9"/>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80" w:type="dxa"/>
            <w:vAlign w:val="bottom"/>
            <w:gridSpan w:val="8"/>
          </w:tcPr>
          <w:p>
            <w:pPr>
              <w:ind w:left="40"/>
              <w:spacing w:after="0"/>
              <w:rPr>
                <w:sz w:val="20"/>
                <w:szCs w:val="20"/>
                <w:color w:val="auto"/>
              </w:rPr>
            </w:pPr>
            <w:r>
              <w:rPr>
                <w:rFonts w:ascii="Arial" w:cs="Arial" w:eastAsia="Arial" w:hAnsi="Arial"/>
                <w:sz w:val="12"/>
                <w:szCs w:val="12"/>
                <w:color w:val="auto"/>
              </w:rPr>
              <w:t>5. Relationship of Reporting Person(s) to Issuer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1"/>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BAIN CAPITAL VENTURE INVESTORS,</w:t>
              </w:r>
            </w:hyperlink>
          </w:p>
        </w:tc>
        <w:tc>
          <w:tcPr>
            <w:tcW w:w="2000" w:type="dxa"/>
            <w:vAlign w:val="bottom"/>
            <w:gridSpan w:val="8"/>
          </w:tcPr>
          <w:p>
            <w:pPr>
              <w:ind w:left="60"/>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Flywire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FLYW</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11"/>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740" w:type="dxa"/>
            <w:vAlign w:val="bottom"/>
            <w:gridSpan w:val="11"/>
            <w:vMerge w:val="continu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2"/>
            <w:vMerge w:val="restart"/>
          </w:tcPr>
          <w:p>
            <w:pPr>
              <w:ind w:left="520"/>
              <w:spacing w:after="0"/>
              <w:rPr>
                <w:sz w:val="20"/>
                <w:szCs w:val="20"/>
                <w:color w:val="auto"/>
              </w:rPr>
            </w:pPr>
            <w:r>
              <w:rPr>
                <w:rFonts w:ascii="Arial" w:cs="Arial" w:eastAsia="Arial" w:hAnsi="Arial"/>
                <w:sz w:val="12"/>
                <w:szCs w:val="12"/>
                <w:color w:val="auto"/>
              </w:rPr>
              <w:t>Director</w:t>
            </w:r>
          </w:p>
        </w:tc>
        <w:tc>
          <w:tcPr>
            <w:tcW w:w="340" w:type="dxa"/>
            <w:vAlign w:val="bottom"/>
          </w:tcPr>
          <w:p>
            <w:pPr>
              <w:spacing w:after="0"/>
              <w:rPr>
                <w:sz w:val="2"/>
                <w:szCs w:val="2"/>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240" w:type="dxa"/>
            <w:vAlign w:val="bottom"/>
            <w:gridSpan w:val="3"/>
            <w:vMerge w:val="restart"/>
          </w:tcPr>
          <w:p>
            <w:pPr>
              <w:ind w:left="100"/>
              <w:spacing w:after="0"/>
              <w:rPr>
                <w:sz w:val="20"/>
                <w:szCs w:val="20"/>
                <w:color w:val="auto"/>
              </w:rPr>
            </w:pPr>
            <w:r>
              <w:rPr>
                <w:rFonts w:ascii="Arial" w:cs="Arial" w:eastAsia="Arial" w:hAnsi="Arial"/>
                <w:sz w:val="12"/>
                <w:szCs w:val="12"/>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11"/>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Borders>
              <w:top w:val="single" w:sz="8" w:color="0000EE"/>
            </w:tcBorders>
            <w:vMerge w:val="restart"/>
          </w:tcPr>
          <w:p>
            <w:pPr>
              <w:spacing w:after="0" w:line="189" w:lineRule="exact"/>
              <w:rPr>
                <w:rFonts w:ascii="Arial" w:cs="Arial" w:eastAsia="Arial" w:hAnsi="Arial"/>
                <w:sz w:val="20"/>
                <w:szCs w:val="20"/>
                <w:color w:val="0000EE"/>
                <w:w w:val="98"/>
              </w:rPr>
            </w:pPr>
            <w:hyperlink r:id="rId12">
              <w:r>
                <w:rPr>
                  <w:rFonts w:ascii="Arial" w:cs="Arial" w:eastAsia="Arial" w:hAnsi="Arial"/>
                  <w:sz w:val="20"/>
                  <w:szCs w:val="20"/>
                  <w:color w:val="0000EE"/>
                  <w:w w:val="98"/>
                </w:rPr>
                <w:t>LLC</w:t>
              </w:r>
            </w:hyperlink>
          </w:p>
        </w:tc>
        <w:tc>
          <w:tcPr>
            <w:tcW w:w="18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020" w:type="dxa"/>
            <w:vAlign w:val="bottom"/>
            <w:tcBorders>
              <w:top w:val="single" w:sz="8" w:color="0000EE"/>
            </w:tcBorders>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bottom w:val="single" w:sz="8" w:color="0000EE"/>
            </w:tcBorders>
            <w:vMerge w:val="continue"/>
          </w:tcPr>
          <w:p>
            <w:pPr>
              <w:spacing w:after="0"/>
              <w:rPr>
                <w:sz w:val="9"/>
                <w:szCs w:val="9"/>
                <w:color w:val="auto"/>
              </w:rPr>
            </w:pPr>
          </w:p>
        </w:tc>
        <w:tc>
          <w:tcPr>
            <w:tcW w:w="18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520" w:type="dxa"/>
            <w:vAlign w:val="bottom"/>
            <w:gridSpan w:val="3"/>
            <w:vMerge w:val="restart"/>
          </w:tcPr>
          <w:p>
            <w:pPr>
              <w:ind w:left="520"/>
              <w:spacing w:after="0"/>
              <w:rPr>
                <w:sz w:val="20"/>
                <w:szCs w:val="20"/>
                <w:color w:val="auto"/>
              </w:rPr>
            </w:pPr>
            <w:r>
              <w:rPr>
                <w:rFonts w:ascii="Arial" w:cs="Arial" w:eastAsia="Arial" w:hAnsi="Arial"/>
                <w:sz w:val="12"/>
                <w:szCs w:val="12"/>
                <w:color w:val="auto"/>
              </w:rPr>
              <w:t>Officer (give title</w:t>
            </w:r>
          </w:p>
        </w:tc>
        <w:tc>
          <w:tcPr>
            <w:tcW w:w="480" w:type="dxa"/>
            <w:vAlign w:val="bottom"/>
          </w:tcPr>
          <w:p>
            <w:pPr>
              <w:spacing w:after="0"/>
              <w:rPr>
                <w:sz w:val="9"/>
                <w:szCs w:val="9"/>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2"/>
                <w:szCs w:val="12"/>
                <w:color w:val="auto"/>
              </w:rPr>
              <w:t>Other (specify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180" w:type="dxa"/>
            <w:vAlign w:val="bottom"/>
            <w:gridSpan w:val="2"/>
            <w:vMerge w:val="restart"/>
          </w:tcPr>
          <w:p>
            <w:pPr>
              <w:ind w:left="520"/>
              <w:spacing w:after="0" w:line="92" w:lineRule="exact"/>
              <w:rPr>
                <w:sz w:val="20"/>
                <w:szCs w:val="20"/>
                <w:color w:val="auto"/>
              </w:rPr>
            </w:pPr>
            <w:r>
              <w:rPr>
                <w:rFonts w:ascii="Arial" w:cs="Arial" w:eastAsia="Arial" w:hAnsi="Arial"/>
                <w:sz w:val="10"/>
                <w:szCs w:val="10"/>
                <w:color w:val="auto"/>
              </w:rPr>
              <w:t>below)</w:t>
            </w: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gridSpan w:val="3"/>
            <w:vMerge w:val="restart"/>
          </w:tcPr>
          <w:p>
            <w:pPr>
              <w:ind w:left="100"/>
              <w:spacing w:after="0" w:line="92" w:lineRule="exact"/>
              <w:rPr>
                <w:sz w:val="20"/>
                <w:szCs w:val="20"/>
                <w:color w:val="auto"/>
              </w:rPr>
            </w:pPr>
            <w:r>
              <w:rPr>
                <w:rFonts w:ascii="Arial" w:cs="Arial" w:eastAsia="Arial" w:hAnsi="Arial"/>
                <w:sz w:val="10"/>
                <w:szCs w:val="10"/>
                <w:color w:val="auto"/>
              </w:rPr>
              <w:t>below)</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2720" w:type="dxa"/>
            <w:vAlign w:val="bottom"/>
            <w:gridSpan w:val="9"/>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gridSpan w:val="9"/>
            <w:vMerge w:val="continue"/>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gridSpan w:val="3"/>
          </w:tcPr>
          <w:p>
            <w:pPr>
              <w:ind w:left="12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6"/>
          </w:tcPr>
          <w:p>
            <w:pPr>
              <w:ind w:left="60"/>
              <w:spacing w:after="0"/>
              <w:rPr>
                <w:sz w:val="20"/>
                <w:szCs w:val="20"/>
                <w:color w:val="auto"/>
              </w:rPr>
            </w:pPr>
            <w:r>
              <w:rPr>
                <w:rFonts w:ascii="Arial" w:cs="Arial" w:eastAsia="Arial" w:hAnsi="Arial"/>
                <w:sz w:val="16"/>
                <w:szCs w:val="16"/>
                <w:color w:val="0000FF"/>
              </w:rPr>
              <w:t>06/21/2021</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5"/>
          </w:tcPr>
          <w:p>
            <w:pPr>
              <w:spacing w:after="0"/>
              <w:rPr>
                <w:sz w:val="20"/>
                <w:szCs w:val="20"/>
                <w:color w:val="auto"/>
              </w:rPr>
            </w:pPr>
            <w:r>
              <w:rPr>
                <w:rFonts w:ascii="Arial" w:cs="Arial" w:eastAsia="Arial" w:hAnsi="Arial"/>
                <w:sz w:val="16"/>
                <w:szCs w:val="16"/>
                <w:color w:val="0000FF"/>
              </w:rPr>
              <w:t>200 CLARENDON STREET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220" w:type="dxa"/>
            <w:vAlign w:val="bottom"/>
            <w:tcBorders>
              <w:bottom w:val="single" w:sz="8" w:color="2C2C2C"/>
            </w:tcBorders>
            <w:gridSpan w:val="6"/>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300" w:type="dxa"/>
            <w:vAlign w:val="bottom"/>
            <w:gridSpan w:val="10"/>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80" w:type="dxa"/>
            <w:vAlign w:val="bottom"/>
            <w:gridSpan w:val="8"/>
            <w:vMerge w:val="restart"/>
          </w:tcPr>
          <w:p>
            <w:pPr>
              <w:ind w:left="4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00" w:type="dxa"/>
            <w:vAlign w:val="bottom"/>
            <w:gridSpan w:val="10"/>
            <w:vMerge w:val="continue"/>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80" w:type="dxa"/>
            <w:vAlign w:val="bottom"/>
            <w:gridSpan w:val="8"/>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40" w:type="dxa"/>
            <w:vAlign w:val="bottom"/>
            <w:gridSpan w:val="7"/>
            <w:vMerge w:val="restart"/>
          </w:tcPr>
          <w:p>
            <w:pPr>
              <w:ind w:left="52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BOSTON</w:t>
            </w:r>
          </w:p>
        </w:tc>
        <w:tc>
          <w:tcPr>
            <w:tcW w:w="1140" w:type="dxa"/>
            <w:vAlign w:val="bottom"/>
            <w:gridSpan w:val="2"/>
            <w:vMerge w:val="restart"/>
          </w:tcPr>
          <w:p>
            <w:pPr>
              <w:ind w:left="20"/>
              <w:spacing w:after="0"/>
              <w:rPr>
                <w:sz w:val="20"/>
                <w:szCs w:val="20"/>
                <w:color w:val="auto"/>
              </w:rPr>
            </w:pPr>
            <w:r>
              <w:rPr>
                <w:rFonts w:ascii="Arial" w:cs="Arial" w:eastAsia="Arial" w:hAnsi="Arial"/>
                <w:sz w:val="16"/>
                <w:szCs w:val="16"/>
                <w:color w:val="0000FF"/>
              </w:rPr>
              <w:t>MA</w:t>
            </w:r>
          </w:p>
        </w:tc>
        <w:tc>
          <w:tcPr>
            <w:tcW w:w="1040" w:type="dxa"/>
            <w:vAlign w:val="bottom"/>
            <w:gridSpan w:val="3"/>
            <w:vMerge w:val="restart"/>
          </w:tcPr>
          <w:p>
            <w:pPr>
              <w:ind w:left="120"/>
              <w:spacing w:after="0"/>
              <w:rPr>
                <w:sz w:val="20"/>
                <w:szCs w:val="20"/>
                <w:color w:val="auto"/>
              </w:rPr>
            </w:pPr>
            <w:r>
              <w:rPr>
                <w:rFonts w:ascii="Arial" w:cs="Arial" w:eastAsia="Arial" w:hAnsi="Arial"/>
                <w:sz w:val="16"/>
                <w:szCs w:val="16"/>
                <w:color w:val="0000FF"/>
              </w:rPr>
              <w:t>02116</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40" w:type="dxa"/>
            <w:vAlign w:val="bottom"/>
            <w:gridSpan w:val="7"/>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40" w:type="dxa"/>
            <w:vAlign w:val="bottom"/>
            <w:gridSpan w:val="7"/>
            <w:vMerge w:val="restart"/>
          </w:tcPr>
          <w:p>
            <w:pPr>
              <w:ind w:left="2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40" w:type="dxa"/>
            <w:vAlign w:val="bottom"/>
            <w:gridSpan w:val="7"/>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gridSpan w:val="2"/>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gridSpan w:val="3"/>
          </w:tcPr>
          <w:p>
            <w:pPr>
              <w:ind w:left="12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21"/>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4"/>
          </w:tcPr>
          <w:p>
            <w:pPr>
              <w:ind w:left="280"/>
              <w:spacing w:after="0"/>
              <w:rPr>
                <w:sz w:val="20"/>
                <w:szCs w:val="20"/>
                <w:color w:val="auto"/>
              </w:rPr>
            </w:pPr>
            <w:r>
              <w:rPr>
                <w:rFonts w:ascii="Arial" w:cs="Arial" w:eastAsia="Arial" w:hAnsi="Arial"/>
                <w:sz w:val="11"/>
                <w:szCs w:val="11"/>
                <w:b w:val="1"/>
                <w:bCs w:val="1"/>
                <w:color w:val="auto"/>
                <w:w w:val="99"/>
              </w:rPr>
              <w:t>2. Transaction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5"/>
          </w:tcPr>
          <w:p>
            <w:pPr>
              <w:ind w:left="10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 Indirect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280"/>
              <w:spacing w:after="0" w:line="120"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5"/>
          </w:tcPr>
          <w:p>
            <w:pPr>
              <w:ind w:left="10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4"/>
          </w:tcPr>
          <w:p>
            <w:pPr>
              <w:jc w:val="center"/>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1240" w:type="dxa"/>
            <w:vAlign w:val="bottom"/>
            <w:gridSpan w:val="3"/>
          </w:tcPr>
          <w:p>
            <w:pPr>
              <w:ind w:left="80"/>
              <w:spacing w:after="0" w:line="120"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gridSpan w:val="11"/>
          </w:tcPr>
          <w:p>
            <w:pPr>
              <w:ind w:left="280"/>
              <w:spacing w:after="0" w:line="123" w:lineRule="exact"/>
              <w:rPr>
                <w:sz w:val="20"/>
                <w:szCs w:val="20"/>
                <w:color w:val="auto"/>
              </w:rPr>
            </w:pPr>
            <w:r>
              <w:rPr>
                <w:rFonts w:ascii="Arial" w:cs="Arial" w:eastAsia="Arial" w:hAnsi="Arial"/>
                <w:sz w:val="11"/>
                <w:szCs w:val="11"/>
                <w:b w:val="1"/>
                <w:bCs w:val="1"/>
                <w:color w:val="auto"/>
              </w:rPr>
              <w:t>(Month/Day/Year)  if any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12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Ownership (Instr.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5"/>
          </w:tcPr>
          <w:p>
            <w:pPr>
              <w:ind w:left="10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60"/>
              <w:spacing w:after="0" w:line="123" w:lineRule="exact"/>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jc w:val="center"/>
              <w:ind w:right="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420" w:type="dxa"/>
            <w:vAlign w:val="bottom"/>
            <w:gridSpan w:val="6"/>
          </w:tcPr>
          <w:p>
            <w:pPr>
              <w:ind w:left="60"/>
              <w:spacing w:after="0"/>
              <w:rPr>
                <w:sz w:val="20"/>
                <w:szCs w:val="20"/>
                <w:color w:val="auto"/>
              </w:rPr>
            </w:pPr>
            <w:r>
              <w:rPr>
                <w:rFonts w:ascii="Arial" w:cs="Arial" w:eastAsia="Arial" w:hAnsi="Arial"/>
                <w:sz w:val="16"/>
                <w:szCs w:val="16"/>
                <w:color w:val="0000FF"/>
              </w:rPr>
              <w:t>Voting Common Stock</w:t>
            </w:r>
          </w:p>
        </w:tc>
        <w:tc>
          <w:tcPr>
            <w:tcW w:w="1580" w:type="dxa"/>
            <w:vAlign w:val="bottom"/>
            <w:gridSpan w:val="8"/>
          </w:tcPr>
          <w:p>
            <w:pPr>
              <w:ind w:left="740"/>
              <w:spacing w:after="0"/>
              <w:rPr>
                <w:sz w:val="20"/>
                <w:szCs w:val="20"/>
                <w:color w:val="auto"/>
              </w:rPr>
            </w:pPr>
            <w:r>
              <w:rPr>
                <w:rFonts w:ascii="Arial" w:cs="Arial" w:eastAsia="Arial" w:hAnsi="Arial"/>
                <w:sz w:val="16"/>
                <w:szCs w:val="16"/>
                <w:color w:val="0000FF"/>
              </w:rPr>
              <w:t>06/21/2021</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ind w:left="100"/>
              <w:spacing w:after="0" w:line="258" w:lineRule="exact"/>
              <w:rPr>
                <w:sz w:val="20"/>
                <w:szCs w:val="20"/>
                <w:color w:val="auto"/>
              </w:rPr>
            </w:pPr>
            <w:r>
              <w:rPr>
                <w:rFonts w:ascii="Arial" w:cs="Arial" w:eastAsia="Arial" w:hAnsi="Arial"/>
                <w:sz w:val="24"/>
                <w:szCs w:val="24"/>
                <w:color w:val="0000FF"/>
                <w:vertAlign w:val="subscript"/>
              </w:rPr>
              <w:t>X</w:t>
            </w:r>
            <w:r>
              <w:rPr>
                <w:rFonts w:ascii="Arial" w:cs="Arial" w:eastAsia="Arial" w:hAnsi="Arial"/>
                <w:sz w:val="10"/>
                <w:szCs w:val="10"/>
                <w:color w:val="008000"/>
              </w:rPr>
              <w:t>(1)</w:t>
            </w:r>
          </w:p>
        </w:tc>
        <w:tc>
          <w:tcPr>
            <w:tcW w:w="720" w:type="dxa"/>
            <w:vAlign w:val="bottom"/>
          </w:tcPr>
          <w:p>
            <w:pPr>
              <w:jc w:val="right"/>
              <w:ind w:right="20"/>
              <w:spacing w:after="0"/>
              <w:rPr>
                <w:sz w:val="20"/>
                <w:szCs w:val="20"/>
                <w:color w:val="auto"/>
              </w:rPr>
            </w:pPr>
            <w:r>
              <w:rPr>
                <w:rFonts w:ascii="Arial" w:cs="Arial" w:eastAsia="Arial" w:hAnsi="Arial"/>
                <w:sz w:val="16"/>
                <w:szCs w:val="16"/>
                <w:color w:val="0000FF"/>
              </w:rPr>
              <w:t>75,000</w:t>
            </w:r>
          </w:p>
        </w:tc>
        <w:tc>
          <w:tcPr>
            <w:tcW w:w="580" w:type="dxa"/>
            <w:vAlign w:val="bottom"/>
          </w:tcPr>
          <w:p>
            <w:pPr>
              <w:ind w:left="280"/>
              <w:spacing w:after="0"/>
              <w:rPr>
                <w:sz w:val="20"/>
                <w:szCs w:val="20"/>
                <w:color w:val="auto"/>
              </w:rPr>
            </w:pPr>
            <w:r>
              <w:rPr>
                <w:rFonts w:ascii="Arial" w:cs="Arial" w:eastAsia="Arial" w:hAnsi="Arial"/>
                <w:sz w:val="16"/>
                <w:szCs w:val="16"/>
                <w:color w:val="0000FF"/>
              </w:rPr>
              <w:t>A</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0.17</w:t>
            </w:r>
          </w:p>
        </w:tc>
        <w:tc>
          <w:tcPr>
            <w:tcW w:w="40" w:type="dxa"/>
            <w:vAlign w:val="bottom"/>
          </w:tcPr>
          <w:p>
            <w:pPr>
              <w:spacing w:after="0"/>
              <w:rPr>
                <w:sz w:val="22"/>
                <w:szCs w:val="22"/>
                <w:color w:val="auto"/>
              </w:rPr>
            </w:pPr>
          </w:p>
        </w:tc>
        <w:tc>
          <w:tcPr>
            <w:tcW w:w="1220" w:type="dxa"/>
            <w:vAlign w:val="bottom"/>
            <w:gridSpan w:val="3"/>
          </w:tcPr>
          <w:p>
            <w:pPr>
              <w:ind w:left="240"/>
              <w:spacing w:after="0"/>
              <w:rPr>
                <w:sz w:val="20"/>
                <w:szCs w:val="20"/>
                <w:color w:val="auto"/>
              </w:rPr>
            </w:pPr>
            <w:r>
              <w:rPr>
                <w:rFonts w:ascii="Arial" w:cs="Arial" w:eastAsia="Arial" w:hAnsi="Arial"/>
                <w:sz w:val="16"/>
                <w:szCs w:val="16"/>
                <w:color w:val="0000FF"/>
              </w:rPr>
              <w:t>16,349,364</w:t>
            </w:r>
          </w:p>
        </w:tc>
        <w:tc>
          <w:tcPr>
            <w:tcW w:w="340" w:type="dxa"/>
            <w:vAlign w:val="bottom"/>
          </w:tcPr>
          <w:p>
            <w:pPr>
              <w:spacing w:after="0"/>
              <w:rPr>
                <w:sz w:val="22"/>
                <w:szCs w:val="22"/>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0000FF"/>
              </w:rPr>
              <w:t>I</w:t>
            </w:r>
          </w:p>
        </w:tc>
        <w:tc>
          <w:tcPr>
            <w:tcW w:w="1240" w:type="dxa"/>
            <w:vAlign w:val="bottom"/>
            <w:gridSpan w:val="3"/>
          </w:tcPr>
          <w:p>
            <w:pPr>
              <w:ind w:left="80"/>
              <w:spacing w:after="0"/>
              <w:rPr>
                <w:sz w:val="20"/>
                <w:szCs w:val="20"/>
                <w:color w:val="auto"/>
              </w:rPr>
            </w:pPr>
            <w:r>
              <w:rPr>
                <w:rFonts w:ascii="Arial" w:cs="Arial" w:eastAsia="Arial" w:hAnsi="Arial"/>
                <w:sz w:val="16"/>
                <w:szCs w:val="16"/>
                <w:color w:val="0000FF"/>
                <w:w w:val="99"/>
              </w:rPr>
              <w:t>See footnotes</w:t>
            </w:r>
            <w:r>
              <w:rPr>
                <w:rFonts w:ascii="Arial" w:cs="Arial" w:eastAsia="Arial" w:hAnsi="Arial"/>
                <w:sz w:val="20"/>
                <w:szCs w:val="20"/>
                <w:color w:val="008000"/>
                <w:w w:val="99"/>
                <w:vertAlign w:val="superscript"/>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0"/>
                <w:szCs w:val="10"/>
                <w:color w:val="008000"/>
              </w:rPr>
              <w:t>(4)(5)(6)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420" w:type="dxa"/>
            <w:vAlign w:val="bottom"/>
            <w:gridSpan w:val="6"/>
          </w:tcPr>
          <w:p>
            <w:pPr>
              <w:ind w:left="60"/>
              <w:spacing w:after="0"/>
              <w:rPr>
                <w:sz w:val="20"/>
                <w:szCs w:val="20"/>
                <w:color w:val="auto"/>
              </w:rPr>
            </w:pPr>
            <w:r>
              <w:rPr>
                <w:rFonts w:ascii="Arial" w:cs="Arial" w:eastAsia="Arial" w:hAnsi="Arial"/>
                <w:sz w:val="16"/>
                <w:szCs w:val="16"/>
                <w:color w:val="0000FF"/>
              </w:rPr>
              <w:t>Voting Common Stock</w:t>
            </w:r>
          </w:p>
        </w:tc>
        <w:tc>
          <w:tcPr>
            <w:tcW w:w="1580" w:type="dxa"/>
            <w:vAlign w:val="bottom"/>
            <w:gridSpan w:val="8"/>
          </w:tcPr>
          <w:p>
            <w:pPr>
              <w:ind w:left="740"/>
              <w:spacing w:after="0"/>
              <w:rPr>
                <w:sz w:val="20"/>
                <w:szCs w:val="20"/>
                <w:color w:val="auto"/>
              </w:rPr>
            </w:pPr>
            <w:r>
              <w:rPr>
                <w:rFonts w:ascii="Arial" w:cs="Arial" w:eastAsia="Arial" w:hAnsi="Arial"/>
                <w:sz w:val="16"/>
                <w:szCs w:val="16"/>
                <w:color w:val="0000FF"/>
              </w:rPr>
              <w:t>06/21/2021</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ind w:left="100"/>
              <w:spacing w:after="0" w:line="258" w:lineRule="exact"/>
              <w:rPr>
                <w:sz w:val="20"/>
                <w:szCs w:val="20"/>
                <w:color w:val="auto"/>
              </w:rPr>
            </w:pPr>
            <w:r>
              <w:rPr>
                <w:rFonts w:ascii="Arial" w:cs="Arial" w:eastAsia="Arial" w:hAnsi="Arial"/>
                <w:sz w:val="24"/>
                <w:szCs w:val="24"/>
                <w:color w:val="0000FF"/>
                <w:vertAlign w:val="subscript"/>
              </w:rPr>
              <w:t>X</w:t>
            </w:r>
            <w:r>
              <w:rPr>
                <w:rFonts w:ascii="Arial" w:cs="Arial" w:eastAsia="Arial" w:hAnsi="Arial"/>
                <w:sz w:val="10"/>
                <w:szCs w:val="10"/>
                <w:color w:val="008000"/>
              </w:rPr>
              <w:t>(2)</w:t>
            </w:r>
          </w:p>
        </w:tc>
        <w:tc>
          <w:tcPr>
            <w:tcW w:w="720" w:type="dxa"/>
            <w:vAlign w:val="bottom"/>
          </w:tcPr>
          <w:p>
            <w:pPr>
              <w:jc w:val="right"/>
              <w:spacing w:after="0"/>
              <w:rPr>
                <w:sz w:val="20"/>
                <w:szCs w:val="20"/>
                <w:color w:val="auto"/>
              </w:rPr>
            </w:pPr>
            <w:r>
              <w:rPr>
                <w:rFonts w:ascii="Arial" w:cs="Arial" w:eastAsia="Arial" w:hAnsi="Arial"/>
                <w:sz w:val="16"/>
                <w:szCs w:val="16"/>
                <w:color w:val="0000FF"/>
              </w:rPr>
              <w:t>190,500</w:t>
            </w:r>
          </w:p>
        </w:tc>
        <w:tc>
          <w:tcPr>
            <w:tcW w:w="580" w:type="dxa"/>
            <w:vAlign w:val="bottom"/>
          </w:tcPr>
          <w:p>
            <w:pPr>
              <w:ind w:left="280"/>
              <w:spacing w:after="0"/>
              <w:rPr>
                <w:sz w:val="20"/>
                <w:szCs w:val="20"/>
                <w:color w:val="auto"/>
              </w:rPr>
            </w:pPr>
            <w:r>
              <w:rPr>
                <w:rFonts w:ascii="Arial" w:cs="Arial" w:eastAsia="Arial" w:hAnsi="Arial"/>
                <w:sz w:val="16"/>
                <w:szCs w:val="16"/>
                <w:color w:val="0000FF"/>
              </w:rPr>
              <w:t>A</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1.48</w:t>
            </w:r>
          </w:p>
        </w:tc>
        <w:tc>
          <w:tcPr>
            <w:tcW w:w="40" w:type="dxa"/>
            <w:vAlign w:val="bottom"/>
          </w:tcPr>
          <w:p>
            <w:pPr>
              <w:spacing w:after="0"/>
              <w:rPr>
                <w:sz w:val="22"/>
                <w:szCs w:val="22"/>
                <w:color w:val="auto"/>
              </w:rPr>
            </w:pPr>
          </w:p>
        </w:tc>
        <w:tc>
          <w:tcPr>
            <w:tcW w:w="1220" w:type="dxa"/>
            <w:vAlign w:val="bottom"/>
            <w:gridSpan w:val="3"/>
          </w:tcPr>
          <w:p>
            <w:pPr>
              <w:ind w:left="240"/>
              <w:spacing w:after="0"/>
              <w:rPr>
                <w:sz w:val="20"/>
                <w:szCs w:val="20"/>
                <w:color w:val="auto"/>
              </w:rPr>
            </w:pPr>
            <w:r>
              <w:rPr>
                <w:rFonts w:ascii="Arial" w:cs="Arial" w:eastAsia="Arial" w:hAnsi="Arial"/>
                <w:sz w:val="16"/>
                <w:szCs w:val="16"/>
                <w:color w:val="0000FF"/>
              </w:rPr>
              <w:t>16,539,864</w:t>
            </w:r>
          </w:p>
        </w:tc>
        <w:tc>
          <w:tcPr>
            <w:tcW w:w="340" w:type="dxa"/>
            <w:vAlign w:val="bottom"/>
          </w:tcPr>
          <w:p>
            <w:pPr>
              <w:spacing w:after="0"/>
              <w:rPr>
                <w:sz w:val="22"/>
                <w:szCs w:val="22"/>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0000FF"/>
              </w:rPr>
              <w:t>I</w:t>
            </w:r>
          </w:p>
        </w:tc>
        <w:tc>
          <w:tcPr>
            <w:tcW w:w="1240" w:type="dxa"/>
            <w:vAlign w:val="bottom"/>
            <w:gridSpan w:val="3"/>
          </w:tcPr>
          <w:p>
            <w:pPr>
              <w:ind w:left="80"/>
              <w:spacing w:after="0"/>
              <w:rPr>
                <w:sz w:val="20"/>
                <w:szCs w:val="20"/>
                <w:color w:val="auto"/>
              </w:rPr>
            </w:pPr>
            <w:r>
              <w:rPr>
                <w:rFonts w:ascii="Arial" w:cs="Arial" w:eastAsia="Arial" w:hAnsi="Arial"/>
                <w:sz w:val="16"/>
                <w:szCs w:val="16"/>
                <w:color w:val="0000FF"/>
                <w:w w:val="99"/>
              </w:rPr>
              <w:t>See footnotes</w:t>
            </w:r>
            <w:r>
              <w:rPr>
                <w:rFonts w:ascii="Arial" w:cs="Arial" w:eastAsia="Arial" w:hAnsi="Arial"/>
                <w:sz w:val="20"/>
                <w:szCs w:val="20"/>
                <w:color w:val="008000"/>
                <w:w w:val="99"/>
                <w:vertAlign w:val="superscript"/>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0"/>
                <w:szCs w:val="10"/>
                <w:color w:val="008000"/>
              </w:rPr>
              <w:t>(4)(5)(6)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7"/>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000" w:type="dxa"/>
            <w:vAlign w:val="bottom"/>
            <w:tcBorders>
              <w:top w:val="single" w:sz="8" w:color="2C2C2C"/>
            </w:tcBorders>
            <w:gridSpan w:val="20"/>
          </w:tcPr>
          <w:p>
            <w:pPr>
              <w:ind w:left="220"/>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gridSpan w:val="18"/>
          </w:tcPr>
          <w:p>
            <w:pPr>
              <w:ind w:left="5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3"/>
          </w:tcPr>
          <w:p>
            <w:pPr>
              <w:ind w:left="80"/>
              <w:spacing w:after="0"/>
              <w:rPr>
                <w:sz w:val="20"/>
                <w:szCs w:val="20"/>
                <w:color w:val="auto"/>
              </w:rPr>
            </w:pPr>
            <w:r>
              <w:rPr>
                <w:rFonts w:ascii="Arial" w:cs="Arial" w:eastAsia="Arial" w:hAnsi="Arial"/>
                <w:sz w:val="11"/>
                <w:szCs w:val="11"/>
                <w:b w:val="1"/>
                <w:bCs w:val="1"/>
                <w:color w:val="auto"/>
              </w:rPr>
              <w:t>3A. Deemed</w:t>
            </w:r>
          </w:p>
        </w:tc>
        <w:tc>
          <w:tcPr>
            <w:tcW w:w="2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4"/>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6"/>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8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11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of Securities</w:t>
            </w:r>
          </w:p>
        </w:tc>
        <w:tc>
          <w:tcPr>
            <w:tcW w:w="4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Ownership</w:t>
            </w:r>
          </w:p>
        </w:tc>
        <w:tc>
          <w:tcPr>
            <w:tcW w:w="9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6"/>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8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spacing w:after="0" w:line="123" w:lineRule="exact"/>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9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2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9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w w:val="99"/>
              </w:rPr>
              <w:t>Ownership (Instr.</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or Indirect</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40"/>
              <w:spacing w:after="0" w:line="123"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56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w:t>
            </w:r>
          </w:p>
        </w:tc>
        <w:tc>
          <w:tcPr>
            <w:tcW w:w="60" w:type="dxa"/>
            <w:vAlign w:val="bottom"/>
          </w:tcPr>
          <w:p>
            <w:pPr>
              <w:spacing w:after="0"/>
              <w:rPr>
                <w:sz w:val="12"/>
                <w:szCs w:val="12"/>
                <w:color w:val="auto"/>
              </w:rPr>
            </w:pPr>
          </w:p>
        </w:tc>
        <w:tc>
          <w:tcPr>
            <w:tcW w:w="380" w:type="dxa"/>
            <w:vAlign w:val="bottom"/>
            <w:gridSpan w:val="2"/>
          </w:tcPr>
          <w:p>
            <w:pPr>
              <w:ind w:left="60"/>
              <w:spacing w:after="0"/>
              <w:rPr>
                <w:sz w:val="20"/>
                <w:szCs w:val="20"/>
                <w:color w:val="auto"/>
              </w:rPr>
            </w:pPr>
            <w:r>
              <w:rPr>
                <w:rFonts w:ascii="Arial" w:cs="Arial" w:eastAsia="Arial" w:hAnsi="Arial"/>
                <w:sz w:val="11"/>
                <w:szCs w:val="11"/>
                <w:b w:val="1"/>
                <w:bCs w:val="1"/>
                <w:color w:val="auto"/>
              </w:rPr>
              <w:t>V</w:t>
            </w:r>
          </w:p>
        </w:tc>
        <w:tc>
          <w:tcPr>
            <w:tcW w:w="820" w:type="dxa"/>
            <w:vAlign w:val="bottom"/>
            <w:gridSpan w:val="4"/>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Warrants</w:t>
            </w: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0.17</w:t>
            </w:r>
          </w:p>
        </w:tc>
        <w:tc>
          <w:tcPr>
            <w:tcW w:w="120" w:type="dxa"/>
            <w:vAlign w:val="bottom"/>
          </w:tcPr>
          <w:p>
            <w:pPr>
              <w:spacing w:after="0"/>
              <w:rPr>
                <w:sz w:val="20"/>
                <w:szCs w:val="20"/>
                <w:color w:val="auto"/>
              </w:rPr>
            </w:pPr>
          </w:p>
        </w:tc>
        <w:tc>
          <w:tcPr>
            <w:tcW w:w="1020" w:type="dxa"/>
            <w:vAlign w:val="bottom"/>
            <w:vMerge w:val="restart"/>
          </w:tcPr>
          <w:p>
            <w:pPr>
              <w:ind w:left="240"/>
              <w:spacing w:after="0"/>
              <w:rPr>
                <w:sz w:val="20"/>
                <w:szCs w:val="20"/>
                <w:color w:val="auto"/>
              </w:rPr>
            </w:pPr>
            <w:r>
              <w:rPr>
                <w:rFonts w:ascii="Arial" w:cs="Arial" w:eastAsia="Arial" w:hAnsi="Arial"/>
                <w:sz w:val="12"/>
                <w:szCs w:val="12"/>
                <w:color w:val="0000FF"/>
              </w:rPr>
              <w:t>06/21/2021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gridSpan w:val="3"/>
            <w:vMerge w:val="restart"/>
          </w:tcPr>
          <w:p>
            <w:pPr>
              <w:ind w:left="100"/>
              <w:spacing w:after="0"/>
              <w:rPr>
                <w:sz w:val="20"/>
                <w:szCs w:val="20"/>
                <w:color w:val="auto"/>
              </w:rPr>
            </w:pPr>
            <w:r>
              <w:rPr>
                <w:rFonts w:ascii="Arial" w:cs="Arial" w:eastAsia="Arial" w:hAnsi="Arial"/>
                <w:sz w:val="24"/>
                <w:szCs w:val="24"/>
                <w:color w:val="0000FF"/>
                <w:vertAlign w:val="subscript"/>
              </w:rPr>
              <w:t>X</w:t>
            </w:r>
            <w:r>
              <w:rPr>
                <w:rFonts w:ascii="Arial" w:cs="Arial" w:eastAsia="Arial" w:hAnsi="Arial"/>
                <w:sz w:val="10"/>
                <w:szCs w:val="10"/>
                <w:color w:val="008000"/>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4"/>
            <w:vMerge w:val="restart"/>
          </w:tcPr>
          <w:p>
            <w:pPr>
              <w:jc w:val="right"/>
              <w:ind w:right="120"/>
              <w:spacing w:after="0"/>
              <w:rPr>
                <w:sz w:val="20"/>
                <w:szCs w:val="20"/>
                <w:color w:val="auto"/>
              </w:rPr>
            </w:pPr>
            <w:r>
              <w:rPr>
                <w:rFonts w:ascii="Arial" w:cs="Arial" w:eastAsia="Arial" w:hAnsi="Arial"/>
                <w:sz w:val="12"/>
                <w:szCs w:val="12"/>
                <w:color w:val="0000FF"/>
              </w:rPr>
              <w:t>75,000</w:t>
            </w: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(1)</w:t>
            </w:r>
          </w:p>
        </w:tc>
        <w:tc>
          <w:tcPr>
            <w:tcW w:w="580" w:type="dxa"/>
            <w:vAlign w:val="bottom"/>
          </w:tcPr>
          <w:p>
            <w:pPr>
              <w:jc w:val="center"/>
              <w:ind w:right="40"/>
              <w:spacing w:after="0"/>
              <w:rPr>
                <w:sz w:val="20"/>
                <w:szCs w:val="20"/>
                <w:color w:val="auto"/>
              </w:rPr>
            </w:pPr>
            <w:r>
              <w:rPr>
                <w:rFonts w:ascii="Arial" w:cs="Arial" w:eastAsia="Arial" w:hAnsi="Arial"/>
                <w:sz w:val="12"/>
                <w:szCs w:val="12"/>
                <w:color w:val="0000FF"/>
                <w:w w:val="93"/>
              </w:rPr>
              <w:t>Voting</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0000FF"/>
                <w:w w:val="98"/>
              </w:rPr>
              <w:t>75,000</w:t>
            </w:r>
          </w:p>
        </w:tc>
        <w:tc>
          <w:tcPr>
            <w:tcW w:w="40" w:type="dxa"/>
            <w:vAlign w:val="bottom"/>
          </w:tcPr>
          <w:p>
            <w:pPr>
              <w:spacing w:after="0"/>
              <w:rPr>
                <w:sz w:val="20"/>
                <w:szCs w:val="20"/>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80" w:type="dxa"/>
            <w:vAlign w:val="bottom"/>
            <w:vMerge w:val="restart"/>
          </w:tcPr>
          <w:p>
            <w:pPr>
              <w:ind w:left="380"/>
              <w:spacing w:after="0"/>
              <w:rPr>
                <w:sz w:val="20"/>
                <w:szCs w:val="20"/>
                <w:color w:val="auto"/>
              </w:rPr>
            </w:pPr>
            <w:r>
              <w:rPr>
                <w:rFonts w:ascii="Arial" w:cs="Arial" w:eastAsia="Arial" w:hAnsi="Arial"/>
                <w:sz w:val="12"/>
                <w:szCs w:val="12"/>
                <w:color w:val="0000FF"/>
              </w:rPr>
              <w:t>0</w:t>
            </w:r>
          </w:p>
        </w:tc>
        <w:tc>
          <w:tcPr>
            <w:tcW w:w="340" w:type="dxa"/>
            <w:vAlign w:val="bottom"/>
          </w:tcPr>
          <w:p>
            <w:pPr>
              <w:spacing w:after="0"/>
              <w:rPr>
                <w:sz w:val="20"/>
                <w:szCs w:val="20"/>
                <w:color w:val="auto"/>
              </w:rPr>
            </w:pP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2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color w:val="0000FF"/>
                <w:w w:val="84"/>
              </w:rPr>
              <w:t>See footnotes</w:t>
            </w:r>
            <w:r>
              <w:rPr>
                <w:rFonts w:ascii="Arial" w:cs="Arial" w:eastAsia="Arial" w:hAnsi="Arial"/>
                <w:sz w:val="20"/>
                <w:szCs w:val="20"/>
                <w:color w:val="008000"/>
                <w:w w:val="84"/>
                <w:vertAlign w:val="superscript"/>
              </w:rPr>
              <w:t>(3)(4)</w:t>
            </w: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tcPr>
          <w:p>
            <w:pPr>
              <w:spacing w:after="0" w:line="88" w:lineRule="exact"/>
              <w:rPr>
                <w:sz w:val="20"/>
                <w:szCs w:val="20"/>
                <w:color w:val="auto"/>
              </w:rPr>
            </w:pPr>
            <w:r>
              <w:rPr>
                <w:rFonts w:ascii="Arial" w:cs="Arial" w:eastAsia="Arial" w:hAnsi="Arial"/>
                <w:sz w:val="10"/>
                <w:szCs w:val="10"/>
                <w:color w:val="0000FF"/>
              </w:rPr>
              <w:t>Common</w:t>
            </w:r>
          </w:p>
        </w:tc>
        <w:tc>
          <w:tcPr>
            <w:tcW w:w="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ind w:left="60"/>
              <w:spacing w:after="0" w:line="88" w:lineRule="exact"/>
              <w:rPr>
                <w:sz w:val="20"/>
                <w:szCs w:val="20"/>
                <w:color w:val="auto"/>
              </w:rPr>
            </w:pPr>
            <w:r>
              <w:rPr>
                <w:rFonts w:ascii="Arial" w:cs="Arial" w:eastAsia="Arial" w:hAnsi="Arial"/>
                <w:sz w:val="10"/>
                <w:szCs w:val="10"/>
                <w:color w:val="008000"/>
              </w:rPr>
              <w:t>(5)(6)</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ind w:right="40"/>
              <w:spacing w:after="0"/>
              <w:rPr>
                <w:sz w:val="20"/>
                <w:szCs w:val="20"/>
                <w:color w:val="auto"/>
              </w:rPr>
            </w:pPr>
            <w:r>
              <w:rPr>
                <w:rFonts w:ascii="Arial" w:cs="Arial" w:eastAsia="Arial" w:hAnsi="Arial"/>
                <w:sz w:val="12"/>
                <w:szCs w:val="12"/>
                <w:color w:val="0000FF"/>
                <w:w w:val="93"/>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Warrants</w:t>
            </w: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1.48</w:t>
            </w:r>
          </w:p>
        </w:tc>
        <w:tc>
          <w:tcPr>
            <w:tcW w:w="120" w:type="dxa"/>
            <w:vAlign w:val="bottom"/>
          </w:tcPr>
          <w:p>
            <w:pPr>
              <w:spacing w:after="0"/>
              <w:rPr>
                <w:sz w:val="20"/>
                <w:szCs w:val="20"/>
                <w:color w:val="auto"/>
              </w:rPr>
            </w:pPr>
          </w:p>
        </w:tc>
        <w:tc>
          <w:tcPr>
            <w:tcW w:w="1020" w:type="dxa"/>
            <w:vAlign w:val="bottom"/>
            <w:vMerge w:val="restart"/>
          </w:tcPr>
          <w:p>
            <w:pPr>
              <w:ind w:left="240"/>
              <w:spacing w:after="0"/>
              <w:rPr>
                <w:sz w:val="20"/>
                <w:szCs w:val="20"/>
                <w:color w:val="auto"/>
              </w:rPr>
            </w:pPr>
            <w:r>
              <w:rPr>
                <w:rFonts w:ascii="Arial" w:cs="Arial" w:eastAsia="Arial" w:hAnsi="Arial"/>
                <w:sz w:val="12"/>
                <w:szCs w:val="12"/>
                <w:color w:val="0000FF"/>
              </w:rPr>
              <w:t>06/21/2021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gridSpan w:val="3"/>
            <w:vMerge w:val="restart"/>
          </w:tcPr>
          <w:p>
            <w:pPr>
              <w:ind w:left="100"/>
              <w:spacing w:after="0"/>
              <w:rPr>
                <w:sz w:val="20"/>
                <w:szCs w:val="20"/>
                <w:color w:val="auto"/>
              </w:rPr>
            </w:pPr>
            <w:r>
              <w:rPr>
                <w:rFonts w:ascii="Arial" w:cs="Arial" w:eastAsia="Arial" w:hAnsi="Arial"/>
                <w:sz w:val="24"/>
                <w:szCs w:val="24"/>
                <w:color w:val="0000FF"/>
                <w:vertAlign w:val="subscript"/>
              </w:rPr>
              <w:t>X</w:t>
            </w:r>
            <w:r>
              <w:rPr>
                <w:rFonts w:ascii="Arial" w:cs="Arial" w:eastAsia="Arial" w:hAnsi="Arial"/>
                <w:sz w:val="10"/>
                <w:szCs w:val="10"/>
                <w:color w:val="008000"/>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4"/>
            <w:vMerge w:val="restart"/>
          </w:tcPr>
          <w:p>
            <w:pPr>
              <w:jc w:val="right"/>
              <w:ind w:right="100"/>
              <w:spacing w:after="0"/>
              <w:rPr>
                <w:sz w:val="20"/>
                <w:szCs w:val="20"/>
                <w:color w:val="auto"/>
              </w:rPr>
            </w:pPr>
            <w:r>
              <w:rPr>
                <w:rFonts w:ascii="Arial" w:cs="Arial" w:eastAsia="Arial" w:hAnsi="Arial"/>
                <w:sz w:val="12"/>
                <w:szCs w:val="12"/>
                <w:color w:val="0000FF"/>
              </w:rPr>
              <w:t>190,500</w:t>
            </w: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(2)</w:t>
            </w:r>
          </w:p>
        </w:tc>
        <w:tc>
          <w:tcPr>
            <w:tcW w:w="720" w:type="dxa"/>
            <w:vAlign w:val="bottom"/>
            <w:vMerge w:val="restart"/>
          </w:tcPr>
          <w:p>
            <w:pPr>
              <w:jc w:val="center"/>
              <w:ind w:right="20"/>
              <w:spacing w:after="0"/>
              <w:rPr>
                <w:sz w:val="20"/>
                <w:szCs w:val="20"/>
                <w:color w:val="auto"/>
              </w:rPr>
            </w:pPr>
            <w:r>
              <w:rPr>
                <w:rFonts w:ascii="Arial" w:cs="Arial" w:eastAsia="Arial" w:hAnsi="Arial"/>
                <w:sz w:val="10"/>
                <w:szCs w:val="10"/>
                <w:color w:val="008000"/>
                <w:w w:val="97"/>
              </w:rPr>
              <w:t>(2)</w:t>
            </w:r>
          </w:p>
        </w:tc>
        <w:tc>
          <w:tcPr>
            <w:tcW w:w="580" w:type="dxa"/>
            <w:vAlign w:val="bottom"/>
          </w:tcPr>
          <w:p>
            <w:pPr>
              <w:jc w:val="center"/>
              <w:ind w:right="40"/>
              <w:spacing w:after="0"/>
              <w:rPr>
                <w:sz w:val="20"/>
                <w:szCs w:val="20"/>
                <w:color w:val="auto"/>
              </w:rPr>
            </w:pPr>
            <w:r>
              <w:rPr>
                <w:rFonts w:ascii="Arial" w:cs="Arial" w:eastAsia="Arial" w:hAnsi="Arial"/>
                <w:sz w:val="12"/>
                <w:szCs w:val="12"/>
                <w:color w:val="0000FF"/>
                <w:w w:val="93"/>
              </w:rPr>
              <w:t>Voting</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0000FF"/>
                <w:w w:val="89"/>
              </w:rPr>
              <w:t>190,500</w:t>
            </w:r>
          </w:p>
        </w:tc>
        <w:tc>
          <w:tcPr>
            <w:tcW w:w="74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80" w:type="dxa"/>
            <w:vAlign w:val="bottom"/>
            <w:vMerge w:val="restart"/>
          </w:tcPr>
          <w:p>
            <w:pPr>
              <w:ind w:left="380"/>
              <w:spacing w:after="0"/>
              <w:rPr>
                <w:sz w:val="20"/>
                <w:szCs w:val="20"/>
                <w:color w:val="auto"/>
              </w:rPr>
            </w:pPr>
            <w:r>
              <w:rPr>
                <w:rFonts w:ascii="Arial" w:cs="Arial" w:eastAsia="Arial" w:hAnsi="Arial"/>
                <w:sz w:val="12"/>
                <w:szCs w:val="12"/>
                <w:color w:val="0000FF"/>
              </w:rPr>
              <w:t>0</w:t>
            </w:r>
          </w:p>
        </w:tc>
        <w:tc>
          <w:tcPr>
            <w:tcW w:w="340" w:type="dxa"/>
            <w:vAlign w:val="bottom"/>
          </w:tcPr>
          <w:p>
            <w:pPr>
              <w:spacing w:after="0"/>
              <w:rPr>
                <w:sz w:val="20"/>
                <w:szCs w:val="20"/>
                <w:color w:val="auto"/>
              </w:rPr>
            </w:pP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26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color w:val="0000FF"/>
                <w:w w:val="84"/>
              </w:rPr>
              <w:t>See footnotes</w:t>
            </w:r>
            <w:r>
              <w:rPr>
                <w:rFonts w:ascii="Arial" w:cs="Arial" w:eastAsia="Arial" w:hAnsi="Arial"/>
                <w:sz w:val="20"/>
                <w:szCs w:val="20"/>
                <w:color w:val="008000"/>
                <w:w w:val="84"/>
                <w:vertAlign w:val="superscript"/>
              </w:rPr>
              <w:t>(3)(4)</w:t>
            </w: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tcPr>
          <w:p>
            <w:pPr>
              <w:spacing w:after="0" w:line="88" w:lineRule="exact"/>
              <w:rPr>
                <w:sz w:val="20"/>
                <w:szCs w:val="20"/>
                <w:color w:val="auto"/>
              </w:rPr>
            </w:pPr>
            <w:r>
              <w:rPr>
                <w:rFonts w:ascii="Arial" w:cs="Arial" w:eastAsia="Arial" w:hAnsi="Arial"/>
                <w:sz w:val="10"/>
                <w:szCs w:val="10"/>
                <w:color w:val="0000FF"/>
              </w:rPr>
              <w:t>Common</w:t>
            </w:r>
          </w:p>
        </w:tc>
        <w:tc>
          <w:tcPr>
            <w:tcW w:w="56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ind w:left="60"/>
              <w:spacing w:after="0" w:line="88" w:lineRule="exact"/>
              <w:rPr>
                <w:sz w:val="20"/>
                <w:szCs w:val="20"/>
                <w:color w:val="auto"/>
              </w:rPr>
            </w:pPr>
            <w:r>
              <w:rPr>
                <w:rFonts w:ascii="Arial" w:cs="Arial" w:eastAsia="Arial" w:hAnsi="Arial"/>
                <w:sz w:val="10"/>
                <w:szCs w:val="10"/>
                <w:color w:val="008000"/>
              </w:rPr>
              <w:t>(5)(6)</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ind w:right="40"/>
              <w:spacing w:after="0"/>
              <w:rPr>
                <w:sz w:val="20"/>
                <w:szCs w:val="20"/>
                <w:color w:val="auto"/>
              </w:rPr>
            </w:pPr>
            <w:r>
              <w:rPr>
                <w:rFonts w:ascii="Arial" w:cs="Arial" w:eastAsia="Arial" w:hAnsi="Arial"/>
                <w:sz w:val="12"/>
                <w:szCs w:val="12"/>
                <w:color w:val="0000FF"/>
                <w:w w:val="93"/>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gridSpan w:val="4"/>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420" w:type="dxa"/>
            <w:vAlign w:val="bottom"/>
            <w:tcBorders>
              <w:top w:val="single" w:sz="8" w:color="2C2C2C"/>
            </w:tcBorders>
            <w:gridSpan w:val="6"/>
          </w:tcPr>
          <w:p>
            <w:pPr>
              <w:ind w:left="60"/>
              <w:spacing w:after="0" w:line="224"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gridSpan w:val="14"/>
          </w:tcPr>
          <w:p>
            <w:pPr>
              <w:spacing w:after="0" w:line="204" w:lineRule="exact"/>
              <w:rPr>
                <w:rFonts w:ascii="Arial" w:cs="Arial" w:eastAsia="Arial" w:hAnsi="Arial"/>
                <w:sz w:val="20"/>
                <w:szCs w:val="20"/>
                <w:color w:val="0000EE"/>
              </w:rPr>
            </w:pPr>
            <w:hyperlink r:id="rId12">
              <w:r>
                <w:rPr>
                  <w:rFonts w:ascii="Arial" w:cs="Arial" w:eastAsia="Arial" w:hAnsi="Arial"/>
                  <w:sz w:val="20"/>
                  <w:szCs w:val="20"/>
                  <w:color w:val="0000EE"/>
                </w:rPr>
                <w:t>BAIN CAPITAL VENTURE INVESTORS, LLC</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Arial" w:cs="Arial" w:eastAsia="Arial" w:hAnsi="Arial"/>
                <w:sz w:val="12"/>
                <w:szCs w:val="12"/>
                <w:color w:val="auto"/>
              </w:rPr>
              <w:t>(First)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5"/>
          </w:tcPr>
          <w:p>
            <w:pPr>
              <w:spacing w:after="0"/>
              <w:rPr>
                <w:sz w:val="20"/>
                <w:szCs w:val="20"/>
                <w:color w:val="auto"/>
              </w:rPr>
            </w:pPr>
            <w:r>
              <w:rPr>
                <w:rFonts w:ascii="Arial" w:cs="Arial" w:eastAsia="Arial" w:hAnsi="Arial"/>
                <w:sz w:val="16"/>
                <w:szCs w:val="16"/>
                <w:color w:val="0000FF"/>
              </w:rPr>
              <w:t>200 CLARENDON STREET</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BOSTON</w:t>
            </w:r>
          </w:p>
        </w:tc>
        <w:tc>
          <w:tcPr>
            <w:tcW w:w="120" w:type="dxa"/>
            <w:vAlign w:val="bottom"/>
          </w:tcPr>
          <w:p>
            <w:pPr>
              <w:spacing w:after="0"/>
              <w:rPr>
                <w:sz w:val="19"/>
                <w:szCs w:val="19"/>
                <w:color w:val="auto"/>
              </w:rPr>
            </w:pPr>
          </w:p>
        </w:tc>
        <w:tc>
          <w:tcPr>
            <w:tcW w:w="1020" w:type="dxa"/>
            <w:vAlign w:val="bottom"/>
          </w:tcPr>
          <w:p>
            <w:pPr>
              <w:ind w:left="100"/>
              <w:spacing w:after="0"/>
              <w:rPr>
                <w:sz w:val="20"/>
                <w:szCs w:val="20"/>
                <w:color w:val="auto"/>
              </w:rPr>
            </w:pPr>
            <w:r>
              <w:rPr>
                <w:rFonts w:ascii="Arial" w:cs="Arial" w:eastAsia="Arial" w:hAnsi="Arial"/>
                <w:sz w:val="16"/>
                <w:szCs w:val="16"/>
                <w:color w:val="0000FF"/>
              </w:rPr>
              <w:t>MA</w:t>
            </w:r>
          </w:p>
        </w:tc>
        <w:tc>
          <w:tcPr>
            <w:tcW w:w="1040" w:type="dxa"/>
            <w:vAlign w:val="bottom"/>
            <w:gridSpan w:val="3"/>
          </w:tcPr>
          <w:p>
            <w:pPr>
              <w:ind w:left="480"/>
              <w:spacing w:after="0"/>
              <w:rPr>
                <w:sz w:val="20"/>
                <w:szCs w:val="20"/>
                <w:color w:val="auto"/>
              </w:rPr>
            </w:pPr>
            <w:r>
              <w:rPr>
                <w:rFonts w:ascii="Arial" w:cs="Arial" w:eastAsia="Arial" w:hAnsi="Arial"/>
                <w:sz w:val="16"/>
                <w:szCs w:val="16"/>
                <w:color w:val="0000FF"/>
              </w:rPr>
              <w:t>02116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Arial" w:cs="Arial" w:eastAsia="Arial" w:hAnsi="Arial"/>
                <w:sz w:val="12"/>
                <w:szCs w:val="12"/>
                <w:color w:val="auto"/>
              </w:rPr>
              <w:t>(State)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gridSpan w:val="4"/>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gridSpan w:val="8"/>
          </w:tcPr>
          <w:p>
            <w:pPr>
              <w:spacing w:after="0" w:line="204" w:lineRule="exact"/>
              <w:rPr>
                <w:rFonts w:ascii="Arial" w:cs="Arial" w:eastAsia="Arial" w:hAnsi="Arial"/>
                <w:sz w:val="20"/>
                <w:szCs w:val="20"/>
                <w:color w:val="0000EE"/>
              </w:rPr>
            </w:pPr>
            <w:hyperlink r:id="rId14">
              <w:r>
                <w:rPr>
                  <w:rFonts w:ascii="Arial" w:cs="Arial" w:eastAsia="Arial" w:hAnsi="Arial"/>
                  <w:sz w:val="20"/>
                  <w:szCs w:val="20"/>
                  <w:color w:val="0000EE"/>
                </w:rPr>
                <w:t>BCIP Venture Associates II, L.P.</w:t>
              </w:r>
            </w:hyperlink>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Arial" w:cs="Arial" w:eastAsia="Arial" w:hAnsi="Arial"/>
                <w:sz w:val="12"/>
                <w:szCs w:val="12"/>
                <w:color w:val="auto"/>
              </w:rPr>
              <w:t>(First)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40" w:type="dxa"/>
            <w:vAlign w:val="bottom"/>
            <w:gridSpan w:val="5"/>
          </w:tcPr>
          <w:p>
            <w:pPr>
              <w:spacing w:after="0"/>
              <w:rPr>
                <w:sz w:val="20"/>
                <w:szCs w:val="20"/>
                <w:color w:val="auto"/>
              </w:rPr>
            </w:pPr>
            <w:r>
              <w:rPr>
                <w:rFonts w:ascii="Arial" w:cs="Arial" w:eastAsia="Arial" w:hAnsi="Arial"/>
                <w:sz w:val="16"/>
                <w:szCs w:val="16"/>
                <w:color w:val="0000FF"/>
              </w:rPr>
              <w:t>200 CLARENDON STREET</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BOSTON</w:t>
            </w:r>
          </w:p>
        </w:tc>
        <w:tc>
          <w:tcPr>
            <w:tcW w:w="120" w:type="dxa"/>
            <w:vAlign w:val="bottom"/>
          </w:tcPr>
          <w:p>
            <w:pPr>
              <w:spacing w:after="0"/>
              <w:rPr>
                <w:sz w:val="19"/>
                <w:szCs w:val="19"/>
                <w:color w:val="auto"/>
              </w:rPr>
            </w:pPr>
          </w:p>
        </w:tc>
        <w:tc>
          <w:tcPr>
            <w:tcW w:w="1020" w:type="dxa"/>
            <w:vAlign w:val="bottom"/>
          </w:tcPr>
          <w:p>
            <w:pPr>
              <w:ind w:left="100"/>
              <w:spacing w:after="0"/>
              <w:rPr>
                <w:sz w:val="20"/>
                <w:szCs w:val="20"/>
                <w:color w:val="auto"/>
              </w:rPr>
            </w:pPr>
            <w:r>
              <w:rPr>
                <w:rFonts w:ascii="Arial" w:cs="Arial" w:eastAsia="Arial" w:hAnsi="Arial"/>
                <w:sz w:val="16"/>
                <w:szCs w:val="16"/>
                <w:color w:val="0000FF"/>
              </w:rPr>
              <w:t>MA</w:t>
            </w:r>
          </w:p>
        </w:tc>
        <w:tc>
          <w:tcPr>
            <w:tcW w:w="1040" w:type="dxa"/>
            <w:vAlign w:val="bottom"/>
            <w:gridSpan w:val="3"/>
          </w:tcPr>
          <w:p>
            <w:pPr>
              <w:ind w:left="480"/>
              <w:spacing w:after="0"/>
              <w:rPr>
                <w:sz w:val="20"/>
                <w:szCs w:val="20"/>
                <w:color w:val="auto"/>
              </w:rPr>
            </w:pPr>
            <w:r>
              <w:rPr>
                <w:rFonts w:ascii="Arial" w:cs="Arial" w:eastAsia="Arial" w:hAnsi="Arial"/>
                <w:sz w:val="16"/>
                <w:szCs w:val="16"/>
                <w:color w:val="0000FF"/>
              </w:rPr>
              <w:t>02116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Arial" w:cs="Arial" w:eastAsia="Arial" w:hAnsi="Arial"/>
                <w:sz w:val="12"/>
                <w:szCs w:val="12"/>
                <w:color w:val="auto"/>
              </w:rPr>
              <w:t>(State)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gridSpan w:val="4"/>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gridSpan w:val="8"/>
          </w:tcPr>
          <w:p>
            <w:pPr>
              <w:spacing w:after="0" w:line="204" w:lineRule="exact"/>
              <w:rPr>
                <w:rFonts w:ascii="Arial" w:cs="Arial" w:eastAsia="Arial" w:hAnsi="Arial"/>
                <w:sz w:val="20"/>
                <w:szCs w:val="20"/>
                <w:color w:val="0000EE"/>
              </w:rPr>
            </w:pPr>
            <w:hyperlink r:id="rId15">
              <w:r>
                <w:rPr>
                  <w:rFonts w:ascii="Arial" w:cs="Arial" w:eastAsia="Arial" w:hAnsi="Arial"/>
                  <w:sz w:val="20"/>
                  <w:szCs w:val="20"/>
                  <w:color w:val="0000EE"/>
                </w:rPr>
                <w:t>BCIP Venture Associates II-B, LP</w:t>
              </w:r>
            </w:hyperlink>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Arial" w:cs="Arial" w:eastAsia="Arial" w:hAnsi="Arial"/>
                <w:sz w:val="12"/>
                <w:szCs w:val="12"/>
                <w:color w:val="auto"/>
              </w:rPr>
              <w:t>(First)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-5672455</wp:posOffset>
            </wp:positionV>
            <wp:extent cx="28575" cy="202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2026920"/>
                    </a:xfrm>
                    <a:prstGeom prst="rect">
                      <a:avLst/>
                    </a:prstGeom>
                    <a:noFill/>
                  </pic:spPr>
                </pic:pic>
              </a:graphicData>
            </a:graphic>
          </wp:anchor>
        </w:drawing>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200 CLARENDON STREET</w:t>
      </w:r>
    </w:p>
    <w:p>
      <w:pPr>
        <w:spacing w:after="0" w:line="329"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9" w:right="359" w:bottom="0" w:gutter="0" w:footer="0" w:header="0"/>
          <w:type w:val="continuous"/>
        </w:sectPr>
      </w:pPr>
    </w:p>
    <w:p>
      <w:pPr>
        <w:spacing w:after="0" w:line="26"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6"/>
          <w:szCs w:val="16"/>
          <w:color w:val="0000FF"/>
        </w:rPr>
        <w:t>BOSTON</w:t>
      </w:r>
      <w:r>
        <w:rPr>
          <w:sz w:val="20"/>
          <w:szCs w:val="20"/>
          <w:color w:val="auto"/>
        </w:rPr>
        <w:tab/>
      </w:r>
      <w:r>
        <w:rPr>
          <w:rFonts w:ascii="Arial" w:cs="Arial" w:eastAsia="Arial" w:hAnsi="Arial"/>
          <w:sz w:val="16"/>
          <w:szCs w:val="16"/>
          <w:color w:val="0000FF"/>
        </w:rPr>
        <w:t>MA</w:t>
      </w:r>
      <w:r>
        <w:rPr>
          <w:sz w:val="20"/>
          <w:szCs w:val="20"/>
          <w:color w:val="auto"/>
        </w:rPr>
        <w:tab/>
      </w:r>
      <w:r>
        <w:rPr>
          <w:rFonts w:ascii="Arial" w:cs="Arial" w:eastAsia="Arial" w:hAnsi="Arial"/>
          <w:sz w:val="14"/>
          <w:szCs w:val="14"/>
          <w:color w:val="0000FF"/>
        </w:rPr>
        <w:t>02116</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7"/>
        </w:trPr>
        <w:tc>
          <w:tcPr>
            <w:tcW w:w="80" w:type="dxa"/>
            <w:vAlign w:val="bottom"/>
          </w:tcPr>
          <w:p>
            <w:pPr>
              <w:spacing w:after="0"/>
              <w:rPr>
                <w:sz w:val="12"/>
                <w:szCs w:val="12"/>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200" w:type="dxa"/>
            <w:vAlign w:val="bottom"/>
          </w:tcPr>
          <w:p>
            <w:pPr>
              <w:ind w:left="4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6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4"/>
        </w:trPr>
        <w:tc>
          <w:tcPr>
            <w:tcW w:w="80" w:type="dxa"/>
            <w:vAlign w:val="bottom"/>
          </w:tcPr>
          <w:p>
            <w:pPr>
              <w:spacing w:after="0"/>
              <w:rPr>
                <w:sz w:val="17"/>
                <w:szCs w:val="17"/>
                <w:color w:val="auto"/>
              </w:rPr>
            </w:pPr>
          </w:p>
        </w:tc>
        <w:tc>
          <w:tcPr>
            <w:tcW w:w="1380" w:type="dxa"/>
            <w:vAlign w:val="bottom"/>
            <w:gridSpan w:val="2"/>
          </w:tcPr>
          <w:p>
            <w:pPr>
              <w:spacing w:after="0" w:line="204" w:lineRule="exact"/>
              <w:rPr>
                <w:rFonts w:ascii="Arial" w:cs="Arial" w:eastAsia="Arial" w:hAnsi="Arial"/>
                <w:sz w:val="20"/>
                <w:szCs w:val="20"/>
                <w:color w:val="0000EE"/>
                <w:w w:val="91"/>
              </w:rPr>
            </w:pPr>
            <w:hyperlink r:id="rId17">
              <w:r>
                <w:rPr>
                  <w:rFonts w:ascii="Arial" w:cs="Arial" w:eastAsia="Arial" w:hAnsi="Arial"/>
                  <w:sz w:val="20"/>
                  <w:szCs w:val="20"/>
                  <w:color w:val="0000EE"/>
                  <w:w w:val="91"/>
                </w:rPr>
                <w:t>Salem Enrique T</w:t>
              </w:r>
            </w:hyperlink>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7"/>
        </w:trPr>
        <w:tc>
          <w:tcPr>
            <w:tcW w:w="80" w:type="dxa"/>
            <w:vAlign w:val="bottom"/>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2"/>
        </w:trPr>
        <w:tc>
          <w:tcPr>
            <w:tcW w:w="8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200" w:type="dxa"/>
            <w:vAlign w:val="bottom"/>
          </w:tcPr>
          <w:p>
            <w:pPr>
              <w:ind w:left="4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bl>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08605" cy="3569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8605" cy="3569970"/>
                    </a:xfrm>
                    <a:prstGeom prst="rect">
                      <a:avLst/>
                    </a:prstGeom>
                    <a:noFill/>
                  </pic:spPr>
                </pic:pic>
              </a:graphicData>
            </a:graphic>
          </wp:anchor>
        </w:drawing>
      </w:r>
    </w:p>
    <w:p>
      <w:pPr>
        <w:ind w:left="80"/>
        <w:spacing w:after="0"/>
        <w:rPr>
          <w:sz w:val="20"/>
          <w:szCs w:val="20"/>
          <w:color w:val="auto"/>
        </w:rPr>
      </w:pPr>
      <w:r>
        <w:rPr>
          <w:rFonts w:ascii="Arial" w:cs="Arial" w:eastAsia="Arial" w:hAnsi="Arial"/>
          <w:sz w:val="16"/>
          <w:szCs w:val="16"/>
          <w:color w:val="0000FF"/>
        </w:rPr>
        <w:t>C/O BAIN CAPITAL VENTURE INVESTORS</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6"/>
          <w:szCs w:val="16"/>
          <w:color w:val="0000FF"/>
        </w:rPr>
        <w:t>200 CLARENDON STREET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3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1"/>
        </w:trPr>
        <w:tc>
          <w:tcPr>
            <w:tcW w:w="8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BOSTON</w:t>
            </w:r>
          </w:p>
        </w:tc>
        <w:tc>
          <w:tcPr>
            <w:tcW w:w="1320" w:type="dxa"/>
            <w:vAlign w:val="bottom"/>
          </w:tcPr>
          <w:p>
            <w:pPr>
              <w:ind w:left="160"/>
              <w:spacing w:after="0"/>
              <w:rPr>
                <w:sz w:val="20"/>
                <w:szCs w:val="20"/>
                <w:color w:val="auto"/>
              </w:rPr>
            </w:pPr>
            <w:r>
              <w:rPr>
                <w:rFonts w:ascii="Arial" w:cs="Arial" w:eastAsia="Arial" w:hAnsi="Arial"/>
                <w:sz w:val="16"/>
                <w:szCs w:val="16"/>
                <w:color w:val="0000FF"/>
              </w:rPr>
              <w:t>MA</w:t>
            </w:r>
          </w:p>
        </w:tc>
        <w:tc>
          <w:tcPr>
            <w:tcW w:w="1600" w:type="dxa"/>
            <w:vAlign w:val="bottom"/>
          </w:tcPr>
          <w:p>
            <w:pPr>
              <w:ind w:left="240"/>
              <w:spacing w:after="0"/>
              <w:rPr>
                <w:sz w:val="20"/>
                <w:szCs w:val="20"/>
                <w:color w:val="auto"/>
              </w:rPr>
            </w:pPr>
            <w:r>
              <w:rPr>
                <w:rFonts w:ascii="Arial" w:cs="Arial" w:eastAsia="Arial" w:hAnsi="Arial"/>
                <w:sz w:val="16"/>
                <w:szCs w:val="16"/>
                <w:color w:val="0000FF"/>
              </w:rPr>
              <w:t>02116</w:t>
            </w:r>
          </w:p>
        </w:tc>
        <w:tc>
          <w:tcPr>
            <w:tcW w:w="80" w:type="dxa"/>
            <w:vAlign w:val="bottom"/>
          </w:tcPr>
          <w:p>
            <w:pPr>
              <w:spacing w:after="0"/>
              <w:rPr>
                <w:sz w:val="19"/>
                <w:szCs w:val="19"/>
                <w:color w:val="auto"/>
              </w:rPr>
            </w:pPr>
          </w:p>
        </w:tc>
      </w:tr>
      <w:tr>
        <w:trPr>
          <w:trHeight w:val="141"/>
        </w:trPr>
        <w:tc>
          <w:tcPr>
            <w:tcW w:w="8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2"/>
        </w:trPr>
        <w:tc>
          <w:tcPr>
            <w:tcW w:w="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20" w:type="dxa"/>
            <w:vAlign w:val="bottom"/>
          </w:tcPr>
          <w:p>
            <w:pPr>
              <w:ind w:left="16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9"/>
        </w:trPr>
        <w:tc>
          <w:tcPr>
            <w:tcW w:w="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2"/>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6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4"/>
        </w:trPr>
        <w:tc>
          <w:tcPr>
            <w:tcW w:w="80" w:type="dxa"/>
            <w:vAlign w:val="bottom"/>
          </w:tcPr>
          <w:p>
            <w:pPr>
              <w:spacing w:after="0"/>
              <w:rPr>
                <w:sz w:val="17"/>
                <w:szCs w:val="17"/>
                <w:color w:val="auto"/>
              </w:rPr>
            </w:pPr>
          </w:p>
        </w:tc>
        <w:tc>
          <w:tcPr>
            <w:tcW w:w="1260" w:type="dxa"/>
            <w:vAlign w:val="bottom"/>
            <w:gridSpan w:val="2"/>
          </w:tcPr>
          <w:p>
            <w:pPr>
              <w:spacing w:after="0" w:line="204" w:lineRule="exact"/>
              <w:rPr>
                <w:rFonts w:ascii="Arial" w:cs="Arial" w:eastAsia="Arial" w:hAnsi="Arial"/>
                <w:sz w:val="20"/>
                <w:szCs w:val="20"/>
                <w:color w:val="0000EE"/>
              </w:rPr>
            </w:pPr>
            <w:hyperlink r:id="rId19">
              <w:r>
                <w:rPr>
                  <w:rFonts w:ascii="Arial" w:cs="Arial" w:eastAsia="Arial" w:hAnsi="Arial"/>
                  <w:sz w:val="20"/>
                  <w:szCs w:val="20"/>
                  <w:color w:val="0000EE"/>
                </w:rPr>
                <w:t>Agarwal Ajay</w:t>
              </w:r>
            </w:hyperlink>
          </w:p>
        </w:tc>
        <w:tc>
          <w:tcPr>
            <w:tcW w:w="1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7"/>
        </w:trPr>
        <w:tc>
          <w:tcPr>
            <w:tcW w:w="80" w:type="dxa"/>
            <w:vAlign w:val="bottom"/>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2"/>
        </w:trPr>
        <w:tc>
          <w:tcPr>
            <w:tcW w:w="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20" w:type="dxa"/>
            <w:vAlign w:val="bottom"/>
          </w:tcPr>
          <w:p>
            <w:pPr>
              <w:ind w:left="16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bl>
    <w:p>
      <w:pPr>
        <w:spacing w:after="0" w:line="54" w:lineRule="exact"/>
        <w:rPr>
          <w:sz w:val="20"/>
          <w:szCs w:val="20"/>
          <w:color w:val="auto"/>
        </w:rPr>
      </w:pPr>
    </w:p>
    <w:p>
      <w:pPr>
        <w:ind w:left="80"/>
        <w:spacing w:after="0"/>
        <w:rPr>
          <w:sz w:val="20"/>
          <w:szCs w:val="20"/>
          <w:color w:val="auto"/>
        </w:rPr>
      </w:pPr>
      <w:r>
        <w:rPr>
          <w:rFonts w:ascii="Arial" w:cs="Arial" w:eastAsia="Arial" w:hAnsi="Arial"/>
          <w:sz w:val="16"/>
          <w:szCs w:val="16"/>
          <w:color w:val="0000FF"/>
        </w:rPr>
        <w:t>C/O BAIN CAPITAL VENTURE INVESTORS</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6"/>
          <w:szCs w:val="16"/>
          <w:color w:val="0000FF"/>
        </w:rPr>
        <w:t>200 CLARENDON STREET</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47"/>
        </w:trPr>
        <w:tc>
          <w:tcPr>
            <w:tcW w:w="10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221"/>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6"/>
                <w:szCs w:val="16"/>
                <w:color w:val="0000FF"/>
              </w:rPr>
              <w:t>BOSTON</w:t>
            </w:r>
          </w:p>
        </w:tc>
        <w:tc>
          <w:tcPr>
            <w:tcW w:w="1280" w:type="dxa"/>
            <w:vAlign w:val="bottom"/>
          </w:tcPr>
          <w:p>
            <w:pPr>
              <w:ind w:left="400"/>
              <w:spacing w:after="0"/>
              <w:rPr>
                <w:sz w:val="20"/>
                <w:szCs w:val="20"/>
                <w:color w:val="auto"/>
              </w:rPr>
            </w:pPr>
            <w:r>
              <w:rPr>
                <w:rFonts w:ascii="Arial" w:cs="Arial" w:eastAsia="Arial" w:hAnsi="Arial"/>
                <w:sz w:val="16"/>
                <w:szCs w:val="16"/>
                <w:color w:val="0000FF"/>
              </w:rPr>
              <w:t>MA</w:t>
            </w:r>
          </w:p>
        </w:tc>
        <w:tc>
          <w:tcPr>
            <w:tcW w:w="1880" w:type="dxa"/>
            <w:vAlign w:val="bottom"/>
          </w:tcPr>
          <w:p>
            <w:pPr>
              <w:ind w:left="520"/>
              <w:spacing w:after="0"/>
              <w:rPr>
                <w:sz w:val="20"/>
                <w:szCs w:val="20"/>
                <w:color w:val="auto"/>
              </w:rPr>
            </w:pPr>
            <w:r>
              <w:rPr>
                <w:rFonts w:ascii="Arial" w:cs="Arial" w:eastAsia="Arial" w:hAnsi="Arial"/>
                <w:sz w:val="16"/>
                <w:szCs w:val="16"/>
                <w:color w:val="0000FF"/>
              </w:rPr>
              <w:t>02116</w:t>
            </w:r>
          </w:p>
        </w:tc>
      </w:tr>
      <w:tr>
        <w:trPr>
          <w:trHeight w:val="141"/>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tcPr>
          <w:p>
            <w:pPr>
              <w:ind w:left="4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2" w:lineRule="exact"/>
        <w:rPr>
          <w:sz w:val="20"/>
          <w:szCs w:val="20"/>
          <w:color w:val="auto"/>
        </w:rPr>
      </w:pPr>
    </w:p>
    <w:p>
      <w:pPr>
        <w:ind w:left="20" w:right="120" w:hanging="5"/>
        <w:spacing w:after="0" w:line="250"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warrant was exercisable by the holder in whole or in part at any time and from time to time on or before August 22, 2022. On June 21, 2021, each of Bain Capital Venture Fund 2016, L.P. ("Venture Fund 2016"), BCIP Venture Associates II, LP ("BCIP Venture II") and BCIP Venture Associates II-B, LP ("BCIP Venture II-B") exercised warrants to purchase 67,668, 6,768 and 564 shares of the Issuer's Voting Common Stock, respectively.</w:t>
      </w:r>
    </w:p>
    <w:p>
      <w:pPr>
        <w:spacing w:after="0" w:line="24" w:lineRule="exact"/>
        <w:rPr>
          <w:rFonts w:ascii="Arial" w:cs="Arial" w:eastAsia="Arial" w:hAnsi="Arial"/>
          <w:sz w:val="12"/>
          <w:szCs w:val="12"/>
          <w:color w:val="008000"/>
        </w:rPr>
      </w:pPr>
    </w:p>
    <w:p>
      <w:pPr>
        <w:ind w:left="20" w:right="160" w:hanging="5"/>
        <w:spacing w:after="0" w:line="303" w:lineRule="auto"/>
        <w:tabs>
          <w:tab w:leader="none" w:pos="14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warrant was exercisable by the holder in whole or in part at any time and from time to time on or before January 15, 2025. On June 21, 2021, each of Venture Fund 2016, BCIP Venture II and BCIP Venture II-B exercised warrants to purchase 171,882, 17,187 and 1,431 shares of the Issuer's Voting Common Stock, respectively (together with the transaction described in footnote 1 above, the "Warrant Exercises").</w:t>
      </w:r>
    </w:p>
    <w:p>
      <w:pPr>
        <w:ind w:left="20" w:right="100" w:hanging="5"/>
        <w:spacing w:after="0" w:line="243"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13,573,035 shares of the Issuer's Voting Common Stock held directly by Bain Capital Venture Fund 2014, L.P. ("Venture Fund 2014"), 904,821 shares of the Issuer's Voting Common Stock held directly by Venture Fund 2016, 1,383,753 shares of the Issuer's Voting Common Stock held directly by BCIP Venture Associates ("BCIP Venture"), 93,096 shares of the Issuer's Voting Common Stock held directly by BCIP Venture Associates-B ("BCIP Venture-B"), 134,475 shares of the Issuer's Voting Common Stock held directly by BCIP Venture II, 10,140 shares of the Issuer's Voting Common Stock held directly by BCIP Venture II-B, 423,600 shares of the Issuer's Voting Common Stock held directly by Bain Capital Venture Coinvestment Fund II, L.P. ("Venture Coinvestment Fund II") and 16,944 shares of the Issuer's Voting Common Stock held directly by BCV 2019-MD Coinvestment II, L.P. ("2019-MD Coinvestment II" and,</w:t>
      </w:r>
    </w:p>
    <w:p>
      <w:pPr>
        <w:spacing w:after="0" w:line="27" w:lineRule="exact"/>
        <w:rPr>
          <w:rFonts w:ascii="Arial" w:cs="Arial" w:eastAsia="Arial" w:hAnsi="Arial"/>
          <w:sz w:val="12"/>
          <w:szCs w:val="12"/>
          <w:color w:val="008000"/>
        </w:rPr>
      </w:pPr>
    </w:p>
    <w:p>
      <w:pPr>
        <w:ind w:left="20" w:right="200" w:hanging="5"/>
        <w:spacing w:after="0" w:line="266"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3) together with Venture Fund 2014, Venture Fund 2016, BCIP Venture, BCIP Venture-B, BCIP Venture II, BCIP Venture II-B and Venture Coinvestment Fund II, the "Bain Capital Venture Entities"), in each case, after giving effect to the Warrant Exercises.</w:t>
      </w:r>
    </w:p>
    <w:p>
      <w:pPr>
        <w:spacing w:after="0" w:line="14" w:lineRule="exact"/>
        <w:rPr>
          <w:rFonts w:ascii="Arial" w:cs="Arial" w:eastAsia="Arial" w:hAnsi="Arial"/>
          <w:sz w:val="12"/>
          <w:szCs w:val="12"/>
          <w:color w:val="008000"/>
        </w:rPr>
      </w:pPr>
    </w:p>
    <w:p>
      <w:pPr>
        <w:ind w:left="20" w:right="80" w:hanging="5"/>
        <w:spacing w:after="0" w:line="243"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Bain Capital Venture Investors, LLC ("BCVI") is (i) the general partner of Bain Capital Venture Partners 2014, L.P. ("Venture Partners 2014"), which is the general partner of Venture Fund 2014, (ii) the general partner of Bain Capital Venture Partners 2016, L.P. ("Venture Partners 2016"), which is the general partner of Venture Fund 2016 and (iii) the manager of Bain Capital Venture Coinvestment II Investors, LLC ("Venture Coinvestment II Investors"), which is the general partner of each of Venture Coinvestment Fund II and 2019-MD Coinvestment II. Boylston Coinvestors, LLC is (i) the managing partner of each of BCIP Venture and BCIP Venture-B and (ii) the general partner of each of BCIP Venture II and BCIP Venture II-B. The governance, investment strategy and decision-making process with respect to the investments held by the Bain Capital Venture Entities is directed by the Executive Committee of BCVI, which consists of Enrique Salem and Ajay Agarwal.</w:t>
      </w:r>
    </w:p>
    <w:p>
      <w:pPr>
        <w:spacing w:after="0" w:line="27" w:lineRule="exact"/>
        <w:rPr>
          <w:rFonts w:ascii="Arial" w:cs="Arial" w:eastAsia="Arial" w:hAnsi="Arial"/>
          <w:sz w:val="12"/>
          <w:szCs w:val="12"/>
          <w:color w:val="008000"/>
        </w:rPr>
      </w:pPr>
    </w:p>
    <w:p>
      <w:pPr>
        <w:ind w:left="20" w:hanging="5"/>
        <w:spacing w:after="0" w:line="250"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5) As a result, each of BCVI, Venture Partners 2014, Venture Partners 2016, Venture Coinvestment II Investors and Messrs. Salem and Agarwal may be deemed to share voting and dispositive power with respect to all of the securities held by the Bain Capital Venture Entities. Each of BCVI, Venture Partners 2014, Venture Partners 2016, Venture Coinvestment II Investors and Messrs. Salem and Agarwal disclaims beneficial ownership of such securities except to the extent of its or his pecuniary interest therein.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Form 2 of 2.</w:t>
      </w:r>
    </w:p>
    <w:p>
      <w:pPr>
        <w:sectPr>
          <w:pgSz w:w="11900" w:h="16838" w:orient="portrait"/>
          <w:cols w:equalWidth="0" w:num="1">
            <w:col w:w="10920"/>
          </w:cols>
          <w:pgMar w:left="480" w:top="299" w:right="499" w:bottom="1440" w:gutter="0" w:footer="0" w:header="0"/>
        </w:sectPr>
      </w:pPr>
    </w:p>
    <w:p>
      <w:pPr>
        <w:spacing w:after="0" w:line="71"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Bain Capital Venture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-1905</wp:posOffset>
            </wp:positionV>
            <wp:extent cx="12757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75715" cy="7620"/>
                    </a:xfrm>
                    <a:prstGeom prst="rect">
                      <a:avLst/>
                    </a:prstGeom>
                    <a:noFill/>
                  </pic:spPr>
                </pic:pic>
              </a:graphicData>
            </a:graphic>
          </wp:anchor>
        </w:drawing>
      </w:r>
    </w:p>
    <w:p>
      <w:pPr>
        <w:spacing w:after="0" w:line="12"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LLC, By: /s/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-6350</wp:posOffset>
            </wp:positionV>
            <wp:extent cx="13214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2143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0179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17905"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BCIP Venture Associates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3042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spacing w:after="0" w:line="24"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By: Boylston Coinvestors,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-6350</wp:posOffset>
            </wp:positionV>
            <wp:extent cx="13182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0483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4838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0267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2679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8775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877570" cy="7620"/>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BCIP Venture Associates 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-1905</wp:posOffset>
            </wp:positionV>
            <wp:extent cx="12477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47775" cy="7620"/>
                    </a:xfrm>
                    <a:prstGeom prst="rect">
                      <a:avLst/>
                    </a:prstGeom>
                    <a:noFill/>
                  </pic:spPr>
                </pic:pic>
              </a:graphicData>
            </a:graphic>
          </wp:anchor>
        </w:drawing>
      </w:r>
    </w:p>
    <w:p>
      <w:pPr>
        <w:spacing w:after="0" w:line="12"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LP, By: Boylston Coinvestors,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-6350</wp:posOffset>
            </wp:positionV>
            <wp:extent cx="123380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3380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-6350</wp:posOffset>
            </wp:positionV>
            <wp:extent cx="12915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102679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2679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-13970</wp:posOffset>
            </wp:positionV>
            <wp:extent cx="87757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775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0000FF"/>
        </w:rPr>
        <w:t>08/18/2021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0000FF"/>
        </w:rPr>
        <w:t>08/18/2021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0000FF"/>
        </w:rPr>
        <w:t>08/18/2021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291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462915" cy="7620"/>
                    </a:xfrm>
                    <a:prstGeom prst="rect">
                      <a:avLst/>
                    </a:prstGeom>
                    <a:noFill/>
                  </pic:spPr>
                </pic:pic>
              </a:graphicData>
            </a:graphic>
          </wp:anchor>
        </w:drawing>
      </w:r>
    </w:p>
    <w:p>
      <w:pPr>
        <w:spacing w:after="0" w:line="464" w:lineRule="exact"/>
        <w:rPr>
          <w:sz w:val="20"/>
          <w:szCs w:val="20"/>
          <w:color w:val="auto"/>
        </w:rPr>
      </w:pPr>
    </w:p>
    <w:p>
      <w:pPr>
        <w:sectPr>
          <w:pgSz w:w="11900" w:h="16838" w:orient="portrait"/>
          <w:cols w:equalWidth="0" w:num="2">
            <w:col w:w="8660" w:space="120"/>
            <w:col w:w="2140"/>
          </w:cols>
          <w:pgMar w:left="480" w:top="299" w:right="499" w:bottom="1440" w:gutter="0" w:footer="0" w:header="0"/>
          <w:type w:val="continuous"/>
        </w:sectPr>
      </w:pPr>
    </w:p>
    <w:tbl>
      <w:tblPr>
        <w:tblLayout w:type="fixed"/>
        <w:tblInd w:w="658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/s/ Enrique T. Salem</w:t>
            </w:r>
          </w:p>
        </w:tc>
        <w:tc>
          <w:tcPr>
            <w:tcW w:w="740" w:type="dxa"/>
            <w:vAlign w:val="bottom"/>
          </w:tcPr>
          <w:p>
            <w:pPr>
              <w:spacing w:after="0"/>
              <w:rPr>
                <w:sz w:val="20"/>
                <w:szCs w:val="20"/>
                <w:color w:val="auto"/>
              </w:rPr>
            </w:pPr>
            <w:r>
              <w:rPr>
                <w:rFonts w:ascii="Arial" w:cs="Arial" w:eastAsia="Arial" w:hAnsi="Arial"/>
                <w:sz w:val="16"/>
                <w:szCs w:val="16"/>
                <w:color w:val="0000FF"/>
                <w:w w:val="89"/>
              </w:rPr>
              <w:t>08/18/2021</w:t>
            </w:r>
          </w:p>
        </w:tc>
      </w:tr>
      <w:tr>
        <w:trPr>
          <w:trHeight w:val="226"/>
        </w:trPr>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0000FF"/>
                <w:w w:val="94"/>
              </w:rPr>
              <w:t>/s/ Ajay Agarwal</w:t>
            </w:r>
          </w:p>
        </w:tc>
        <w:tc>
          <w:tcPr>
            <w:tcW w:w="20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0000FF"/>
                <w:w w:val="89"/>
              </w:rPr>
              <w:t>08/18/2021</w:t>
            </w:r>
          </w:p>
        </w:tc>
      </w:tr>
      <w:tr>
        <w:trPr>
          <w:trHeight w:val="213"/>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3800" w:hanging="5"/>
        <w:spacing w:after="0" w:line="319" w:lineRule="auto"/>
        <w:tabs>
          <w:tab w:leader="none" w:pos="15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299"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12" Type="http://schemas.openxmlformats.org/officeDocument/2006/relationships/hyperlink" Target="http://www.sec.gov/cgi-bin/browse-edgar?action=getcompany&amp;CIK=0001309469"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1859026" TargetMode="External"/><Relationship Id="rId15" Type="http://schemas.openxmlformats.org/officeDocument/2006/relationships/hyperlink" Target="http://www.sec.gov/cgi-bin/browse-edgar?action=getcompany&amp;CIK=0001859012" TargetMode="External"/><Relationship Id="rId17" Type="http://schemas.openxmlformats.org/officeDocument/2006/relationships/hyperlink" Target="http://www.sec.gov/cgi-bin/browse-edgar?action=getcompany&amp;CIK=0001295402" TargetMode="External"/><Relationship Id="rId19" Type="http://schemas.openxmlformats.org/officeDocument/2006/relationships/hyperlink" Target="http://www.sec.gov/cgi-bin/browse-edgar?action=getcompany&amp;CIK=0001708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2021-08-18T17:59:45Z</dcterms:created>
  <dcterms:modified xsi:type="dcterms:W3CDTF">2021-08-18T17:59:45Z</dcterms:modified>
</cp:coreProperties>
</file>