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#302492103</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68"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8,179,437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8,188,831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8,188,831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6.850%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#302492103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8,188,831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8,188,831</w:t>
      </w:r>
    </w:p>
    <w:p>
      <w:pPr>
        <w:spacing w:after="0"/>
        <w:rPr>
          <w:sz w:val="20"/>
          <w:szCs w:val="20"/>
          <w:color w:val="auto"/>
        </w:rPr>
      </w:pPr>
      <w:r>
        <w:rPr>
          <w:rFonts w:ascii="Courier New" w:cs="Courier New" w:eastAsia="Courier New" w:hAnsi="Courier New"/>
          <w:sz w:val="18"/>
          <w:szCs w:val="18"/>
          <w:color w:val="auto"/>
        </w:rPr>
        <w:t>Item 11: 6.850%</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FLYWIRE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 Tremont Street, Suite 10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Boston, MA 02111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302492103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8,188,831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6.850%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8,188,831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FLYWIRE CORP. No one other person's interest in the COMMON STOCK of FLYWIRE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306"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0"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February 8, 2024, agree and consent to the joint filing on their behalf of this Schedule 13G in connection with their beneficial ownership of the COMMON STOCK of FLYWIRE CORP at December 29,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2024-02-09T08:10:25Z</dcterms:created>
  <dcterms:modified xsi:type="dcterms:W3CDTF">2024-02-09T08:10:25Z</dcterms:modified>
</cp:coreProperties>
</file>