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Butterfield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45"/>
        <w:spacing w:after="0"/>
        <w:rPr>
          <w:sz w:val="20"/>
          <w:szCs w:val="20"/>
          <w:color w:val="auto"/>
        </w:rPr>
      </w:pPr>
      <w:r>
        <w:rPr>
          <w:rFonts w:ascii="Times New Roman" w:cs="Times New Roman" w:eastAsia="Times New Roman" w:hAnsi="Times New Roman"/>
          <w:sz w:val="17"/>
          <w:szCs w:val="17"/>
          <w:color w:val="0000FF"/>
        </w:rPr>
        <w:t>General Counsel and CCO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0"/>
                <w:szCs w:val="10"/>
                <w:color w:val="auto"/>
              </w:rPr>
            </w:pPr>
          </w:p>
        </w:tc>
        <w:tc>
          <w:tcPr>
            <w:tcW w:w="3540" w:type="dxa"/>
            <w:vAlign w:val="bottom"/>
            <w:gridSpan w:val="9"/>
          </w:tcPr>
          <w:p>
            <w:pPr>
              <w:ind w:left="20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06/02/2025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3,080</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10.79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416,729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certain time-based restricted stock unit awards and does not represent an open market sale.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Peter Butterfield</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06/04/2025</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133"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2025-06-04T16:42:05Z</dcterms:created>
  <dcterms:modified xsi:type="dcterms:W3CDTF">2025-06-04T16:42:05Z</dcterms:modified>
</cp:coreProperties>
</file>