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GOLDMAN SACHS GROUP INC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4"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6"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8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06/14/2022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86,068</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ind w:right="2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2,240,454</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2"/>
          </w:tcPr>
          <w:p>
            <w:pPr>
              <w:spacing w:after="0"/>
              <w:rPr>
                <w:sz w:val="7"/>
                <w:szCs w:val="7"/>
                <w:color w:val="auto"/>
              </w:rPr>
            </w:pPr>
          </w:p>
        </w:tc>
        <w:tc>
          <w:tcPr>
            <w:tcW w:w="12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06/15/2022</w:t>
            </w: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vMerge w:val="restart"/>
          </w:tcPr>
          <w:p>
            <w:pPr>
              <w:ind w:left="600"/>
              <w:spacing w:after="0"/>
              <w:rPr>
                <w:sz w:val="20"/>
                <w:szCs w:val="20"/>
                <w:color w:val="auto"/>
              </w:rPr>
            </w:pPr>
            <w:r>
              <w:rPr>
                <w:rFonts w:ascii="Times New Roman" w:cs="Times New Roman" w:eastAsia="Times New Roman" w:hAnsi="Times New Roman"/>
                <w:sz w:val="13"/>
                <w:szCs w:val="13"/>
                <w:color w:val="0000FF"/>
              </w:rPr>
              <w:t>S</w:t>
            </w:r>
          </w:p>
        </w:tc>
        <w:tc>
          <w:tcPr>
            <w:tcW w:w="14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79,485</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vMerge w:val="restart"/>
          </w:tcPr>
          <w:p>
            <w:pPr>
              <w:jc w:val="center"/>
              <w:ind w:right="15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15.97</w:t>
            </w: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2,269,526</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4"/>
          </w:tcPr>
          <w:p>
            <w:pPr>
              <w:ind w:left="240"/>
              <w:spacing w:after="0" w:line="249" w:lineRule="exact"/>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660" w:type="dxa"/>
            <w:vAlign w:val="bottom"/>
            <w:gridSpan w:val="4"/>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7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(2)(3)(4)</w:t>
            </w: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1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12"/>
          </w:tcPr>
          <w:p>
            <w:pPr>
              <w:jc w:val="center"/>
              <w:ind w:right="61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4"/>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4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GOLDMAN SACHS GROUP INC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GOLDMAN SACHS &amp; CO.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0000FF"/>
              </w:rPr>
              <w:t>10282</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Borders>
              <w:bottom w:val="single" w:sz="8" w:color="0000EE"/>
            </w:tcBorders>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Goldman Sachs PSI Global Holdings,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4"/>
          </w:tcPr>
          <w:p>
            <w:pPr>
              <w:ind w:left="24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-5750560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WEST 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-2209165</wp:posOffset>
            </wp:positionV>
            <wp:extent cx="2809240" cy="5588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8863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Stonebridge 2020 Offshore Holdings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Bridge Street Opportunity Advisors,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 w:lineRule="exact"/>
        <w:rPr>
          <w:rFonts w:ascii="Times New Roman" w:cs="Times New Roman" w:eastAsia="Times New Roman" w:hAnsi="Times New Roman"/>
          <w:sz w:val="13"/>
          <w:szCs w:val="13"/>
          <w:color w:val="008000"/>
        </w:rPr>
      </w:pPr>
    </w:p>
    <w:p>
      <w:pPr>
        <w:ind w:left="20" w:right="3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27"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4"/>
          <w:szCs w:val="34"/>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Times New Roman" w:cs="Times New Roman" w:eastAsia="Times New Roman" w:hAnsi="Times New Roman"/>
          <w:sz w:val="17"/>
          <w:szCs w:val="17"/>
          <w:color w:val="0000FF"/>
        </w:rPr>
        <w:t xml:space="preserve">/s/ Crystal Orgill, Attorney-in- </w:t>
      </w:r>
      <w:r>
        <w:rPr>
          <w:rFonts w:ascii="Times New Roman" w:cs="Times New Roman" w:eastAsia="Times New Roman" w:hAnsi="Times New Roman"/>
          <w:sz w:val="32"/>
          <w:szCs w:val="32"/>
          <w:color w:val="0000FF"/>
          <w:vertAlign w:val="subscript"/>
        </w:rPr>
        <w:t>06/16/2022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9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5" Type="http://schemas.openxmlformats.org/officeDocument/2006/relationships/hyperlink" Target="http://www.sec.gov/cgi-bin/browse-edgar?action=getcompany&amp;CIK=0001865223" TargetMode="External"/><Relationship Id="rId17"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2022-06-16T14:57:56Z</dcterms:created>
  <dcterms:modified xsi:type="dcterms:W3CDTF">2022-06-16T14:57:56Z</dcterms:modified>
</cp:coreProperties>
</file>