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#302492103</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4,697,619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4,706,975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4,706,975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4.509%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4,706,975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4,706,975</w:t>
      </w:r>
    </w:p>
    <w:p>
      <w:pPr>
        <w:spacing w:after="0"/>
        <w:rPr>
          <w:sz w:val="20"/>
          <w:szCs w:val="20"/>
          <w:color w:val="auto"/>
        </w:rPr>
      </w:pPr>
      <w:r>
        <w:rPr>
          <w:rFonts w:ascii="Courier New" w:cs="Courier New" w:eastAsia="Courier New" w:hAnsi="Courier New"/>
          <w:sz w:val="18"/>
          <w:szCs w:val="18"/>
          <w:color w:val="auto"/>
        </w:rPr>
        <w:t>Item 11: 4.509%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 Tremont Street, Suite 10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Boston, MA 02111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302492103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4,706,975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4.509%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4,706,975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FLYWIRE CORP. No one other person's interest in the COMMON STOCK of FLYWIRE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30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0" w:gutter="0" w:footer="0" w:header="0"/>
          <w:type w:val="continuous"/>
        </w:sectPr>
      </w:pPr>
    </w:p>
    <w:p>
      <w:pPr>
        <w:spacing w:after="0" w:line="24"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ectPr>
          <w:pgSz w:w="11900" w:h="16838" w:orient="portrait"/>
          <w:cols w:equalWidth="0" w:num="1">
            <w:col w:w="10139"/>
          </w:cols>
          <w:pgMar w:left="320" w:top="110" w:right="1440" w:bottom="0" w:gutter="0" w:footer="0" w:header="0"/>
          <w:type w:val="continuous"/>
        </w:sectPr>
      </w:pPr>
    </w:p>
    <w:p>
      <w:pPr>
        <w:spacing w:after="0" w:line="29"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0" w:gutter="0" w:footer="0" w:header="0"/>
          <w:type w:val="continuous"/>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February 9, 2023, agree and consent to the joint filing on their behalf of this Schedule 13G in connection with their beneficial ownership of the COMMON STOCK of FLYWIRE CORP at December 30,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2023-02-09T07:18:29Z</dcterms:created>
  <dcterms:modified xsi:type="dcterms:W3CDTF">2023-02-09T07:18:29Z</dcterms:modified>
</cp:coreProperties>
</file>