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842645</wp:posOffset>
            </wp:positionH>
            <wp:positionV relativeFrom="page">
              <wp:posOffset>157480</wp:posOffset>
            </wp:positionV>
            <wp:extent cx="5863590" cy="108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108013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May 24,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9" w:lineRule="exact"/>
        <w:rPr>
          <w:sz w:val="24"/>
          <w:szCs w:val="24"/>
          <w:color w:val="auto"/>
        </w:rPr>
      </w:pPr>
    </w:p>
    <w:p>
      <w:pPr>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Charlie Guidry</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Mara Ransom</w:t>
      </w:r>
    </w:p>
    <w:p>
      <w:pPr>
        <w:spacing w:after="0" w:line="234"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Flywire Corporation</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Registration Statement on Form S-1, Amendment No. 1</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Filed May 18, 2021</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File No. 333-255706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Guidry and Ms. Ransom:</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On behalf of Flywire Corporation (the “Company”), this letter responds to the comment set forth in the letter to the Company dated May 24, 2021 from the staff of the Securities and Exchange Commission (the “Staff”). For your convenience, we have repeated and numbered the comment from May 24, 2021 letter in bold and italicized print, and the Company’s responses are provided below.</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S-1 Amendment No. 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Description of Capital Stock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Common Stock and Non-voting Common Stock, page 169</w:t>
      </w:r>
    </w:p>
    <w:p>
      <w:pPr>
        <w:spacing w:after="0" w:line="116" w:lineRule="exact"/>
        <w:rPr>
          <w:sz w:val="24"/>
          <w:szCs w:val="24"/>
          <w:color w:val="auto"/>
        </w:rPr>
      </w:pPr>
    </w:p>
    <w:p>
      <w:pPr>
        <w:ind w:left="960" w:right="540" w:hanging="532"/>
        <w:spacing w:after="0" w:line="277" w:lineRule="auto"/>
        <w:tabs>
          <w:tab w:leader="none" w:pos="9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Comments 1 and 2. Please describe the nature of the “certain transfers” that would trigger automatic conversion of the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134620</wp:posOffset>
            </wp:positionV>
            <wp:extent cx="364299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2995" cy="462915"/>
                    </a:xfrm>
                    <a:prstGeom prst="rect">
                      <a:avLst/>
                    </a:prstGeom>
                    <a:noFill/>
                  </pic:spPr>
                </pic:pic>
              </a:graphicData>
            </a:graphic>
          </wp:anchor>
        </w:drawing>
      </w:r>
    </w:p>
    <w:p>
      <w:pPr>
        <w:sectPr>
          <w:pgSz w:w="11900" w:h="16838" w:orient="portrait"/>
          <w:cols w:equalWidth="0" w:num="1">
            <w:col w:w="10900"/>
          </w:cols>
          <w:pgMar w:left="440" w:top="1440" w:right="5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51"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Following our conversation with the Staff, the Company intends to include the following additional disclosure in the final prospectus (with new language underlined and deleted language marked with a strikethrough):</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and Non-voting Common Stock</w:t>
      </w:r>
    </w:p>
    <w:p>
      <w:pPr>
        <w:spacing w:after="0" w:line="12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each share of</w:t>
      </w:r>
      <w:r>
        <w:rPr>
          <w:rFonts w:ascii="Arial" w:cs="Arial" w:eastAsia="Arial" w:hAnsi="Arial"/>
          <w:sz w:val="16"/>
          <w:szCs w:val="16"/>
          <w:color w:val="auto"/>
        </w:rPr>
        <w:t xml:space="preserve"> non-voting common stock automatically converts into common stock </w:t>
      </w:r>
      <w:r>
        <w:rPr>
          <w:rFonts w:ascii="Arial" w:cs="Arial" w:eastAsia="Arial" w:hAnsi="Arial"/>
          <w:sz w:val="16"/>
          <w:szCs w:val="16"/>
          <w:color w:val="auto"/>
          <w:strike w:val="1"/>
        </w:rPr>
        <w:t>upon certain transfers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a one-to-one basis without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w:t>
      </w:r>
    </w:p>
    <w:p>
      <w:pPr>
        <w:spacing w:after="0" w:line="1" w:lineRule="exact"/>
        <w:rPr>
          <w:sz w:val="20"/>
          <w:szCs w:val="20"/>
          <w:color w:val="auto"/>
        </w:rPr>
      </w:pPr>
    </w:p>
    <w:p>
      <w:pPr>
        <w:ind w:left="324" w:hanging="324"/>
        <w:spacing w:after="0"/>
        <w:tabs>
          <w:tab w:leader="none" w:pos="324" w:val="left"/>
        </w:tabs>
        <w:numPr>
          <w:ilvl w:val="0"/>
          <w:numId w:val="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an assignment to a single party (for example, a broker or investment banker) for the purposes of conducting a widespread public distribution, or</w:t>
      </w:r>
    </w:p>
    <w:p>
      <w:pPr>
        <w:spacing w:after="0" w:line="32" w:lineRule="exact"/>
        <w:rPr>
          <w:rFonts w:ascii="Arial" w:cs="Arial" w:eastAsia="Arial" w:hAnsi="Arial"/>
          <w:sz w:val="16"/>
          <w:szCs w:val="16"/>
          <w:u w:val="single" w:color="auto"/>
          <w:color w:val="auto"/>
        </w:rPr>
      </w:pPr>
    </w:p>
    <w:p>
      <w:pPr>
        <w:ind w:left="4" w:right="40" w:hanging="4"/>
        <w:spacing w:after="0" w:line="323" w:lineRule="auto"/>
        <w:tabs>
          <w:tab w:leader="none" w:pos="309" w:val="left"/>
        </w:tabs>
        <w:numPr>
          <w:ilvl w:val="0"/>
          <w:numId w:val="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to a party who would control more than 50% of our voting securities of the without giving effect to the shares of non-voting common stock transferred by the holder. Other than in the event of such transfers, shares of non-voting common stock shall not be convertible into any other security</w:t>
      </w:r>
      <w:r>
        <w:rPr>
          <w:rFonts w:ascii="Arial" w:cs="Arial" w:eastAsia="Arial" w:hAnsi="Arial"/>
          <w:sz w:val="16"/>
          <w:szCs w:val="16"/>
          <w:color w:val="auto"/>
        </w:rPr>
        <w:t>.”</w:t>
      </w:r>
    </w:p>
    <w:p>
      <w:pPr>
        <w:spacing w:after="0" w:line="13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4"/>
          </w:cols>
          <w:pgMar w:left="436" w:top="274"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do not hesitate to contact me at (617) 648-9127 if you have any questions or would like additional information regarding this matter.</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David Gammell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59" w:lineRule="exact"/>
        <w:rPr>
          <w:sz w:val="20"/>
          <w:szCs w:val="20"/>
          <w:color w:val="auto"/>
        </w:rPr>
      </w:pPr>
    </w:p>
    <w:p>
      <w:pPr>
        <w:ind w:left="444" w:right="8420" w:hanging="444"/>
        <w:spacing w:after="0" w:line="301" w:lineRule="auto"/>
        <w:tabs>
          <w:tab w:leader="none" w:pos="436" w:val="left"/>
        </w:tabs>
        <w:numPr>
          <w:ilvl w:val="0"/>
          <w:numId w:val="3"/>
        </w:numPr>
        <w:rPr>
          <w:rFonts w:ascii="Arial" w:cs="Arial" w:eastAsia="Arial" w:hAnsi="Arial"/>
          <w:sz w:val="16"/>
          <w:szCs w:val="16"/>
          <w:color w:val="auto"/>
        </w:rPr>
      </w:pPr>
      <w:r>
        <w:rPr>
          <w:rFonts w:ascii="Arial" w:cs="Arial" w:eastAsia="Arial" w:hAnsi="Arial"/>
          <w:sz w:val="16"/>
          <w:szCs w:val="16"/>
          <w:color w:val="auto"/>
        </w:rPr>
        <w:t>Peter Butterfield Jeffrey Vetter Keith Scherer John J. Egan III</w:t>
      </w:r>
    </w:p>
    <w:sectPr>
      <w:pgSz w:w="11900" w:h="16838" w:orient="portrait"/>
      <w:cols w:equalWidth="0" w:num="1">
        <w:col w:w="10044"/>
      </w:cols>
      <w:pgMar w:left="436" w:top="27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2021-06-23T23:07:16Z</dcterms:created>
  <dcterms:modified xsi:type="dcterms:W3CDTF">2021-06-23T23:07:16Z</dcterms:modified>
</cp:coreProperties>
</file>