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523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52399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Finkelstein Alex</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Flywire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FLYW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13"/>
                <w:szCs w:val="13"/>
                <w:color w:val="auto"/>
              </w:rPr>
            </w:pP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FLYWIRE CORPORATION</w:t>
            </w:r>
          </w:p>
        </w:tc>
        <w:tc>
          <w:tcPr>
            <w:tcW w:w="1300" w:type="dxa"/>
            <w:vAlign w:val="bottom"/>
            <w:gridSpan w:val="6"/>
          </w:tcPr>
          <w:p>
            <w:pPr>
              <w:ind w:left="160"/>
              <w:spacing w:after="0"/>
              <w:rPr>
                <w:sz w:val="20"/>
                <w:szCs w:val="20"/>
                <w:color w:val="auto"/>
              </w:rPr>
            </w:pPr>
            <w:r>
              <w:rPr>
                <w:rFonts w:ascii="Arial" w:cs="Arial" w:eastAsia="Arial" w:hAnsi="Arial"/>
                <w:sz w:val="17"/>
                <w:szCs w:val="17"/>
                <w:color w:val="0000FF"/>
              </w:rPr>
              <w:t>11/10/2022</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141 TREMONT STREET, SUITE 10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7"/>
            <w:vMerge w:val="continue"/>
          </w:tcPr>
          <w:p>
            <w:pPr>
              <w:spacing w:after="0"/>
              <w:rPr>
                <w:sz w:val="8"/>
                <w:szCs w:val="8"/>
                <w:color w:val="auto"/>
              </w:rPr>
            </w:pPr>
          </w:p>
        </w:tc>
        <w:tc>
          <w:tcPr>
            <w:tcW w:w="320" w:type="dxa"/>
            <w:vAlign w:val="bottom"/>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20" w:type="dxa"/>
            <w:vAlign w:val="bottom"/>
            <w:gridSpan w:val="4"/>
            <w:vMerge w:val="continue"/>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MA</w:t>
            </w:r>
          </w:p>
        </w:tc>
        <w:tc>
          <w:tcPr>
            <w:tcW w:w="1340" w:type="dxa"/>
            <w:vAlign w:val="bottom"/>
          </w:tcPr>
          <w:p>
            <w:pPr>
              <w:ind w:left="140"/>
              <w:spacing w:after="0"/>
              <w:rPr>
                <w:sz w:val="20"/>
                <w:szCs w:val="20"/>
                <w:color w:val="auto"/>
              </w:rPr>
            </w:pPr>
            <w:r>
              <w:rPr>
                <w:rFonts w:ascii="Arial" w:cs="Arial" w:eastAsia="Arial" w:hAnsi="Arial"/>
                <w:sz w:val="17"/>
                <w:szCs w:val="17"/>
                <w:color w:val="0000FF"/>
              </w:rPr>
              <w:t>02111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gridSpan w:val="3"/>
          </w:tcPr>
          <w:p>
            <w:pPr>
              <w:spacing w:after="0"/>
              <w:rPr>
                <w:sz w:val="11"/>
                <w:szCs w:val="11"/>
                <w:color w:val="auto"/>
              </w:rPr>
            </w:pPr>
          </w:p>
        </w:tc>
        <w:tc>
          <w:tcPr>
            <w:tcW w:w="260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5"/>
          </w:tcPr>
          <w:p>
            <w:pPr>
              <w:jc w:val="center"/>
              <w:ind w:left="54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760" w:type="dxa"/>
            <w:vAlign w:val="bottom"/>
            <w:gridSpan w:val="5"/>
            <w:vMerge w:val="restart"/>
          </w:tcPr>
          <w:p>
            <w:pPr>
              <w:jc w:val="center"/>
              <w:ind w:left="545"/>
              <w:spacing w:after="0"/>
              <w:rPr>
                <w:sz w:val="20"/>
                <w:szCs w:val="20"/>
                <w:color w:val="auto"/>
              </w:rPr>
            </w:pPr>
            <w:r>
              <w:rPr>
                <w:rFonts w:ascii="Arial" w:cs="Arial" w:eastAsia="Arial" w:hAnsi="Arial"/>
                <w:sz w:val="17"/>
                <w:szCs w:val="17"/>
                <w:color w:val="0000FF"/>
                <w:w w:val="91"/>
              </w:rPr>
              <w:t>11/10/2022</w:t>
            </w: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2"/>
              </w:rPr>
              <w:t>2,987,196</w:t>
            </w:r>
          </w:p>
        </w:tc>
        <w:tc>
          <w:tcPr>
            <w:tcW w:w="440" w:type="dxa"/>
            <w:vAlign w:val="bottom"/>
            <w:vMerge w:val="restart"/>
          </w:tcPr>
          <w:p>
            <w:pPr>
              <w:ind w:left="220"/>
              <w:spacing w:after="0"/>
              <w:rPr>
                <w:sz w:val="20"/>
                <w:szCs w:val="20"/>
                <w:color w:val="auto"/>
              </w:rPr>
            </w:pPr>
            <w:r>
              <w:rPr>
                <w:rFonts w:ascii="Arial" w:cs="Arial" w:eastAsia="Arial" w:hAnsi="Arial"/>
                <w:sz w:val="17"/>
                <w:szCs w:val="17"/>
                <w:color w:val="0000FF"/>
              </w:rPr>
              <w:t>D</w:t>
            </w:r>
          </w:p>
        </w:tc>
        <w:tc>
          <w:tcPr>
            <w:tcW w:w="720" w:type="dxa"/>
            <w:vAlign w:val="bottom"/>
            <w:gridSpan w:val="4"/>
            <w:vMerge w:val="restart"/>
          </w:tcPr>
          <w:p>
            <w:pPr>
              <w:jc w:val="right"/>
              <w:ind w:right="5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vMerge w:val="restart"/>
          </w:tcPr>
          <w:p>
            <w:pPr>
              <w:jc w:val="center"/>
              <w:ind w:right="473"/>
              <w:spacing w:after="0"/>
              <w:rPr>
                <w:sz w:val="20"/>
                <w:szCs w:val="20"/>
                <w:color w:val="auto"/>
              </w:rPr>
            </w:pPr>
            <w:r>
              <w:rPr>
                <w:rFonts w:ascii="Arial" w:cs="Arial" w:eastAsia="Arial" w:hAnsi="Arial"/>
                <w:sz w:val="17"/>
                <w:szCs w:val="17"/>
                <w:color w:val="0000FF"/>
                <w:w w:val="84"/>
              </w:rPr>
              <w:t>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760" w:type="dxa"/>
            <w:vAlign w:val="bottom"/>
            <w:gridSpan w:val="5"/>
            <w:vMerge w:val="restart"/>
          </w:tcPr>
          <w:p>
            <w:pPr>
              <w:jc w:val="center"/>
              <w:ind w:left="545"/>
              <w:spacing w:after="0"/>
              <w:rPr>
                <w:sz w:val="20"/>
                <w:szCs w:val="20"/>
                <w:color w:val="auto"/>
              </w:rPr>
            </w:pPr>
            <w:r>
              <w:rPr>
                <w:rFonts w:ascii="Arial" w:cs="Arial" w:eastAsia="Arial" w:hAnsi="Arial"/>
                <w:sz w:val="17"/>
                <w:szCs w:val="17"/>
                <w:color w:val="0000FF"/>
                <w:w w:val="91"/>
              </w:rPr>
              <w:t>11/10/2022</w:t>
            </w: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(3)</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1"/>
              </w:rPr>
              <w:t>768,981</w:t>
            </w:r>
          </w:p>
        </w:tc>
        <w:tc>
          <w:tcPr>
            <w:tcW w:w="44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720" w:type="dxa"/>
            <w:vAlign w:val="bottom"/>
            <w:gridSpan w:val="4"/>
            <w:vMerge w:val="restart"/>
          </w:tcPr>
          <w:p>
            <w:pPr>
              <w:jc w:val="right"/>
              <w:ind w:right="5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20" w:type="dxa"/>
            <w:vAlign w:val="bottom"/>
          </w:tcPr>
          <w:p>
            <w:pPr>
              <w:spacing w:after="0"/>
              <w:rPr>
                <w:sz w:val="22"/>
                <w:szCs w:val="22"/>
                <w:color w:val="auto"/>
              </w:rPr>
            </w:pPr>
          </w:p>
        </w:tc>
        <w:tc>
          <w:tcPr>
            <w:tcW w:w="1160" w:type="dxa"/>
            <w:vAlign w:val="bottom"/>
            <w:gridSpan w:val="2"/>
            <w:vMerge w:val="restart"/>
          </w:tcPr>
          <w:p>
            <w:pPr>
              <w:jc w:val="center"/>
              <w:ind w:right="13"/>
              <w:spacing w:after="0"/>
              <w:rPr>
                <w:sz w:val="20"/>
                <w:szCs w:val="20"/>
                <w:color w:val="auto"/>
              </w:rPr>
            </w:pPr>
            <w:r>
              <w:rPr>
                <w:rFonts w:ascii="Arial" w:cs="Arial" w:eastAsia="Arial" w:hAnsi="Arial"/>
                <w:sz w:val="17"/>
                <w:szCs w:val="17"/>
                <w:color w:val="0000FF"/>
                <w:w w:val="91"/>
              </w:rPr>
              <w:t>768,981</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760" w:type="dxa"/>
            <w:vAlign w:val="bottom"/>
            <w:gridSpan w:val="5"/>
            <w:vMerge w:val="restart"/>
          </w:tcPr>
          <w:p>
            <w:pPr>
              <w:jc w:val="center"/>
              <w:ind w:left="545"/>
              <w:spacing w:after="0"/>
              <w:rPr>
                <w:sz w:val="20"/>
                <w:szCs w:val="20"/>
                <w:color w:val="auto"/>
              </w:rPr>
            </w:pPr>
            <w:r>
              <w:rPr>
                <w:rFonts w:ascii="Arial" w:cs="Arial" w:eastAsia="Arial" w:hAnsi="Arial"/>
                <w:sz w:val="17"/>
                <w:szCs w:val="17"/>
                <w:color w:val="0000FF"/>
                <w:w w:val="91"/>
              </w:rPr>
              <w:t>11/10/2022</w:t>
            </w: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(5)</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1"/>
              </w:rPr>
              <w:t>768,981</w:t>
            </w:r>
          </w:p>
        </w:tc>
        <w:tc>
          <w:tcPr>
            <w:tcW w:w="440" w:type="dxa"/>
            <w:vAlign w:val="bottom"/>
            <w:vMerge w:val="restart"/>
          </w:tcPr>
          <w:p>
            <w:pPr>
              <w:ind w:left="220"/>
              <w:spacing w:after="0"/>
              <w:rPr>
                <w:sz w:val="20"/>
                <w:szCs w:val="20"/>
                <w:color w:val="auto"/>
              </w:rPr>
            </w:pPr>
            <w:r>
              <w:rPr>
                <w:rFonts w:ascii="Arial" w:cs="Arial" w:eastAsia="Arial" w:hAnsi="Arial"/>
                <w:sz w:val="17"/>
                <w:szCs w:val="17"/>
                <w:color w:val="0000FF"/>
              </w:rPr>
              <w:t>D</w:t>
            </w:r>
          </w:p>
        </w:tc>
        <w:tc>
          <w:tcPr>
            <w:tcW w:w="720" w:type="dxa"/>
            <w:vAlign w:val="bottom"/>
            <w:gridSpan w:val="4"/>
            <w:vMerge w:val="restart"/>
          </w:tcPr>
          <w:p>
            <w:pPr>
              <w:jc w:val="right"/>
              <w:ind w:right="5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vMerge w:val="restart"/>
          </w:tcPr>
          <w:p>
            <w:pPr>
              <w:jc w:val="center"/>
              <w:ind w:right="473"/>
              <w:spacing w:after="0"/>
              <w:rPr>
                <w:sz w:val="20"/>
                <w:szCs w:val="20"/>
                <w:color w:val="auto"/>
              </w:rPr>
            </w:pPr>
            <w:r>
              <w:rPr>
                <w:rFonts w:ascii="Arial" w:cs="Arial" w:eastAsia="Arial" w:hAnsi="Arial"/>
                <w:sz w:val="17"/>
                <w:szCs w:val="17"/>
                <w:color w:val="0000FF"/>
                <w:w w:val="84"/>
              </w:rPr>
              <w:t>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760" w:type="dxa"/>
            <w:vAlign w:val="bottom"/>
            <w:gridSpan w:val="5"/>
            <w:vMerge w:val="restart"/>
          </w:tcPr>
          <w:p>
            <w:pPr>
              <w:jc w:val="center"/>
              <w:ind w:left="545"/>
              <w:spacing w:after="0"/>
              <w:rPr>
                <w:sz w:val="20"/>
                <w:szCs w:val="20"/>
                <w:color w:val="auto"/>
              </w:rPr>
            </w:pPr>
            <w:r>
              <w:rPr>
                <w:rFonts w:ascii="Arial" w:cs="Arial" w:eastAsia="Arial" w:hAnsi="Arial"/>
                <w:sz w:val="17"/>
                <w:szCs w:val="17"/>
                <w:color w:val="0000FF"/>
                <w:w w:val="91"/>
              </w:rPr>
              <w:t>11/10/2022</w:t>
            </w: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(6)</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2"/>
              </w:rPr>
              <w:t>19,541</w:t>
            </w:r>
          </w:p>
        </w:tc>
        <w:tc>
          <w:tcPr>
            <w:tcW w:w="440" w:type="dxa"/>
            <w:vAlign w:val="bottom"/>
            <w:vMerge w:val="restart"/>
          </w:tcPr>
          <w:p>
            <w:pPr>
              <w:ind w:left="220"/>
              <w:spacing w:after="0"/>
              <w:rPr>
                <w:sz w:val="20"/>
                <w:szCs w:val="20"/>
                <w:color w:val="auto"/>
              </w:rPr>
            </w:pPr>
            <w:r>
              <w:rPr>
                <w:rFonts w:ascii="Arial" w:cs="Arial" w:eastAsia="Arial" w:hAnsi="Arial"/>
                <w:sz w:val="17"/>
                <w:szCs w:val="17"/>
                <w:color w:val="0000FF"/>
              </w:rPr>
              <w:t>D</w:t>
            </w:r>
          </w:p>
        </w:tc>
        <w:tc>
          <w:tcPr>
            <w:tcW w:w="720" w:type="dxa"/>
            <w:vAlign w:val="bottom"/>
            <w:gridSpan w:val="4"/>
            <w:vMerge w:val="restart"/>
          </w:tcPr>
          <w:p>
            <w:pPr>
              <w:jc w:val="right"/>
              <w:ind w:right="5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vMerge w:val="restart"/>
          </w:tcPr>
          <w:p>
            <w:pPr>
              <w:jc w:val="center"/>
              <w:ind w:right="473"/>
              <w:spacing w:after="0"/>
              <w:rPr>
                <w:sz w:val="20"/>
                <w:szCs w:val="20"/>
                <w:color w:val="auto"/>
              </w:rPr>
            </w:pPr>
            <w:r>
              <w:rPr>
                <w:rFonts w:ascii="Arial" w:cs="Arial" w:eastAsia="Arial" w:hAnsi="Arial"/>
                <w:sz w:val="17"/>
                <w:szCs w:val="17"/>
                <w:color w:val="0000FF"/>
                <w:w w:val="84"/>
              </w:rPr>
              <w:t>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760" w:type="dxa"/>
            <w:vAlign w:val="bottom"/>
            <w:gridSpan w:val="5"/>
            <w:vMerge w:val="restart"/>
          </w:tcPr>
          <w:p>
            <w:pPr>
              <w:jc w:val="center"/>
              <w:ind w:left="545"/>
              <w:spacing w:after="0"/>
              <w:rPr>
                <w:sz w:val="20"/>
                <w:szCs w:val="20"/>
                <w:color w:val="auto"/>
              </w:rPr>
            </w:pPr>
            <w:r>
              <w:rPr>
                <w:rFonts w:ascii="Arial" w:cs="Arial" w:eastAsia="Arial" w:hAnsi="Arial"/>
                <w:sz w:val="17"/>
                <w:szCs w:val="17"/>
                <w:color w:val="0000FF"/>
                <w:w w:val="91"/>
              </w:rPr>
              <w:t>11/10/2022</w:t>
            </w: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(8)</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3"/>
              </w:rPr>
              <w:t>4,998</w:t>
            </w:r>
          </w:p>
        </w:tc>
        <w:tc>
          <w:tcPr>
            <w:tcW w:w="44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720" w:type="dxa"/>
            <w:vAlign w:val="bottom"/>
            <w:gridSpan w:val="4"/>
            <w:vMerge w:val="restart"/>
          </w:tcPr>
          <w:p>
            <w:pPr>
              <w:jc w:val="right"/>
              <w:ind w:right="5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20" w:type="dxa"/>
            <w:vAlign w:val="bottom"/>
          </w:tcPr>
          <w:p>
            <w:pPr>
              <w:spacing w:after="0"/>
              <w:rPr>
                <w:sz w:val="22"/>
                <w:szCs w:val="22"/>
                <w:color w:val="auto"/>
              </w:rPr>
            </w:pPr>
          </w:p>
        </w:tc>
        <w:tc>
          <w:tcPr>
            <w:tcW w:w="1160" w:type="dxa"/>
            <w:vAlign w:val="bottom"/>
            <w:gridSpan w:val="2"/>
            <w:vMerge w:val="restart"/>
          </w:tcPr>
          <w:p>
            <w:pPr>
              <w:jc w:val="center"/>
              <w:ind w:right="13"/>
              <w:spacing w:after="0"/>
              <w:rPr>
                <w:sz w:val="20"/>
                <w:szCs w:val="20"/>
                <w:color w:val="auto"/>
              </w:rPr>
            </w:pPr>
            <w:r>
              <w:rPr>
                <w:rFonts w:ascii="Arial" w:cs="Arial" w:eastAsia="Arial" w:hAnsi="Arial"/>
                <w:sz w:val="17"/>
                <w:szCs w:val="17"/>
                <w:color w:val="0000FF"/>
                <w:w w:val="92"/>
              </w:rPr>
              <w:t>27,309</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top w:val="single" w:sz="8" w:color="2C2C2C"/>
              <w:bottom w:val="single" w:sz="8" w:color="2C2C2C"/>
            </w:tcBorders>
            <w:gridSpan w:val="6"/>
          </w:tcPr>
          <w:p>
            <w:pPr>
              <w:ind w:left="60"/>
              <w:spacing w:after="0"/>
              <w:rPr>
                <w:sz w:val="20"/>
                <w:szCs w:val="20"/>
                <w:color w:val="auto"/>
              </w:rPr>
            </w:pPr>
            <w:r>
              <w:rPr>
                <w:rFonts w:ascii="Arial" w:cs="Arial" w:eastAsia="Arial" w:hAnsi="Arial"/>
                <w:sz w:val="17"/>
                <w:szCs w:val="17"/>
                <w:color w:val="0000FF"/>
              </w:rPr>
              <w:t>Voting Common Stock</w:t>
            </w:r>
          </w:p>
        </w:tc>
        <w:tc>
          <w:tcPr>
            <w:tcW w:w="1760" w:type="dxa"/>
            <w:vAlign w:val="bottom"/>
            <w:tcBorders>
              <w:top w:val="single" w:sz="8" w:color="2C2C2C"/>
              <w:bottom w:val="single" w:sz="8" w:color="2C2C2C"/>
            </w:tcBorders>
            <w:gridSpan w:val="5"/>
          </w:tcPr>
          <w:p>
            <w:pPr>
              <w:jc w:val="center"/>
              <w:ind w:left="545"/>
              <w:spacing w:after="0"/>
              <w:rPr>
                <w:sz w:val="20"/>
                <w:szCs w:val="20"/>
                <w:color w:val="auto"/>
              </w:rPr>
            </w:pPr>
            <w:r>
              <w:rPr>
                <w:rFonts w:ascii="Arial" w:cs="Arial" w:eastAsia="Arial" w:hAnsi="Arial"/>
                <w:sz w:val="17"/>
                <w:szCs w:val="17"/>
                <w:color w:val="0000FF"/>
                <w:w w:val="91"/>
              </w:rPr>
              <w:t>11/10/2022</w:t>
            </w:r>
          </w:p>
        </w:tc>
        <w:tc>
          <w:tcPr>
            <w:tcW w:w="44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22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(10)</w:t>
            </w:r>
          </w:p>
        </w:tc>
        <w:tc>
          <w:tcPr>
            <w:tcW w:w="8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0000FF"/>
                <w:w w:val="92"/>
              </w:rPr>
              <w:t>57,674</w:t>
            </w:r>
          </w:p>
        </w:tc>
        <w:tc>
          <w:tcPr>
            <w:tcW w:w="440" w:type="dxa"/>
            <w:vAlign w:val="bottom"/>
            <w:tcBorders>
              <w:top w:val="single" w:sz="8" w:color="2C2C2C"/>
              <w:bottom w:val="single" w:sz="8" w:color="2C2C2C"/>
            </w:tcBorders>
          </w:tcPr>
          <w:p>
            <w:pPr>
              <w:ind w:left="220"/>
              <w:spacing w:after="0"/>
              <w:rPr>
                <w:sz w:val="20"/>
                <w:szCs w:val="20"/>
                <w:color w:val="auto"/>
              </w:rPr>
            </w:pPr>
            <w:r>
              <w:rPr>
                <w:rFonts w:ascii="Arial" w:cs="Arial" w:eastAsia="Arial" w:hAnsi="Arial"/>
                <w:sz w:val="17"/>
                <w:szCs w:val="17"/>
                <w:color w:val="0000FF"/>
              </w:rPr>
              <w:t>A</w:t>
            </w:r>
          </w:p>
        </w:tc>
        <w:tc>
          <w:tcPr>
            <w:tcW w:w="720" w:type="dxa"/>
            <w:vAlign w:val="bottom"/>
            <w:tcBorders>
              <w:top w:val="single" w:sz="8" w:color="2C2C2C"/>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20" w:type="dxa"/>
            <w:vAlign w:val="bottom"/>
            <w:tcBorders>
              <w:top w:val="single" w:sz="8" w:color="2C2C2C"/>
              <w:bottom w:val="single" w:sz="8" w:color="2C2C2C"/>
            </w:tcBorders>
          </w:tcPr>
          <w:p>
            <w:pPr>
              <w:spacing w:after="0"/>
              <w:rPr>
                <w:sz w:val="24"/>
                <w:szCs w:val="24"/>
                <w:color w:val="auto"/>
              </w:rPr>
            </w:pPr>
          </w:p>
        </w:tc>
        <w:tc>
          <w:tcPr>
            <w:tcW w:w="1160" w:type="dxa"/>
            <w:vAlign w:val="bottom"/>
            <w:tcBorders>
              <w:top w:val="single" w:sz="8" w:color="2C2C2C"/>
              <w:bottom w:val="single" w:sz="8" w:color="2C2C2C"/>
            </w:tcBorders>
            <w:gridSpan w:val="2"/>
          </w:tcPr>
          <w:p>
            <w:pPr>
              <w:jc w:val="center"/>
              <w:ind w:right="13"/>
              <w:spacing w:after="0"/>
              <w:rPr>
                <w:sz w:val="20"/>
                <w:szCs w:val="20"/>
                <w:color w:val="auto"/>
              </w:rPr>
            </w:pPr>
            <w:r>
              <w:rPr>
                <w:rFonts w:ascii="Arial" w:cs="Arial" w:eastAsia="Arial" w:hAnsi="Arial"/>
                <w:sz w:val="17"/>
                <w:szCs w:val="17"/>
                <w:color w:val="0000FF"/>
                <w:w w:val="91"/>
              </w:rPr>
              <w:t>294,180</w:t>
            </w:r>
          </w:p>
        </w:tc>
        <w:tc>
          <w:tcPr>
            <w:tcW w:w="28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Spark Capital II, L.P. ("Spark Capital II") to its partners.</w:t>
      </w:r>
    </w:p>
    <w:p>
      <w:pPr>
        <w:spacing w:after="0" w:line="50" w:lineRule="exact"/>
        <w:rPr>
          <w:rFonts w:ascii="Arial" w:cs="Arial" w:eastAsia="Arial" w:hAnsi="Arial"/>
          <w:sz w:val="13"/>
          <w:szCs w:val="13"/>
          <w:color w:val="008000"/>
        </w:rPr>
      </w:pPr>
    </w:p>
    <w:p>
      <w:pPr>
        <w:ind w:left="40" w:right="28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held of record by Spark Capital II. Spark Management Partners II, LLC ("SMP II") is the general partner of Spark Capital II. The Reporting Person is a managing member of SMP II. The Reporting Person may be deemed to share investment, voting and dispositive power over these shares. Each of SMP II and the Reporting Person disclaims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29"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a change in the form of ownership of SMP II by virtue of the receipt of shares in the pro-rata in-kind distribution of voting common stock of the Issuer for no consideration by Spark Capital</w:t>
      </w:r>
    </w:p>
    <w:p>
      <w:pPr>
        <w:spacing w:after="0" w:line="18" w:lineRule="exact"/>
        <w:rPr>
          <w:rFonts w:ascii="Arial" w:cs="Arial" w:eastAsia="Arial" w:hAnsi="Arial"/>
          <w:sz w:val="12"/>
          <w:szCs w:val="12"/>
          <w:color w:val="008000"/>
        </w:rPr>
      </w:pPr>
    </w:p>
    <w:p>
      <w:pPr>
        <w:ind w:left="40"/>
        <w:spacing w:after="0"/>
        <w:rPr>
          <w:rFonts w:ascii="Arial" w:cs="Arial" w:eastAsia="Arial" w:hAnsi="Arial"/>
          <w:sz w:val="12"/>
          <w:szCs w:val="12"/>
          <w:color w:val="008000"/>
        </w:rPr>
      </w:pPr>
      <w:r>
        <w:rPr>
          <w:rFonts w:ascii="Arial" w:cs="Arial" w:eastAsia="Arial" w:hAnsi="Arial"/>
          <w:sz w:val="13"/>
          <w:szCs w:val="13"/>
          <w:color w:val="008000"/>
        </w:rPr>
        <w:t>II.</w:t>
      </w:r>
    </w:p>
    <w:p>
      <w:pPr>
        <w:spacing w:after="0" w:line="40" w:lineRule="exact"/>
        <w:rPr>
          <w:rFonts w:ascii="Arial" w:cs="Arial" w:eastAsia="Arial" w:hAnsi="Arial"/>
          <w:sz w:val="12"/>
          <w:szCs w:val="12"/>
          <w:color w:val="008000"/>
        </w:rPr>
      </w:pPr>
    </w:p>
    <w:p>
      <w:pPr>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by SMP II. The Reporting Person is a managing member of SMP II. The Reporting Person may be deemed to share investment, voting and dispositive power over these shares. The Reporting Person disclaims beneficial ownership of these shares and this report shall not be deemed an admission that he is the beneficial owner of such securities for purposes of Section 16 or for any other purpose, except to the extent of his pecuniary interest therein.</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SMP II to its members.</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Spark Capital Founders' Fund II, L.P. ("Spark Capital FF II") to its partners.</w:t>
      </w:r>
    </w:p>
    <w:p>
      <w:pPr>
        <w:spacing w:after="0" w:line="50" w:lineRule="exact"/>
        <w:rPr>
          <w:rFonts w:ascii="Arial" w:cs="Arial" w:eastAsia="Arial" w:hAnsi="Arial"/>
          <w:sz w:val="13"/>
          <w:szCs w:val="13"/>
          <w:color w:val="008000"/>
        </w:rPr>
      </w:pPr>
    </w:p>
    <w:p>
      <w:pPr>
        <w:ind w:left="40" w:right="16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of record by Spark Capital FF II. SMP II is the general partner of Spark Capital FF II. The Reporting Person is a managing member of SMP II. The Reporting Person may be deemed to share investment, voting and dispositive power over these shares. Each of SMP II and the Reporting Person disclaims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8" w:lineRule="exact"/>
        <w:rPr>
          <w:rFonts w:ascii="Arial" w:cs="Arial" w:eastAsia="Arial" w:hAnsi="Arial"/>
          <w:sz w:val="12"/>
          <w:szCs w:val="12"/>
          <w:color w:val="008000"/>
        </w:rPr>
      </w:pPr>
    </w:p>
    <w:p>
      <w:pPr>
        <w:ind w:left="40" w:right="3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change in the form of ownership of Spark Capital Partners, LLC ("SCP") by virtue of the receipt of shares in the pro-rata in-kind distribution of voting common stock of the Issuer for no consideration by SMP II.</w:t>
      </w:r>
    </w:p>
    <w:p>
      <w:pPr>
        <w:spacing w:after="0" w:line="15"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held by SCP. The Reporting Person is a managing member of SCP and may be deemed to share investment, voting and dispositive power over these shares. The Reporting Person disclaims beneficial ownership of these shares and this report shall not be deemed an admission that he is the beneficial owner of such securities for purposes of Section 16 or for any other purpose, except to the extent of his pecuniary interest therein, if any.</w:t>
      </w:r>
    </w:p>
    <w:p>
      <w:pPr>
        <w:spacing w:after="0" w:line="25" w:lineRule="exact"/>
        <w:rPr>
          <w:rFonts w:ascii="Arial" w:cs="Arial" w:eastAsia="Arial" w:hAnsi="Arial"/>
          <w:sz w:val="13"/>
          <w:szCs w:val="13"/>
          <w:color w:val="008000"/>
        </w:rPr>
      </w:pPr>
    </w:p>
    <w:p>
      <w:pPr>
        <w:ind w:left="40" w:right="280" w:firstLine="7"/>
        <w:spacing w:after="0" w:line="266" w:lineRule="auto"/>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change in the form of ownership of the Reporting Person by virtue of the receipt of shares in the pro-rata in-kind distributions of voting common stock of the Issuer for no consideration by SMP II.</w:t>
      </w:r>
    </w:p>
    <w:p>
      <w:pPr>
        <w:sectPr>
          <w:pgSz w:w="11900" w:h="16838" w:orient="portrait"/>
          <w:cols w:equalWidth="0" w:num="1">
            <w:col w:w="11080"/>
          </w:cols>
          <w:pgMar w:left="460" w:top="225" w:right="359" w:bottom="0" w:gutter="0" w:footer="0" w:header="0"/>
          <w:type w:val="continuous"/>
        </w:sectPr>
      </w:pP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Alex Finkelstein</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11/14/2022</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015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2022-11-14T20:45:18Z</dcterms:created>
  <dcterms:modified xsi:type="dcterms:W3CDTF">2022-11-14T20:45:18Z</dcterms:modified>
</cp:coreProperties>
</file>