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6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8"/>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500" w:type="dxa"/>
            <w:vAlign w:val="bottom"/>
            <w:gridSpan w:val="7"/>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BAIN CAPITAL VENTURE</w:t>
              </w:r>
            </w:hyperlink>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8"/>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Flywire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FLYW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76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8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500" w:type="dxa"/>
            <w:vAlign w:val="bottom"/>
            <w:gridSpan w:val="7"/>
            <w:vMerge w:val="continue"/>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500" w:type="dxa"/>
            <w:vAlign w:val="bottom"/>
            <w:gridSpan w:val="7"/>
            <w:vMerge w:val="continue"/>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color w:val="auto"/>
              </w:rPr>
              <w:t>Director</w:t>
            </w:r>
          </w:p>
        </w:tc>
        <w:tc>
          <w:tcPr>
            <w:tcW w:w="16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500" w:type="dxa"/>
            <w:vAlign w:val="bottom"/>
            <w:gridSpan w:val="7"/>
            <w:vMerge w:val="continue"/>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60" w:type="dxa"/>
            <w:vAlign w:val="bottom"/>
            <w:tcBorders>
              <w:top w:val="single" w:sz="8" w:color="0000EE"/>
            </w:tcBorders>
            <w:gridSpan w:val="4"/>
            <w:vMerge w:val="restart"/>
          </w:tcPr>
          <w:p>
            <w:pPr>
              <w:spacing w:after="0" w:line="207" w:lineRule="exact"/>
              <w:rPr>
                <w:rFonts w:ascii="Times New Roman" w:cs="Times New Roman" w:eastAsia="Times New Roman" w:hAnsi="Times New Roman"/>
                <w:sz w:val="21"/>
                <w:szCs w:val="21"/>
                <w:color w:val="0000EE"/>
                <w:w w:val="98"/>
              </w:rPr>
            </w:pPr>
            <w:hyperlink r:id="rId12">
              <w:r>
                <w:rPr>
                  <w:rFonts w:ascii="Times New Roman" w:cs="Times New Roman" w:eastAsia="Times New Roman" w:hAnsi="Times New Roman"/>
                  <w:sz w:val="21"/>
                  <w:szCs w:val="21"/>
                  <w:color w:val="0000EE"/>
                  <w:w w:val="98"/>
                </w:rPr>
                <w:t>INVESTORS, LLC</w:t>
              </w:r>
            </w:hyperlink>
          </w:p>
        </w:tc>
        <w:tc>
          <w:tcPr>
            <w:tcW w:w="62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6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tcBorders>
              <w:bottom w:val="single" w:sz="8" w:color="0000EE"/>
            </w:tcBorders>
            <w:gridSpan w:val="4"/>
            <w:vMerge w:val="continue"/>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4"/>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2C2C2C"/>
              <w:bottom w:val="single" w:sz="8" w:color="2C2C2C"/>
            </w:tcBorders>
          </w:tcPr>
          <w:p>
            <w:pPr>
              <w:spacing w:after="0"/>
              <w:rPr>
                <w:sz w:val="10"/>
                <w:szCs w:val="10"/>
                <w:color w:val="auto"/>
              </w:rPr>
            </w:pPr>
          </w:p>
        </w:tc>
        <w:tc>
          <w:tcPr>
            <w:tcW w:w="2920" w:type="dxa"/>
            <w:vAlign w:val="bottom"/>
            <w:tcBorders>
              <w:top w:val="single" w:sz="8" w:color="2C2C2C"/>
              <w:bottom w:val="single" w:sz="8" w:color="2C2C2C"/>
            </w:tcBorders>
            <w:gridSpan w:val="9"/>
          </w:tcPr>
          <w:p>
            <w:pPr>
              <w:spacing w:after="0" w:line="126" w:lineRule="exact"/>
              <w:rPr>
                <w:sz w:val="20"/>
                <w:szCs w:val="20"/>
                <w:color w:val="auto"/>
              </w:rPr>
            </w:pPr>
            <w:r>
              <w:rPr>
                <w:rFonts w:ascii="Arial" w:cs="Arial" w:eastAsia="Arial" w:hAnsi="Arial"/>
                <w:sz w:val="13"/>
                <w:szCs w:val="13"/>
                <w:color w:val="auto"/>
              </w:rPr>
              <w:t>3. Date of Earliest Transaction (Month/Day/Year)</w:t>
            </w:r>
          </w:p>
        </w:tc>
        <w:tc>
          <w:tcPr>
            <w:tcW w:w="500" w:type="dxa"/>
            <w:vAlign w:val="bottom"/>
            <w:tcBorders>
              <w:top w:val="single" w:sz="8" w:color="2C2C2C"/>
            </w:tcBorders>
          </w:tcPr>
          <w:p>
            <w:pPr>
              <w:spacing w:after="0"/>
              <w:rPr>
                <w:sz w:val="10"/>
                <w:szCs w:val="10"/>
                <w:color w:val="auto"/>
              </w:rPr>
            </w:pPr>
          </w:p>
        </w:tc>
        <w:tc>
          <w:tcPr>
            <w:tcW w:w="80" w:type="dxa"/>
            <w:vAlign w:val="bottom"/>
            <w:tcBorders>
              <w:top w:val="single" w:sz="8" w:color="2C2C2C"/>
            </w:tcBorders>
          </w:tcPr>
          <w:p>
            <w:pPr>
              <w:spacing w:after="0"/>
              <w:rPr>
                <w:sz w:val="10"/>
                <w:szCs w:val="10"/>
                <w:color w:val="auto"/>
              </w:rPr>
            </w:pPr>
          </w:p>
        </w:tc>
        <w:tc>
          <w:tcPr>
            <w:tcW w:w="160" w:type="dxa"/>
            <w:vAlign w:val="bottom"/>
            <w:tcBorders>
              <w:top w:val="single" w:sz="8" w:color="2C2C2C"/>
            </w:tcBorders>
          </w:tcPr>
          <w:p>
            <w:pPr>
              <w:spacing w:after="0"/>
              <w:rPr>
                <w:sz w:val="10"/>
                <w:szCs w:val="10"/>
                <w:color w:val="auto"/>
              </w:rPr>
            </w:pPr>
          </w:p>
        </w:tc>
        <w:tc>
          <w:tcPr>
            <w:tcW w:w="80" w:type="dxa"/>
            <w:vAlign w:val="bottom"/>
            <w:tcBorders>
              <w:top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gridSpan w:val="2"/>
          </w:tcPr>
          <w:p>
            <w:pPr>
              <w:ind w:left="20"/>
              <w:spacing w:after="0" w:line="126" w:lineRule="exact"/>
              <w:rPr>
                <w:sz w:val="20"/>
                <w:szCs w:val="20"/>
                <w:color w:val="auto"/>
              </w:rPr>
            </w:pPr>
            <w:r>
              <w:rPr>
                <w:rFonts w:ascii="Arial" w:cs="Arial" w:eastAsia="Arial" w:hAnsi="Arial"/>
                <w:sz w:val="13"/>
                <w:szCs w:val="13"/>
                <w:color w:val="auto"/>
              </w:rPr>
              <w:t>below)</w:t>
            </w:r>
          </w:p>
        </w:tc>
        <w:tc>
          <w:tcPr>
            <w:tcW w:w="880" w:type="dxa"/>
            <w:vAlign w:val="bottom"/>
          </w:tcPr>
          <w:p>
            <w:pPr>
              <w:ind w:left="400"/>
              <w:spacing w:after="0" w:line="126" w:lineRule="exact"/>
              <w:rPr>
                <w:sz w:val="20"/>
                <w:szCs w:val="20"/>
                <w:color w:val="auto"/>
              </w:rPr>
            </w:pPr>
            <w:r>
              <w:rPr>
                <w:rFonts w:ascii="Arial" w:cs="Arial" w:eastAsia="Arial" w:hAnsi="Arial"/>
                <w:sz w:val="13"/>
                <w:szCs w:val="13"/>
                <w:color w:val="auto"/>
              </w:rPr>
              <w:t>below)</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0"/>
                <w:szCs w:val="20"/>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(Middle)</w:t>
            </w:r>
          </w:p>
        </w:tc>
        <w:tc>
          <w:tcPr>
            <w:tcW w:w="1080" w:type="dxa"/>
            <w:vAlign w:val="bottom"/>
            <w:gridSpan w:val="8"/>
          </w:tcPr>
          <w:p>
            <w:pPr>
              <w:ind w:left="280"/>
              <w:spacing w:after="0"/>
              <w:rPr>
                <w:sz w:val="20"/>
                <w:szCs w:val="20"/>
                <w:color w:val="auto"/>
              </w:rPr>
            </w:pPr>
            <w:r>
              <w:rPr>
                <w:rFonts w:ascii="Times New Roman" w:cs="Times New Roman" w:eastAsia="Times New Roman" w:hAnsi="Times New Roman"/>
                <w:sz w:val="17"/>
                <w:szCs w:val="17"/>
                <w:color w:val="0000FF"/>
              </w:rPr>
              <w:t>06/03/2022</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200 CLARENDON STREET</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2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20" w:type="dxa"/>
            <w:vAlign w:val="bottom"/>
            <w:gridSpan w:val="8"/>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58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2840" w:type="dxa"/>
            <w:vAlign w:val="bottom"/>
            <w:gridSpan w:val="6"/>
            <w:vMerge w:val="restart"/>
          </w:tcPr>
          <w:p>
            <w:pPr>
              <w:ind w:left="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7"/>
                <w:szCs w:val="17"/>
                <w:color w:val="0000FF"/>
              </w:rPr>
              <w:t>MA</w:t>
            </w:r>
          </w:p>
        </w:tc>
        <w:tc>
          <w:tcPr>
            <w:tcW w:w="122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7"/>
                <w:szCs w:val="17"/>
                <w:color w:val="0000FF"/>
              </w:rPr>
              <w:t>02116</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2840" w:type="dxa"/>
            <w:vAlign w:val="bottom"/>
            <w:gridSpan w:val="6"/>
          </w:tcPr>
          <w:p>
            <w:pPr>
              <w:ind w:left="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color w:val="auto"/>
              </w:rPr>
              <w:t>Person</w:t>
            </w: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2"/>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6"/>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3"/>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24"/>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3"/>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2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7"/>
          </w:tcPr>
          <w:p>
            <w:pPr>
              <w:ind w:left="40"/>
              <w:spacing w:after="0"/>
              <w:rPr>
                <w:sz w:val="20"/>
                <w:szCs w:val="20"/>
                <w:color w:val="auto"/>
              </w:rPr>
            </w:pPr>
            <w:r>
              <w:rPr>
                <w:rFonts w:ascii="Arial" w:cs="Arial" w:eastAsia="Arial" w:hAnsi="Arial"/>
                <w:sz w:val="12"/>
                <w:szCs w:val="12"/>
                <w:b w:val="1"/>
                <w:bCs w:val="1"/>
                <w:color w:val="auto"/>
              </w:rPr>
              <w:t>2A. Deemed</w:t>
            </w:r>
          </w:p>
        </w:tc>
        <w:tc>
          <w:tcPr>
            <w:tcW w:w="4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820" w:type="dxa"/>
            <w:vAlign w:val="bottom"/>
            <w:gridSpan w:val="4"/>
          </w:tcPr>
          <w:p>
            <w:pPr>
              <w:ind w:left="80"/>
              <w:spacing w:after="0"/>
              <w:rPr>
                <w:sz w:val="20"/>
                <w:szCs w:val="20"/>
                <w:color w:val="auto"/>
              </w:rPr>
            </w:pPr>
            <w:r>
              <w:rPr>
                <w:rFonts w:ascii="Arial" w:cs="Arial" w:eastAsia="Arial" w:hAnsi="Arial"/>
                <w:sz w:val="12"/>
                <w:szCs w:val="12"/>
                <w:b w:val="1"/>
                <w:bCs w:val="1"/>
                <w:color w:val="auto"/>
                <w:w w:val="98"/>
              </w:rPr>
              <w:t>5. Amount of</w:t>
            </w:r>
          </w:p>
        </w:tc>
        <w:tc>
          <w:tcPr>
            <w:tcW w:w="30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6.</w:t>
            </w:r>
          </w:p>
        </w:tc>
        <w:tc>
          <w:tcPr>
            <w:tcW w:w="16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02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70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300" w:type="dxa"/>
            <w:vAlign w:val="bottom"/>
          </w:tcPr>
          <w:p>
            <w:pPr>
              <w:spacing w:after="0"/>
              <w:rPr>
                <w:sz w:val="11"/>
                <w:szCs w:val="11"/>
                <w:color w:val="auto"/>
              </w:rPr>
            </w:pP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16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00" w:type="dxa"/>
            <w:vAlign w:val="bottom"/>
          </w:tcPr>
          <w:p>
            <w:pPr>
              <w:spacing w:after="0"/>
              <w:rPr>
                <w:sz w:val="11"/>
                <w:szCs w:val="11"/>
                <w:color w:val="auto"/>
              </w:rPr>
            </w:pP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 or</w:t>
            </w: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2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6"/>
                <w:szCs w:val="6"/>
                <w:color w:val="auto"/>
              </w:rPr>
            </w:pPr>
          </w:p>
        </w:tc>
        <w:tc>
          <w:tcPr>
            <w:tcW w:w="8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Indirect (I)</w:t>
            </w:r>
          </w:p>
        </w:tc>
        <w:tc>
          <w:tcPr>
            <w:tcW w:w="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ind w:left="320"/>
              <w:spacing w:after="0"/>
              <w:rPr>
                <w:sz w:val="20"/>
                <w:szCs w:val="20"/>
                <w:color w:val="auto"/>
              </w:rPr>
            </w:pPr>
            <w:r>
              <w:rPr>
                <w:rFonts w:ascii="Arial" w:cs="Arial" w:eastAsia="Arial" w:hAnsi="Arial"/>
                <w:sz w:val="12"/>
                <w:szCs w:val="12"/>
                <w:b w:val="1"/>
                <w:bCs w:val="1"/>
                <w:color w:val="auto"/>
              </w:rPr>
              <w:t>(D)</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5"/>
          </w:tcPr>
          <w:p>
            <w:pPr>
              <w:ind w:left="80"/>
              <w:spacing w:after="0"/>
              <w:rPr>
                <w:sz w:val="20"/>
                <w:szCs w:val="20"/>
                <w:color w:val="auto"/>
              </w:rPr>
            </w:pPr>
            <w:r>
              <w:rPr>
                <w:rFonts w:ascii="Arial" w:cs="Arial" w:eastAsia="Arial" w:hAnsi="Arial"/>
                <w:sz w:val="12"/>
                <w:szCs w:val="12"/>
                <w:b w:val="1"/>
                <w:bCs w:val="1"/>
                <w:color w:val="auto"/>
              </w:rPr>
              <w:t>(Instr. 3 and 4)</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240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06/03/2022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ind w:left="80"/>
              <w:spacing w:after="0" w:line="280" w:lineRule="exact"/>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160" w:type="dxa"/>
            <w:vAlign w:val="bottom"/>
          </w:tcPr>
          <w:p>
            <w:pPr>
              <w:spacing w:after="0"/>
              <w:rPr>
                <w:sz w:val="24"/>
                <w:szCs w:val="24"/>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1,240,490   D</w:t>
            </w:r>
          </w:p>
        </w:tc>
        <w:tc>
          <w:tcPr>
            <w:tcW w:w="500" w:type="dxa"/>
            <w:vAlign w:val="bottom"/>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4"/>
          </w:tcPr>
          <w:p>
            <w:pPr>
              <w:jc w:val="right"/>
              <w:ind w:right="113"/>
              <w:spacing w:after="0"/>
              <w:rPr>
                <w:sz w:val="20"/>
                <w:szCs w:val="20"/>
                <w:color w:val="auto"/>
              </w:rPr>
            </w:pPr>
            <w:r>
              <w:rPr>
                <w:rFonts w:ascii="Times New Roman" w:cs="Times New Roman" w:eastAsia="Times New Roman" w:hAnsi="Times New Roman"/>
                <w:sz w:val="17"/>
                <w:szCs w:val="17"/>
                <w:color w:val="0000FF"/>
                <w:w w:val="99"/>
              </w:rPr>
              <w:t>15,299,374</w:t>
            </w:r>
          </w:p>
        </w:tc>
        <w:tc>
          <w:tcPr>
            <w:tcW w:w="88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(3)(4)(5)</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1"/>
                <w:szCs w:val="11"/>
                <w:color w:val="008000"/>
              </w:rPr>
              <w:t>(6)(7)(8)</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3"/>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6"/>
          </w:tcPr>
          <w:p>
            <w:pPr>
              <w:spacing w:after="0"/>
              <w:rPr>
                <w:sz w:val="7"/>
                <w:szCs w:val="7"/>
                <w:color w:val="auto"/>
              </w:rPr>
            </w:pPr>
          </w:p>
        </w:tc>
        <w:tc>
          <w:tcPr>
            <w:tcW w:w="440" w:type="dxa"/>
            <w:vAlign w:val="bottom"/>
            <w:tcBorders>
              <w:bottom w:val="single" w:sz="8" w:color="2C2C2C"/>
            </w:tcBorders>
            <w:gridSpan w:val="3"/>
          </w:tcPr>
          <w:p>
            <w:pPr>
              <w:spacing w:after="0"/>
              <w:rPr>
                <w:sz w:val="7"/>
                <w:szCs w:val="7"/>
                <w:color w:val="auto"/>
              </w:rPr>
            </w:pPr>
          </w:p>
        </w:tc>
        <w:tc>
          <w:tcPr>
            <w:tcW w:w="1560" w:type="dxa"/>
            <w:vAlign w:val="bottom"/>
            <w:tcBorders>
              <w:bottom w:val="single" w:sz="8" w:color="2C2C2C"/>
            </w:tcBorders>
            <w:gridSpan w:val="3"/>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000" w:type="dxa"/>
            <w:vAlign w:val="bottom"/>
            <w:tcBorders>
              <w:top w:val="single" w:sz="8" w:color="2C2C2C"/>
            </w:tcBorders>
            <w:gridSpan w:val="23"/>
          </w:tcPr>
          <w:p>
            <w:pPr>
              <w:jc w:val="center"/>
              <w:ind w:right="6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0" w:type="dxa"/>
            <w:vAlign w:val="bottom"/>
            <w:gridSpan w:val="20"/>
          </w:tcPr>
          <w:p>
            <w:pPr>
              <w:jc w:val="center"/>
              <w:ind w:left="15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20" w:type="dxa"/>
            <w:vAlign w:val="bottom"/>
          </w:tcPr>
          <w:p>
            <w:pPr>
              <w:spacing w:after="0"/>
              <w:rPr>
                <w:sz w:val="15"/>
                <w:szCs w:val="15"/>
                <w:color w:val="auto"/>
              </w:rPr>
            </w:pPr>
          </w:p>
        </w:tc>
        <w:tc>
          <w:tcPr>
            <w:tcW w:w="10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5"/>
          </w:tcPr>
          <w:p>
            <w:pPr>
              <w:ind w:left="20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3"/>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88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2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300" w:type="dxa"/>
            <w:vAlign w:val="bottom"/>
          </w:tcPr>
          <w:p>
            <w:pPr>
              <w:spacing w:after="0"/>
              <w:rPr>
                <w:sz w:val="11"/>
                <w:szCs w:val="11"/>
                <w:color w:val="auto"/>
              </w:rPr>
            </w:pPr>
          </w:p>
        </w:tc>
        <w:tc>
          <w:tcPr>
            <w:tcW w:w="8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4"/>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gridSpan w:val="5"/>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900" w:type="dxa"/>
            <w:vAlign w:val="bottom"/>
            <w:gridSpan w:val="5"/>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26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1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4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BAIN CAPITAL VENTURE INVESTORS,</w:t>
        </w:r>
      </w:hyperlink>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LLC</w:t>
        </w:r>
      </w:hyperlink>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740" w:type="dxa"/>
            <w:vAlign w:val="bottom"/>
          </w:tcPr>
          <w:p>
            <w:pPr>
              <w:ind w:left="34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CLARENDON STREET</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74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7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7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740" w:type="dxa"/>
            <w:vAlign w:val="bottom"/>
          </w:tcPr>
          <w:p>
            <w:pPr>
              <w:ind w:left="34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800" w:type="dxa"/>
            <w:vAlign w:val="bottom"/>
            <w:tcBorders>
              <w:bottom w:val="single" w:sz="8" w:color="2C2C2C"/>
            </w:tcBorders>
            <w:gridSpan w:val="2"/>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9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800" w:type="dxa"/>
            <w:vAlign w:val="bottom"/>
            <w:tcBorders>
              <w:bottom w:val="single" w:sz="8" w:color="0000EE"/>
            </w:tcBorders>
            <w:gridSpan w:val="2"/>
          </w:tcPr>
          <w:p>
            <w:pPr>
              <w:spacing w:after="0" w:line="227" w:lineRule="exact"/>
              <w:rPr>
                <w:rFonts w:ascii="Times New Roman" w:cs="Times New Roman" w:eastAsia="Times New Roman" w:hAnsi="Times New Roman"/>
                <w:sz w:val="21"/>
                <w:szCs w:val="21"/>
                <w:color w:val="0000EE"/>
                <w:w w:val="99"/>
              </w:rPr>
            </w:pPr>
            <w:hyperlink r:id="rId15">
              <w:r>
                <w:rPr>
                  <w:rFonts w:ascii="Times New Roman" w:cs="Times New Roman" w:eastAsia="Times New Roman" w:hAnsi="Times New Roman"/>
                  <w:sz w:val="21"/>
                  <w:szCs w:val="21"/>
                  <w:color w:val="0000EE"/>
                  <w:w w:val="99"/>
                </w:rPr>
                <w:t>BCIP Venture Associates II, L.P.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740" w:type="dxa"/>
            <w:vAlign w:val="bottom"/>
          </w:tcPr>
          <w:p>
            <w:pPr>
              <w:ind w:left="34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CLARENDON STREET</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74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7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7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740" w:type="dxa"/>
            <w:vAlign w:val="bottom"/>
          </w:tcPr>
          <w:p>
            <w:pPr>
              <w:ind w:left="34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BCIP Venture Associates II-B, LP</w:t>
        </w:r>
      </w:hyperlink>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CLARENDON STREET</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Salem Enrique T</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-1261745</wp:posOffset>
            </wp:positionV>
            <wp:extent cx="2809240" cy="4209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4209415"/>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BAIN CAPITAL VENTURE INVESTORS,</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200 CLARENDON STREET</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3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300" w:type="dxa"/>
            <w:vAlign w:val="bottom"/>
            <w:gridSpan w:val="2"/>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Agarwal Ajay</w:t>
              </w:r>
            </w:hyperlink>
          </w:p>
        </w:tc>
        <w:tc>
          <w:tcPr>
            <w:tcW w:w="1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60" w:type="dxa"/>
            <w:vAlign w:val="bottom"/>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BAIN CAPITAL VENTURE INVESTORS,</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200 CLARENDON STREET</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2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3, 2022 Bain Capital Venture Fund 2014, L.P. ("Venture Fund 2014") sold 1,017,977 shares of the Issuer's Voting Common Stock, Bain Capital Venture Fund 2016, L.P. ("Venture Fund 2016") sold 67,862 shares of the Issuer's Voting Common Stock, Bain Capital Venture Coinvestment Fund II, L.P. ("Venture Coinvestment Fund II") sold 31,770 shares of the Issuer's Voting Common Stock, BCV 2019-MD Coinvestment II, L.P. ("2019-MD Coinvestment II") sold 1,271 shares of the Issuer's Voting Common Stock, BCIP Venture Associates ("BCIP Venture") sold 103,781 shares of the Issuer's Voting Common Stock, BCIP Venture Associates B ("BCIP Venture-B") sold 6,982 shares of the Issuer's Voting Common Stock, BCIP Venture Associates II, LP ("BCIP Venture II") sold 10,086 shares of the Issuer's Voting Common Stock,</w:t>
      </w:r>
    </w:p>
    <w:p>
      <w:pPr>
        <w:spacing w:after="0" w:line="26" w:lineRule="exact"/>
        <w:rPr>
          <w:rFonts w:ascii="Times New Roman" w:cs="Times New Roman" w:eastAsia="Times New Roman" w:hAnsi="Times New Roman"/>
          <w:sz w:val="13"/>
          <w:szCs w:val="13"/>
          <w:color w:val="008000"/>
        </w:rPr>
      </w:pPr>
    </w:p>
    <w:p>
      <w:pPr>
        <w:ind w:left="20" w:right="6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and BCIP Venture Associates II-B, LP ("BCIP Venture II-B" and, together with Venture Fund 2014, Venture Fund 2016, Venture Coinvestment Fund II, 2019-MD Coinvestment II, BCIP Venture, BCIP Venture-B and BCIP Venture II, the "Bain Capital Venture Entities"), sold 761 shares of the Issuer's Voting Common Stock, in each case pursuant to Rule 144 under the Securities Act of 1933, as amended.</w:t>
      </w:r>
    </w:p>
    <w:p>
      <w:pPr>
        <w:spacing w:after="0" w:line="20" w:lineRule="exact"/>
        <w:rPr>
          <w:rFonts w:ascii="Times New Roman" w:cs="Times New Roman" w:eastAsia="Times New Roman" w:hAnsi="Times New Roman"/>
          <w:sz w:val="13"/>
          <w:szCs w:val="13"/>
          <w:color w:val="008000"/>
        </w:rPr>
      </w:pPr>
    </w:p>
    <w:p>
      <w:pPr>
        <w:ind w:left="20" w:right="8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12,555,058 shares of the Issuer's Voting Common Stock held directly by Venture Fund 2014, 836,959 shares of the Issuer's Voting Common Stock held directly by Venture Fund 2016, 1,279,972 shares of the Issuer's Voting Common Stock held directly by BCIP Venture, 86,114 shares of the Issuer's Voting Common Stock held directly by BCIP Venture-B, 124,389 shares of the Issuer's Voting Common Stock held directly by BCIP Venture II, 9,379 shares of the Issuer's Voting Common Stock held directly by BCIP Venture II-B, 391,830 shares of the Issuer's Voting Common Stock held directly by Venture Coinvestment Fund II and 15,673 shares of the Issuer's Voting Common Stock held directly by 2019-MD Coinvestment II, in each case, after giving effect to the sales referenced in footnote 1 above.</w:t>
      </w:r>
    </w:p>
    <w:p>
      <w:pPr>
        <w:spacing w:after="0" w:line="26" w:lineRule="exact"/>
        <w:rPr>
          <w:rFonts w:ascii="Times New Roman" w:cs="Times New Roman" w:eastAsia="Times New Roman" w:hAnsi="Times New Roman"/>
          <w:sz w:val="13"/>
          <w:szCs w:val="13"/>
          <w:color w:val="008000"/>
        </w:rPr>
      </w:pPr>
    </w:p>
    <w:p>
      <w:pPr>
        <w:ind w:left="20" w:right="4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Bain Capital Venture Investors, LLC ("BCVI") is (i) the general partner of Bain Capital Venture Partners 2014, L.P. ("Venture Partners 2014"), which is the general partner of Venture Fund 2014. As a result, Venture Partners 2014 may be deemed to share voting and dispositive power with respect to the securities held by Venture Fund 2014. Venture Partners 2014 disclaims beneficial ownership of such securities except to the extent of its pecuniary interest therein.</w:t>
      </w:r>
    </w:p>
    <w:p>
      <w:pPr>
        <w:spacing w:after="0" w:line="20" w:lineRule="exact"/>
        <w:rPr>
          <w:rFonts w:ascii="Times New Roman" w:cs="Times New Roman" w:eastAsia="Times New Roman" w:hAnsi="Times New Roman"/>
          <w:sz w:val="13"/>
          <w:szCs w:val="13"/>
          <w:color w:val="008000"/>
        </w:rPr>
      </w:pPr>
    </w:p>
    <w:p>
      <w:pPr>
        <w:jc w:val="both"/>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BCVI is the general partner of Bain Capital Venture Partners 2016, L.P. ("Venture Partners 2016"), which is the general partner of Venture Fund 2016. As a result, Venture Partners 2016 may be deemed to share voting and dispositive power with respect to the securities held by Venture Fund 2016. Venture Partners 2016 disclaims beneficial ownership of such securities except to the extent of its pecuniary interest therein.</w:t>
      </w:r>
    </w:p>
    <w:p>
      <w:pPr>
        <w:spacing w:after="0" w:line="20" w:lineRule="exact"/>
        <w:rPr>
          <w:rFonts w:ascii="Times New Roman" w:cs="Times New Roman" w:eastAsia="Times New Roman" w:hAnsi="Times New Roman"/>
          <w:sz w:val="13"/>
          <w:szCs w:val="13"/>
          <w:color w:val="008000"/>
        </w:rPr>
      </w:pPr>
    </w:p>
    <w:p>
      <w:pPr>
        <w:ind w:left="20" w:right="6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BCVI is the manager of Bain Capital Venture Coinvestment II Investors, LLC ("Venture Coinvestment II Investors"), which is the general partner of each of Venture Coinvestment Fund II and 2019-MD Coinvestment II. As a result, Venture Coinvestment II Investors may be deemed to share voting and dispositive power with respect to the securities held by each of Venture Coinvestment Fund II and 2019-MD Coinvestment II. Venture Coinvestment II Investors disclaims beneficial ownership of such securities except to the extent of its pecuniary interest therein.</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Boylston Coinvestors, LLC is (i) the managing partner of each of BCIP Venture and BCIP Venture-B and (ii) the general partner of each of BCIP Venture II and BCIP Venture II-B.</w:t>
      </w:r>
    </w:p>
    <w:p>
      <w:pPr>
        <w:spacing w:after="0" w:line="50"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governance, investment strategy and decision-making process with respect to the investments held by the Bain Capital Venture Entities is directed by the Executive Committee of BCVI, which consists of Enrique Salem and Ajay Agarwal. As a result, BCVI and Messrs. Salem and Agarwal may be deemed to share voting and dispositive power with respect to all of the securities held by the Bain Capital Venture Entities. BCVI and Messrs. Salem and Agarwal disclaim beneficial ownership of such securities except to the extent of its or his pecuniary interest therein.</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Form 2 of 2.</w:t>
      </w:r>
    </w:p>
    <w:p>
      <w:pPr>
        <w:sectPr>
          <w:pgSz w:w="11900" w:h="16838" w:orient="portrait"/>
          <w:cols w:equalWidth="0" w:num="1">
            <w:col w:w="10900"/>
          </w:cols>
          <w:pgMar w:left="480" w:top="125" w:right="519" w:bottom="0" w:gutter="0" w:footer="0" w:header="0"/>
        </w:sectPr>
      </w:pPr>
    </w:p>
    <w:p>
      <w:pPr>
        <w:spacing w:after="0" w:line="7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9226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9226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Investors,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15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2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1112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01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BCIP Venture Associates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401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Boylston Coinvestors,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54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61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2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BCIP Venture Associates II-B,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00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Boylston Coinvestors,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54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61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26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Enrique T. Salem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959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895985"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Ajay Agarwal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7512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53"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700" w:space="60"/>
            <w:col w:w="2140"/>
          </w:cols>
          <w:pgMar w:left="480" w:top="125" w:right="519" w:bottom="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5" w:right="51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8"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12" Type="http://schemas.openxmlformats.org/officeDocument/2006/relationships/hyperlink" Target="http://www.sec.gov/cgi-bin/browse-edgar?action=getcompany&amp;CIK=0001309469" TargetMode="External"/><Relationship Id="rId13" Type="http://schemas.openxmlformats.org/officeDocument/2006/relationships/hyperlink" Target="http://www.sec.gov/cgi-bin/browse-edgar?action=getcompany&amp;CIK=0001580560" TargetMode="External"/><Relationship Id="rId15" Type="http://schemas.openxmlformats.org/officeDocument/2006/relationships/hyperlink" Target="http://www.sec.gov/cgi-bin/browse-edgar?action=getcompany&amp;CIK=0001859026" TargetMode="External"/><Relationship Id="rId16" Type="http://schemas.openxmlformats.org/officeDocument/2006/relationships/hyperlink" Target="http://www.sec.gov/cgi-bin/browse-edgar?action=getcompany&amp;CIK=0001859012" TargetMode="External"/><Relationship Id="rId17" Type="http://schemas.openxmlformats.org/officeDocument/2006/relationships/hyperlink" Target="http://www.sec.gov/cgi-bin/browse-edgar?action=getcompany&amp;CIK=0001295402" TargetMode="External"/><Relationship Id="rId19" Type="http://schemas.openxmlformats.org/officeDocument/2006/relationships/hyperlink" Target="http://www.sec.gov/cgi-bin/browse-edgar?action=getcompany&amp;CIK=0001708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2022-06-07T16:36:47Z</dcterms:created>
  <dcterms:modified xsi:type="dcterms:W3CDTF">2022-06-07T16:36:47Z</dcterms:modified>
</cp:coreProperties>
</file>