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163830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February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160655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FLYWIRE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p>
      <w:pPr>
        <w:spacing w:after="0" w:line="200" w:lineRule="exact"/>
        <w:rPr>
          <w:sz w:val="24"/>
          <w:szCs w:val="24"/>
          <w:color w:val="auto"/>
        </w:rPr>
      </w:pPr>
    </w:p>
    <w:p>
      <w:pPr>
        <w:spacing w:after="0" w:line="205"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1240"/>
        <w:spacing w:after="0"/>
        <w:rPr>
          <w:sz w:val="20"/>
          <w:szCs w:val="20"/>
          <w:color w:val="auto"/>
        </w:rPr>
      </w:pPr>
      <w:r>
        <w:rPr>
          <w:rFonts w:ascii="Arial" w:cs="Arial" w:eastAsia="Arial" w:hAnsi="Arial"/>
          <w:sz w:val="11"/>
          <w:szCs w:val="11"/>
          <w:b w:val="1"/>
          <w:bCs w:val="1"/>
          <w:color w:val="auto"/>
        </w:rPr>
        <w:t>001-40430</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27-0690799</w:t>
      </w:r>
    </w:p>
    <w:p>
      <w:pPr>
        <w:spacing w:after="0" w:line="23" w:lineRule="exact"/>
        <w:rPr>
          <w:sz w:val="24"/>
          <w:szCs w:val="24"/>
          <w:color w:val="auto"/>
        </w:rPr>
      </w:pPr>
    </w:p>
    <w:p>
      <w:pPr>
        <w:sectPr>
          <w:pgSz w:w="11900" w:h="16838" w:orient="portrait"/>
          <w:cols w:equalWidth="0" w:num="3">
            <w:col w:w="3600" w:space="720"/>
            <w:col w:w="1780" w:space="720"/>
            <w:col w:w="2199"/>
          </w:cols>
          <w:pgMar w:left="1440" w:top="309" w:right="1440" w:bottom="1440" w:gutter="0" w:footer="0" w:header="0"/>
          <w:type w:val="continuous"/>
        </w:sectPr>
      </w:pP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9"/>
          <w:szCs w:val="9"/>
          <w:b w:val="1"/>
          <w:bCs w:val="1"/>
          <w:color w:val="auto"/>
        </w:rPr>
        <w:t>(State or other jurisdiction</w:t>
      </w:r>
    </w:p>
    <w:p>
      <w:pPr>
        <w:jc w:val="center"/>
        <w:ind w:left="3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8"/>
          <w:szCs w:val="8"/>
          <w:b w:val="1"/>
          <w:bCs w:val="1"/>
          <w:color w:val="auto"/>
        </w:rPr>
        <w:t>(Commission</w:t>
      </w:r>
    </w:p>
    <w:p>
      <w:pPr>
        <w:spacing w:after="0" w:line="7"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Arial" w:cs="Arial" w:eastAsia="Arial" w:hAnsi="Arial"/>
          <w:sz w:val="10"/>
          <w:szCs w:val="10"/>
          <w:b w:val="1"/>
          <w:bCs w:val="1"/>
          <w:color w:val="auto"/>
        </w:rPr>
        <w:t>(IRS Employer</w:t>
      </w:r>
    </w:p>
    <w:p>
      <w:pPr>
        <w:jc w:val="center"/>
        <w:ind w:right="1499"/>
        <w:spacing w:after="0"/>
        <w:rPr>
          <w:sz w:val="20"/>
          <w:szCs w:val="20"/>
          <w:color w:val="auto"/>
        </w:rPr>
      </w:pPr>
      <w:r>
        <w:rPr>
          <w:rFonts w:ascii="Arial" w:cs="Arial" w:eastAsia="Arial" w:hAnsi="Arial"/>
          <w:sz w:val="9"/>
          <w:szCs w:val="9"/>
          <w:b w:val="1"/>
          <w:bCs w:val="1"/>
          <w:color w:val="auto"/>
        </w:rPr>
        <w:t>Identification No.)</w:t>
      </w:r>
    </w:p>
    <w:p>
      <w:pPr>
        <w:spacing w:after="0" w:line="125" w:lineRule="exact"/>
        <w:rPr>
          <w:sz w:val="24"/>
          <w:szCs w:val="24"/>
          <w:color w:val="auto"/>
        </w:rPr>
      </w:pPr>
    </w:p>
    <w:p>
      <w:pPr>
        <w:sectPr>
          <w:pgSz w:w="11900" w:h="16838" w:orient="portrait"/>
          <w:cols w:equalWidth="0" w:num="3">
            <w:col w:w="3580" w:space="720"/>
            <w:col w:w="1720" w:space="720"/>
            <w:col w:w="2279"/>
          </w:cols>
          <w:pgMar w:left="1440" w:top="309" w:right="1440" w:bottom="1440" w:gutter="0" w:footer="0" w:header="0"/>
          <w:type w:val="continuous"/>
        </w:sectPr>
      </w:pPr>
    </w:p>
    <w:p>
      <w:pPr>
        <w:ind w:left="3980"/>
        <w:spacing w:after="0"/>
        <w:rPr>
          <w:sz w:val="20"/>
          <w:szCs w:val="20"/>
          <w:color w:val="auto"/>
        </w:rPr>
      </w:pPr>
      <w:r>
        <w:rPr>
          <w:rFonts w:ascii="Arial" w:cs="Arial" w:eastAsia="Arial" w:hAnsi="Arial"/>
          <w:sz w:val="13"/>
          <w:szCs w:val="13"/>
          <w:b w:val="1"/>
          <w:bCs w:val="1"/>
          <w:color w:val="auto"/>
        </w:rPr>
        <w:t>141 Tremont St #10</w:t>
      </w:r>
    </w:p>
    <w:p>
      <w:pPr>
        <w:spacing w:after="0" w:line="12" w:lineRule="exact"/>
        <w:rPr>
          <w:sz w:val="24"/>
          <w:szCs w:val="24"/>
          <w:color w:val="auto"/>
        </w:rPr>
      </w:pPr>
    </w:p>
    <w:p>
      <w:pPr>
        <w:ind w:left="4020"/>
        <w:spacing w:after="0"/>
        <w:rPr>
          <w:sz w:val="20"/>
          <w:szCs w:val="20"/>
          <w:color w:val="auto"/>
        </w:rPr>
      </w:pPr>
      <w:r>
        <w:rPr>
          <w:rFonts w:ascii="Arial" w:cs="Arial" w:eastAsia="Arial" w:hAnsi="Arial"/>
          <w:sz w:val="13"/>
          <w:szCs w:val="13"/>
          <w:b w:val="1"/>
          <w:bCs w:val="1"/>
          <w:color w:val="auto"/>
        </w:rPr>
        <w:t>Boston, MA 02111</w:t>
      </w: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and zip code)</w:t>
      </w:r>
    </w:p>
    <w:p>
      <w:pPr>
        <w:sectPr>
          <w:pgSz w:w="11900" w:h="16838" w:orient="portrait"/>
          <w:cols w:equalWidth="0" w:num="1">
            <w:col w:w="9019"/>
          </w:cols>
          <w:pgMar w:left="1440" w:top="309" w:right="1440"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(617) 329-4524</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7"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32"/>
        </w:trPr>
        <w:tc>
          <w:tcPr>
            <w:tcW w:w="26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87"/>
              </w:rPr>
              <w:t>Voting Common Stock, $0.0001 par value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FLYW</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89"/>
              </w:rPr>
              <w:t>The Nasdaq Stock Market LLC</w:t>
            </w:r>
          </w:p>
        </w:tc>
      </w:tr>
      <w:tr>
        <w:trPr>
          <w:trHeight w:val="161"/>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3"/>
                <w:szCs w:val="13"/>
                <w:color w:val="auto"/>
                <w:w w:val="88"/>
              </w:rPr>
              <w:t>(Nasdaq Global Select Market)</w:t>
            </w:r>
          </w:p>
        </w:tc>
      </w:tr>
    </w:tbl>
    <w:p>
      <w:pPr>
        <w:spacing w:after="0" w:line="124"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50"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2" w:lineRule="exact"/>
        <w:rPr>
          <w:sz w:val="20"/>
          <w:szCs w:val="20"/>
          <w:color w:val="auto"/>
        </w:rPr>
      </w:pPr>
    </w:p>
    <w:p>
      <w:pPr>
        <w:ind w:left="640" w:right="739"/>
        <w:spacing w:after="0" w:line="252" w:lineRule="auto"/>
        <w:rPr>
          <w:sz w:val="20"/>
          <w:szCs w:val="20"/>
          <w:color w:val="auto"/>
        </w:rPr>
      </w:pPr>
      <w:r>
        <w:rPr>
          <w:rFonts w:ascii="Arial" w:cs="Arial" w:eastAsia="Arial" w:hAnsi="Arial"/>
          <w:sz w:val="13"/>
          <w:szCs w:val="13"/>
          <w:color w:val="auto"/>
        </w:rPr>
        <w:t>On February 28, 2023, Flywire Corporation (“Flywire” or the “Company”) issued a press release (the “Press Release”) and is holding a conference call regarding its preliminary and unaudited financial results for the quarter and year ended December 31, 2022. The Press Release is furnished as Exhibit 99.1 to this Current Report on Form 8-K and is incorporated by reference herein.</w:t>
      </w:r>
    </w:p>
    <w:p>
      <w:pPr>
        <w:spacing w:after="0" w:line="136" w:lineRule="exact"/>
        <w:rPr>
          <w:sz w:val="20"/>
          <w:szCs w:val="20"/>
          <w:color w:val="auto"/>
        </w:rPr>
      </w:pPr>
    </w:p>
    <w:p>
      <w:pPr>
        <w:ind w:left="640" w:right="659"/>
        <w:spacing w:after="0" w:line="289" w:lineRule="auto"/>
        <w:rPr>
          <w:sz w:val="20"/>
          <w:szCs w:val="20"/>
          <w:color w:val="auto"/>
        </w:rPr>
      </w:pPr>
      <w:r>
        <w:rPr>
          <w:rFonts w:ascii="Arial" w:cs="Arial" w:eastAsia="Arial" w:hAnsi="Arial"/>
          <w:sz w:val="11"/>
          <w:szCs w:val="11"/>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its revenue, cost and operating expenses, including changes in technology and development, selling and marketing and general administrative expenses (including any components of the foregoing), gross profit and its ability to achieve, and maintain, future profitability.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including the ongoing effects of the COVID-19 pandemic and subsequent public health measures that may affect Flywire’s business or the global economy; beliefs and objectives for future operations;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2021, and Quarterly Report on Form 10-Q for the quarter ended September 30, 2022, which are on file with the Securities and Exchange Commission (SEC) and available on the SEC’s website at https://www.sec.gov/. Additional factors may be described in those sections of Flywire’s Annual Report on Form 10-K for the year ended December 31, 2022, expected to be filed with the SEC in the first quarter of 2023.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ectPr>
          <w:pgSz w:w="11900" w:h="16838" w:orient="portrait"/>
          <w:cols w:equalWidth="0" w:num="1">
            <w:col w:w="9019"/>
          </w:cols>
          <w:pgMar w:left="1440" w:top="250" w:right="1440" w:bottom="1440" w:gutter="0" w:footer="0" w:header="0"/>
        </w:sectPr>
      </w:pPr>
    </w:p>
    <w:bookmarkStart w:id="2" w:name="page3"/>
    <w:bookmarkEnd w:id="2"/>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ind w:left="640" w:right="839"/>
        <w:spacing w:after="0" w:line="252" w:lineRule="auto"/>
        <w:rPr>
          <w:sz w:val="20"/>
          <w:szCs w:val="20"/>
          <w:color w:val="auto"/>
        </w:rPr>
      </w:pPr>
      <w:r>
        <w:rPr>
          <w:rFonts w:ascii="Arial" w:cs="Arial" w:eastAsia="Arial" w:hAnsi="Arial"/>
          <w:sz w:val="13"/>
          <w:szCs w:val="13"/>
          <w:color w:val="auto"/>
        </w:rPr>
        <w:t>On February 28, 2023,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36" w:lineRule="exact"/>
        <w:rPr>
          <w:sz w:val="20"/>
          <w:szCs w:val="20"/>
          <w:color w:val="auto"/>
        </w:rPr>
      </w:pPr>
    </w:p>
    <w:p>
      <w:pPr>
        <w:jc w:val="both"/>
        <w:ind w:left="640" w:right="679"/>
        <w:spacing w:after="0" w:line="320" w:lineRule="auto"/>
        <w:rPr>
          <w:sz w:val="20"/>
          <w:szCs w:val="20"/>
          <w:color w:val="auto"/>
        </w:rPr>
      </w:pPr>
      <w:r>
        <w:rPr>
          <w:rFonts w:ascii="Arial" w:cs="Arial" w:eastAsia="Arial" w:hAnsi="Arial"/>
          <w:sz w:val="11"/>
          <w:szCs w:val="11"/>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01"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 Exhibits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Exhibit</w:t>
      </w:r>
    </w:p>
    <w:p>
      <w:pPr>
        <w:ind w:left="720"/>
        <w:spacing w:after="0"/>
        <w:tabs>
          <w:tab w:leader="none" w:pos="124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Description</w:t>
      </w:r>
    </w:p>
    <w:p>
      <w:pPr>
        <w:spacing w:after="0" w:line="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u w:val="single" w:color="auto"/>
          <w:color w:val="0000EE"/>
        </w:rPr>
        <w:t>Flywire Corporation Press Release dated February 28, 2023.</w:t>
      </w:r>
    </w:p>
    <w:p>
      <w:pPr>
        <w:spacing w:after="0" w:line="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u w:val="single" w:color="auto"/>
          <w:color w:val="0000EE"/>
        </w:rPr>
        <w:t>Flywire Corporation Investor Presentation dated February 28, 2023.</w:t>
      </w:r>
    </w:p>
    <w:p>
      <w:pPr>
        <w:spacing w:after="0" w:line="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4"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FLYWIRE CORPORATION</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440" w:type="dxa"/>
            <w:vAlign w:val="bottom"/>
          </w:tcPr>
          <w:p>
            <w:pPr>
              <w:spacing w:after="0"/>
              <w:rPr>
                <w:sz w:val="20"/>
                <w:szCs w:val="20"/>
                <w:color w:val="auto"/>
              </w:rPr>
            </w:pPr>
            <w:r>
              <w:rPr>
                <w:rFonts w:ascii="Arial" w:cs="Arial" w:eastAsia="Arial" w:hAnsi="Arial"/>
                <w:sz w:val="13"/>
                <w:szCs w:val="13"/>
                <w:color w:val="auto"/>
              </w:rPr>
              <w:t>By:</w:t>
            </w:r>
          </w:p>
        </w:tc>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Ellis</w:t>
            </w:r>
          </w:p>
        </w:tc>
      </w:tr>
      <w:tr>
        <w:trPr>
          <w:trHeight w:val="142"/>
        </w:trPr>
        <w:tc>
          <w:tcPr>
            <w:tcW w:w="440" w:type="dxa"/>
            <w:vAlign w:val="bottom"/>
          </w:tcPr>
          <w:p>
            <w:pPr>
              <w:spacing w:after="0" w:line="142" w:lineRule="exact"/>
              <w:rPr>
                <w:sz w:val="20"/>
                <w:szCs w:val="20"/>
                <w:color w:val="auto"/>
              </w:rPr>
            </w:pPr>
            <w:r>
              <w:rPr>
                <w:rFonts w:ascii="Arial" w:cs="Arial" w:eastAsia="Arial" w:hAnsi="Arial"/>
                <w:sz w:val="13"/>
                <w:szCs w:val="13"/>
                <w:color w:val="auto"/>
              </w:rPr>
              <w:t>Name:</w:t>
            </w:r>
          </w:p>
        </w:tc>
        <w:tc>
          <w:tcPr>
            <w:tcW w:w="2640" w:type="dxa"/>
            <w:vAlign w:val="bottom"/>
          </w:tcPr>
          <w:p>
            <w:pPr>
              <w:spacing w:after="0" w:line="142" w:lineRule="exact"/>
              <w:rPr>
                <w:sz w:val="20"/>
                <w:szCs w:val="20"/>
                <w:color w:val="auto"/>
              </w:rPr>
            </w:pPr>
            <w:r>
              <w:rPr>
                <w:rFonts w:ascii="Arial" w:cs="Arial" w:eastAsia="Arial" w:hAnsi="Arial"/>
                <w:sz w:val="13"/>
                <w:szCs w:val="13"/>
                <w:color w:val="auto"/>
              </w:rPr>
              <w:t>Michael Ellis</w:t>
            </w:r>
          </w:p>
        </w:tc>
      </w:tr>
      <w:tr>
        <w:trPr>
          <w:trHeight w:val="161"/>
        </w:trPr>
        <w:tc>
          <w:tcPr>
            <w:tcW w:w="440" w:type="dxa"/>
            <w:vAlign w:val="bottom"/>
          </w:tcPr>
          <w:p>
            <w:pPr>
              <w:spacing w:after="0"/>
              <w:rPr>
                <w:sz w:val="20"/>
                <w:szCs w:val="20"/>
                <w:color w:val="auto"/>
              </w:rPr>
            </w:pPr>
            <w:r>
              <w:rPr>
                <w:rFonts w:ascii="Arial" w:cs="Arial" w:eastAsia="Arial" w:hAnsi="Arial"/>
                <w:sz w:val="13"/>
                <w:szCs w:val="13"/>
                <w:color w:val="auto"/>
              </w:rPr>
              <w:t>Title:</w:t>
            </w:r>
          </w:p>
        </w:tc>
        <w:tc>
          <w:tcPr>
            <w:tcW w:w="264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pacing w:after="0" w:line="143"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Dated February 28, 2023</w:t>
      </w:r>
    </w:p>
    <w:p>
      <w:pPr>
        <w:sectPr>
          <w:pgSz w:w="11900" w:h="16838" w:orient="portrait"/>
          <w:cols w:equalWidth="0" w:num="1">
            <w:col w:w="9019"/>
          </w:cols>
          <w:pgMar w:left="1440" w:top="254" w:right="1440" w:bottom="1440" w:gutter="0" w:footer="0" w:header="0"/>
        </w:sectPr>
      </w:pPr>
    </w:p>
    <w:bookmarkStart w:id="4" w:name="page5"/>
    <w:bookmarkEnd w:id="4"/>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Flywire Reports Fourth Quarter and Fiscal-Year 2022 Financial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Fourth Quarter Revenue Increased 42% Year-over-Year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Fourth Quarter Revenue Less Ancillary Services Increased 47% Year-over-Year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Fourth Quarter Revenue Less Ancillary Services at Constant Currency Increased 57% Year-Over-Year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Fourth Quarter Gross Profit Increased 35% and Adjusted Gross Profit Increased 40% Year-over-Year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Company Provides First Quarter and Fiscal-Year 2023 Outlook</w:t>
      </w:r>
    </w:p>
    <w:p>
      <w:pPr>
        <w:spacing w:after="0" w:line="150" w:lineRule="exact"/>
        <w:rPr>
          <w:sz w:val="20"/>
          <w:szCs w:val="20"/>
          <w:color w:val="auto"/>
        </w:rPr>
      </w:pPr>
    </w:p>
    <w:p>
      <w:pPr>
        <w:ind w:left="640" w:right="779"/>
        <w:spacing w:after="0" w:line="267" w:lineRule="auto"/>
        <w:rPr>
          <w:sz w:val="20"/>
          <w:szCs w:val="20"/>
          <w:color w:val="auto"/>
        </w:rPr>
      </w:pPr>
      <w:r>
        <w:rPr>
          <w:rFonts w:ascii="Arial" w:cs="Arial" w:eastAsia="Arial" w:hAnsi="Arial"/>
          <w:sz w:val="13"/>
          <w:szCs w:val="13"/>
          <w:b w:val="1"/>
          <w:bCs w:val="1"/>
          <w:color w:val="auto"/>
        </w:rPr>
        <w:t xml:space="preserve">Boston, MA – February 28, 2023: </w:t>
      </w:r>
      <w:r>
        <w:rPr>
          <w:rFonts w:ascii="Arial" w:cs="Arial" w:eastAsia="Arial" w:hAnsi="Arial"/>
          <w:sz w:val="13"/>
          <w:szCs w:val="13"/>
          <w:color w:val="auto"/>
        </w:rPr>
        <w:t>Flywire Corporation (Nasdaq: FLYW) (“Flywire” or the “Company”) a global payments enablement and software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today reported financial results for its fourth quarter and fiscal-year ended December 31, 2022.</w:t>
      </w:r>
    </w:p>
    <w:p>
      <w:pPr>
        <w:spacing w:after="0" w:line="126" w:lineRule="exact"/>
        <w:rPr>
          <w:sz w:val="20"/>
          <w:szCs w:val="20"/>
          <w:color w:val="auto"/>
        </w:rPr>
      </w:pPr>
    </w:p>
    <w:p>
      <w:pPr>
        <w:ind w:left="640" w:right="759"/>
        <w:spacing w:after="0" w:line="246" w:lineRule="auto"/>
        <w:rPr>
          <w:sz w:val="20"/>
          <w:szCs w:val="20"/>
          <w:color w:val="auto"/>
        </w:rPr>
      </w:pPr>
      <w:r>
        <w:rPr>
          <w:rFonts w:ascii="Arial" w:cs="Arial" w:eastAsia="Arial" w:hAnsi="Arial"/>
          <w:sz w:val="13"/>
          <w:szCs w:val="13"/>
          <w:color w:val="auto"/>
        </w:rPr>
        <w:t>“Our excellent results in the fourth quarter capped off a tremendous year for Flywire. We continued to execute against our growth strategies, combined with increased demand for our solutions across our education, healthcare, travel and B2B verticals,” said Mike Massaro, CEO of Flywire. “After a significant investment year in 2022 that delivered exceptional results, we feel more confident than ever that we can scale our business efficiently as we head into 2023. With a focus on driving growth in core markets and industries, we plan to continue to execute against our winning strategy, including optimizing our Go-To-Market capabilities, deepening our Flywire Advantage, and strengthening our FlyMate community. We look forward to capitalizing on the momentum behind us to keep penetrating the substantial TAMs in the industries that we serve, and deliver even more value for our clients, payers, and partners.”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Fourth Quarter 2022 Financial Highlights</w:t>
      </w:r>
      <w:r>
        <w:rPr>
          <w:rFonts w:ascii="Arial" w:cs="Arial" w:eastAsia="Arial" w:hAnsi="Arial"/>
          <w:sz w:val="18"/>
          <w:szCs w:val="18"/>
          <w:b w:val="1"/>
          <w:bCs w:val="1"/>
          <w:color w:val="auto"/>
          <w:vertAlign w:val="superscript"/>
        </w:rPr>
        <w:t>1</w:t>
      </w:r>
      <w:r>
        <w:rPr>
          <w:rFonts w:ascii="Arial" w:cs="Arial" w:eastAsia="Arial" w:hAnsi="Arial"/>
          <w:sz w:val="13"/>
          <w:szCs w:val="13"/>
          <w:b w:val="1"/>
          <w:bCs w:val="1"/>
          <w:color w:val="auto"/>
        </w:rPr>
        <w:t>:</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GAAP Results</w:t>
      </w:r>
    </w:p>
    <w:p>
      <w:pPr>
        <w:spacing w:after="0" w:line="77" w:lineRule="exact"/>
        <w:rPr>
          <w:sz w:val="20"/>
          <w:szCs w:val="20"/>
          <w:color w:val="auto"/>
        </w:rPr>
      </w:pPr>
    </w:p>
    <w:p>
      <w:pPr>
        <w:ind w:left="1320" w:hanging="379"/>
        <w:spacing w:after="0"/>
        <w:tabs>
          <w:tab w:leader="none" w:pos="1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increased 42% to $73.1 million in the fourth quarter of 2022, compared to $51.4 million in the fourth quarter of 2021.</w:t>
      </w:r>
    </w:p>
    <w:p>
      <w:pPr>
        <w:spacing w:after="0" w:line="98" w:lineRule="exact"/>
        <w:rPr>
          <w:rFonts w:ascii="Arial" w:cs="Arial" w:eastAsia="Arial" w:hAnsi="Arial"/>
          <w:sz w:val="12"/>
          <w:szCs w:val="12"/>
          <w:color w:val="auto"/>
        </w:rPr>
      </w:pPr>
    </w:p>
    <w:p>
      <w:pPr>
        <w:ind w:left="1320" w:right="859" w:hanging="379"/>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Gross Profit increased to $41.5 million, resulting in Gross Margin of 56.8%, for the fourth quarter of 2022, compared to Gross Profit of $30.7 million and Gross Margin of 59.7%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166370</wp:posOffset>
            </wp:positionV>
            <wp:extent cx="5416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03" w:lineRule="exact"/>
        <w:rPr>
          <w:sz w:val="20"/>
          <w:szCs w:val="20"/>
          <w:color w:val="auto"/>
        </w:rPr>
      </w:pPr>
    </w:p>
    <w:p>
      <w:pPr>
        <w:ind w:left="940" w:hanging="303"/>
        <w:spacing w:after="0"/>
        <w:tabs>
          <w:tab w:leader="none" w:pos="940"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See “Financial Disclosure Advisory” below.</w:t>
      </w:r>
    </w:p>
    <w:p>
      <w:pPr>
        <w:sectPr>
          <w:pgSz w:w="11900" w:h="16838" w:orient="portrait"/>
          <w:cols w:equalWidth="0" w:num="1">
            <w:col w:w="9019"/>
          </w:cols>
          <w:pgMar w:left="1440" w:top="127" w:right="1440" w:bottom="1440" w:gutter="0" w:footer="0" w:header="0"/>
        </w:sectPr>
      </w:pPr>
    </w:p>
    <w:bookmarkStart w:id="5" w:name="page6"/>
    <w:bookmarkEnd w:id="5"/>
    <w:p>
      <w:pPr>
        <w:ind w:left="1320" w:hanging="379"/>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Net loss was $1.1 million in the fourth quarter of 2022, compared to net loss of $11.2 million in the fourth quarter of 2021.</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Key Operating Metrics and Non-GAAP Results</w:t>
      </w:r>
    </w:p>
    <w:p>
      <w:pPr>
        <w:spacing w:after="0" w:line="87" w:lineRule="exact"/>
        <w:rPr>
          <w:sz w:val="20"/>
          <w:szCs w:val="20"/>
          <w:color w:val="auto"/>
        </w:rPr>
      </w:pPr>
    </w:p>
    <w:p>
      <w:pPr>
        <w:ind w:left="1320" w:hanging="379"/>
        <w:spacing w:after="0"/>
        <w:tabs>
          <w:tab w:leader="none" w:pos="1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Total Payment Volume increased 29% to $4.1 billion in the fourth quarter of 2022, compared to $3.1 billion in the fourth quarter of 2021.</w:t>
      </w:r>
    </w:p>
    <w:p>
      <w:pPr>
        <w:spacing w:after="0" w:line="110" w:lineRule="exact"/>
        <w:rPr>
          <w:rFonts w:ascii="Arial" w:cs="Arial" w:eastAsia="Arial" w:hAnsi="Arial"/>
          <w:sz w:val="11"/>
          <w:szCs w:val="11"/>
          <w:color w:val="auto"/>
        </w:rPr>
      </w:pPr>
    </w:p>
    <w:p>
      <w:pPr>
        <w:ind w:left="1320" w:right="879" w:hanging="379"/>
        <w:spacing w:after="0" w:line="261"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Revenue Less Ancillary Services increased 47% to $67.4 million in the fourth quarter of 2022, compared to $45.9 million in the fourth quarter of 2021.</w:t>
      </w:r>
    </w:p>
    <w:p>
      <w:pPr>
        <w:spacing w:after="0" w:line="63" w:lineRule="exact"/>
        <w:rPr>
          <w:rFonts w:ascii="Arial" w:cs="Arial" w:eastAsia="Arial" w:hAnsi="Arial"/>
          <w:sz w:val="13"/>
          <w:szCs w:val="13"/>
          <w:color w:val="auto"/>
        </w:rPr>
      </w:pPr>
    </w:p>
    <w:p>
      <w:pPr>
        <w:ind w:left="2100" w:right="1159" w:hanging="458"/>
        <w:spacing w:after="0" w:line="261" w:lineRule="auto"/>
        <w:tabs>
          <w:tab w:leader="none" w:pos="2100" w:val="left"/>
        </w:tabs>
        <w:numPr>
          <w:ilvl w:val="1"/>
          <w:numId w:val="5"/>
        </w:numPr>
        <w:rPr>
          <w:rFonts w:ascii="Arial" w:cs="Arial" w:eastAsia="Arial" w:hAnsi="Arial"/>
          <w:sz w:val="13"/>
          <w:szCs w:val="13"/>
          <w:color w:val="auto"/>
        </w:rPr>
      </w:pPr>
      <w:r>
        <w:rPr>
          <w:rFonts w:ascii="Arial" w:cs="Arial" w:eastAsia="Arial" w:hAnsi="Arial"/>
          <w:sz w:val="13"/>
          <w:szCs w:val="13"/>
          <w:color w:val="auto"/>
        </w:rPr>
        <w:t>Revenue Less Ancillary Services was unfavorably impacted by foreign currency exchange rates year-over-year by $4.6 million</w:t>
      </w:r>
    </w:p>
    <w:p>
      <w:pPr>
        <w:spacing w:after="0" w:line="63" w:lineRule="exact"/>
        <w:rPr>
          <w:rFonts w:ascii="Arial" w:cs="Arial" w:eastAsia="Arial" w:hAnsi="Arial"/>
          <w:sz w:val="13"/>
          <w:szCs w:val="13"/>
          <w:color w:val="auto"/>
        </w:rPr>
      </w:pPr>
    </w:p>
    <w:p>
      <w:pPr>
        <w:ind w:left="2100" w:hanging="458"/>
        <w:spacing w:after="0"/>
        <w:tabs>
          <w:tab w:leader="none" w:pos="2100" w:val="left"/>
        </w:tabs>
        <w:numPr>
          <w:ilvl w:val="1"/>
          <w:numId w:val="5"/>
        </w:numPr>
        <w:rPr>
          <w:rFonts w:ascii="Arial" w:cs="Arial" w:eastAsia="Arial" w:hAnsi="Arial"/>
          <w:sz w:val="13"/>
          <w:szCs w:val="13"/>
          <w:color w:val="auto"/>
        </w:rPr>
      </w:pPr>
      <w:r>
        <w:rPr>
          <w:rFonts w:ascii="Arial" w:cs="Arial" w:eastAsia="Arial" w:hAnsi="Arial"/>
          <w:sz w:val="13"/>
          <w:szCs w:val="13"/>
          <w:color w:val="auto"/>
        </w:rPr>
        <w:t>Revenue Less Ancillary Services at Constant Currency was 57%</w:t>
      </w:r>
    </w:p>
    <w:p>
      <w:pPr>
        <w:spacing w:after="0" w:line="87" w:lineRule="exact"/>
        <w:rPr>
          <w:rFonts w:ascii="Arial" w:cs="Arial" w:eastAsia="Arial" w:hAnsi="Arial"/>
          <w:sz w:val="13"/>
          <w:szCs w:val="13"/>
          <w:color w:val="auto"/>
        </w:rPr>
      </w:pPr>
    </w:p>
    <w:p>
      <w:pPr>
        <w:ind w:left="1320" w:right="659" w:hanging="379"/>
        <w:spacing w:after="0" w:line="249"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Gross Profit increased to $44.5 million, resulting in Adjusted Gross Margin of 66.0% in the fourth quarter of 2022, compared to Adjusted Gross Profit of $31.8 million and Adjusted Gross Margin of 69.3% in the fourth quarter of 2021. Prior year Adjusted Gross Profit and Adjusted Gross Margin have been recast to align with the updated methodology as described in the Key Operating Metrics and Non-GAAP Financial Measures table below.</w:t>
      </w:r>
    </w:p>
    <w:p>
      <w:pPr>
        <w:spacing w:after="0" w:line="71" w:lineRule="exact"/>
        <w:rPr>
          <w:rFonts w:ascii="Arial" w:cs="Arial" w:eastAsia="Arial" w:hAnsi="Arial"/>
          <w:sz w:val="13"/>
          <w:szCs w:val="13"/>
          <w:color w:val="auto"/>
        </w:rPr>
      </w:pPr>
    </w:p>
    <w:p>
      <w:pPr>
        <w:ind w:left="1320" w:hanging="379"/>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EBITDA was $1.0 million in the fourth quarter of 2022, compared to $(1.7) million in the fourth quarter of 2021.</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Fiscal-Year 2022 Financial Highlights</w:t>
      </w:r>
      <w:r>
        <w:rPr>
          <w:rFonts w:ascii="Arial" w:cs="Arial" w:eastAsia="Arial" w:hAnsi="Arial"/>
          <w:sz w:val="18"/>
          <w:szCs w:val="18"/>
          <w:b w:val="1"/>
          <w:bCs w:val="1"/>
          <w:color w:val="auto"/>
          <w:vertAlign w:val="superscript"/>
        </w:rPr>
        <w:t>1</w:t>
      </w:r>
      <w:r>
        <w:rPr>
          <w:rFonts w:ascii="Arial" w:cs="Arial" w:eastAsia="Arial" w:hAnsi="Arial"/>
          <w:sz w:val="13"/>
          <w:szCs w:val="13"/>
          <w:b w:val="1"/>
          <w:bCs w:val="1"/>
          <w:color w:val="auto"/>
        </w:rPr>
        <w:t>:</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GAAP Results</w:t>
      </w:r>
    </w:p>
    <w:p>
      <w:pPr>
        <w:spacing w:after="0" w:line="77" w:lineRule="exact"/>
        <w:rPr>
          <w:sz w:val="20"/>
          <w:szCs w:val="20"/>
          <w:color w:val="auto"/>
        </w:rPr>
      </w:pPr>
    </w:p>
    <w:p>
      <w:pPr>
        <w:ind w:left="1320" w:hanging="379"/>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Revenue increased 44% to $289.4 million in fiscal-year 2022, compared to $201.1 million in fiscal-year 2021.</w:t>
      </w:r>
    </w:p>
    <w:p>
      <w:pPr>
        <w:spacing w:after="0" w:line="87" w:lineRule="exact"/>
        <w:rPr>
          <w:rFonts w:ascii="Arial" w:cs="Arial" w:eastAsia="Arial" w:hAnsi="Arial"/>
          <w:sz w:val="13"/>
          <w:szCs w:val="13"/>
          <w:color w:val="auto"/>
        </w:rPr>
      </w:pPr>
    </w:p>
    <w:p>
      <w:pPr>
        <w:ind w:left="1320" w:right="1359" w:hanging="379"/>
        <w:spacing w:after="0" w:line="26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Gross Profit increased to $174.9 million, resulting in Gross Margin of 60.4% in fiscal-year 2022, compared to Gross Profit of $125.2 million and Gross Margin of 62.3% in fiscal-year 2021.</w:t>
      </w:r>
    </w:p>
    <w:p>
      <w:pPr>
        <w:spacing w:after="0" w:line="63" w:lineRule="exact"/>
        <w:rPr>
          <w:rFonts w:ascii="Arial" w:cs="Arial" w:eastAsia="Arial" w:hAnsi="Arial"/>
          <w:sz w:val="13"/>
          <w:szCs w:val="13"/>
          <w:color w:val="auto"/>
        </w:rPr>
      </w:pPr>
    </w:p>
    <w:p>
      <w:pPr>
        <w:ind w:left="1320" w:hanging="379"/>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Net loss was $39.3 million in fiscal-year 2022, compared to net loss of $28.1 million in fiscal-year 2021.</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Key Operating Metrics and Non-GAAP Results:</w:t>
      </w:r>
    </w:p>
    <w:p>
      <w:pPr>
        <w:spacing w:after="0" w:line="87" w:lineRule="exact"/>
        <w:rPr>
          <w:sz w:val="20"/>
          <w:szCs w:val="20"/>
          <w:color w:val="auto"/>
        </w:rPr>
      </w:pPr>
    </w:p>
    <w:p>
      <w:pPr>
        <w:ind w:left="1320" w:hanging="379"/>
        <w:spacing w:after="0"/>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Total Payment Volume increased 37% to $18.1 billion in fiscal-year 2022, compared to $13.2 billion in fiscal-year 2021.</w:t>
      </w:r>
    </w:p>
    <w:p>
      <w:pPr>
        <w:spacing w:after="0" w:line="87" w:lineRule="exact"/>
        <w:rPr>
          <w:rFonts w:ascii="Arial" w:cs="Arial" w:eastAsia="Arial" w:hAnsi="Arial"/>
          <w:sz w:val="13"/>
          <w:szCs w:val="13"/>
          <w:color w:val="auto"/>
        </w:rPr>
      </w:pPr>
    </w:p>
    <w:p>
      <w:pPr>
        <w:ind w:left="1320" w:hanging="379"/>
        <w:spacing w:after="0"/>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Revenue Less Ancillary Services increased 47% to $267.1 million in fiscal-year 2022, compared to $181.1 million in fiscal-year 2021.</w:t>
      </w:r>
    </w:p>
    <w:p>
      <w:pPr>
        <w:spacing w:after="0" w:line="98" w:lineRule="exact"/>
        <w:rPr>
          <w:rFonts w:ascii="Arial" w:cs="Arial" w:eastAsia="Arial" w:hAnsi="Arial"/>
          <w:sz w:val="12"/>
          <w:szCs w:val="12"/>
          <w:color w:val="auto"/>
        </w:rPr>
      </w:pPr>
    </w:p>
    <w:p>
      <w:pPr>
        <w:ind w:left="2100" w:right="1159" w:hanging="458"/>
        <w:spacing w:after="0" w:line="261" w:lineRule="auto"/>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Revenue Less Ancillary Services was unfavorably impacted by foreign currency exchange rates year-over-year by approximately $14.2 million</w:t>
      </w:r>
    </w:p>
    <w:p>
      <w:pPr>
        <w:spacing w:after="0" w:line="63" w:lineRule="exact"/>
        <w:rPr>
          <w:rFonts w:ascii="Arial" w:cs="Arial" w:eastAsia="Arial" w:hAnsi="Arial"/>
          <w:sz w:val="13"/>
          <w:szCs w:val="13"/>
          <w:color w:val="auto"/>
        </w:rPr>
      </w:pPr>
    </w:p>
    <w:p>
      <w:pPr>
        <w:ind w:left="2100" w:hanging="458"/>
        <w:spacing w:after="0"/>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Revenue Less Ancillary Services at Constant Currency was 55%</w:t>
      </w:r>
    </w:p>
    <w:p>
      <w:pPr>
        <w:spacing w:after="0" w:line="87" w:lineRule="exact"/>
        <w:rPr>
          <w:rFonts w:ascii="Arial" w:cs="Arial" w:eastAsia="Arial" w:hAnsi="Arial"/>
          <w:sz w:val="13"/>
          <w:szCs w:val="13"/>
          <w:color w:val="auto"/>
        </w:rPr>
      </w:pPr>
    </w:p>
    <w:p>
      <w:pPr>
        <w:ind w:left="1320" w:hanging="379"/>
        <w:spacing w:after="0"/>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Adjusted Gross Profit of $181.9 million, resulting in Adjusted Gross Margin of 68.1% in 2022, compared to Adjusted Gross Profit of</w:t>
      </w:r>
    </w:p>
    <w:p>
      <w:pPr>
        <w:spacing w:after="0" w:line="22" w:lineRule="exact"/>
        <w:rPr>
          <w:rFonts w:ascii="Arial" w:cs="Arial" w:eastAsia="Arial" w:hAnsi="Arial"/>
          <w:sz w:val="12"/>
          <w:szCs w:val="12"/>
          <w:color w:val="auto"/>
        </w:rPr>
      </w:pPr>
    </w:p>
    <w:p>
      <w:pPr>
        <w:ind w:left="1320" w:right="819"/>
        <w:spacing w:after="0" w:line="287" w:lineRule="auto"/>
        <w:rPr>
          <w:rFonts w:ascii="Arial" w:cs="Arial" w:eastAsia="Arial" w:hAnsi="Arial"/>
          <w:sz w:val="12"/>
          <w:szCs w:val="12"/>
          <w:color w:val="auto"/>
        </w:rPr>
      </w:pPr>
      <w:r>
        <w:rPr>
          <w:rFonts w:ascii="Arial" w:cs="Arial" w:eastAsia="Arial" w:hAnsi="Arial"/>
          <w:sz w:val="12"/>
          <w:szCs w:val="12"/>
          <w:color w:val="auto"/>
        </w:rPr>
        <w:t>$129.7 million and Adjusted Gross Margin of 71.6% in fiscal-year 2021. As noted above, prior year Adjusted Gross Profit and Adjusted Gross Margin have been recast to align with the updated methodology for calculating these non-GAAP measures.</w:t>
      </w:r>
    </w:p>
    <w:p>
      <w:pPr>
        <w:sectPr>
          <w:pgSz w:w="11900" w:h="16838" w:orient="portrait"/>
          <w:cols w:equalWidth="0" w:num="1">
            <w:col w:w="9019"/>
          </w:cols>
          <w:pgMar w:left="1440" w:top="235" w:right="1440" w:bottom="1440" w:gutter="0" w:footer="0" w:header="0"/>
        </w:sectPr>
      </w:pPr>
    </w:p>
    <w:bookmarkStart w:id="6" w:name="page7"/>
    <w:bookmarkEnd w:id="6"/>
    <w:p>
      <w:pPr>
        <w:ind w:left="1320" w:hanging="379"/>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Adjusted EBITDA was $14.9 million in fiscal-year 2022, compared to $22.8 million in fiscal-year 2021.</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Fiscal-Year 2022 Business Highlights:</w:t>
      </w:r>
    </w:p>
    <w:p>
      <w:pPr>
        <w:spacing w:after="0" w:line="91" w:lineRule="exact"/>
        <w:rPr>
          <w:sz w:val="20"/>
          <w:szCs w:val="20"/>
          <w:color w:val="auto"/>
        </w:rPr>
      </w:pPr>
    </w:p>
    <w:p>
      <w:pPr>
        <w:ind w:left="1320" w:hanging="379"/>
        <w:spacing w:after="0"/>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Signed more than 590 new clients in 2022 and now serve over 3,100 clients globally</w:t>
      </w:r>
    </w:p>
    <w:p>
      <w:pPr>
        <w:spacing w:after="0" w:line="87" w:lineRule="exact"/>
        <w:rPr>
          <w:rFonts w:ascii="Arial" w:cs="Arial" w:eastAsia="Arial" w:hAnsi="Arial"/>
          <w:sz w:val="13"/>
          <w:szCs w:val="13"/>
          <w:color w:val="auto"/>
        </w:rPr>
      </w:pPr>
    </w:p>
    <w:p>
      <w:pPr>
        <w:ind w:left="1320" w:hanging="379"/>
        <w:spacing w:after="0"/>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Recorded strong average annual dollar-based net revenue retention (NRR) in fiscal-year 2022 of 124%</w:t>
      </w:r>
    </w:p>
    <w:p>
      <w:pPr>
        <w:spacing w:after="0" w:line="87" w:lineRule="exact"/>
        <w:rPr>
          <w:rFonts w:ascii="Arial" w:cs="Arial" w:eastAsia="Arial" w:hAnsi="Arial"/>
          <w:sz w:val="13"/>
          <w:szCs w:val="13"/>
          <w:color w:val="auto"/>
        </w:rPr>
      </w:pPr>
    </w:p>
    <w:p>
      <w:pPr>
        <w:ind w:left="1320" w:right="659" w:hanging="379"/>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Accelerated product and payment innovation with new 529 disbursement solution, connecting more than 600 institutions through Flywire’s Ascensus partnership</w:t>
      </w:r>
    </w:p>
    <w:p>
      <w:pPr>
        <w:spacing w:after="0" w:line="63" w:lineRule="exact"/>
        <w:rPr>
          <w:rFonts w:ascii="Arial" w:cs="Arial" w:eastAsia="Arial" w:hAnsi="Arial"/>
          <w:sz w:val="13"/>
          <w:szCs w:val="13"/>
          <w:color w:val="auto"/>
        </w:rPr>
      </w:pPr>
    </w:p>
    <w:p>
      <w:pPr>
        <w:ind w:left="1320" w:right="1139" w:hanging="379"/>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Strengthened its ecosystem of global strategic partners in education and announced partnerships with Adapt IT, Tribal Group, and Universitas XXI</w:t>
      </w:r>
    </w:p>
    <w:p>
      <w:pPr>
        <w:spacing w:after="0" w:line="63" w:lineRule="exact"/>
        <w:rPr>
          <w:rFonts w:ascii="Arial" w:cs="Arial" w:eastAsia="Arial" w:hAnsi="Arial"/>
          <w:sz w:val="13"/>
          <w:szCs w:val="13"/>
          <w:color w:val="auto"/>
        </w:rPr>
      </w:pPr>
    </w:p>
    <w:p>
      <w:pPr>
        <w:ind w:left="1320" w:hanging="379"/>
        <w:spacing w:after="0"/>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Successfully integrated the WPM business and signed more than 40 clients for the combined solution</w:t>
      </w:r>
    </w:p>
    <w:p>
      <w:pPr>
        <w:spacing w:after="0" w:line="87" w:lineRule="exact"/>
        <w:rPr>
          <w:rFonts w:ascii="Arial" w:cs="Arial" w:eastAsia="Arial" w:hAnsi="Arial"/>
          <w:sz w:val="13"/>
          <w:szCs w:val="13"/>
          <w:color w:val="auto"/>
        </w:rPr>
      </w:pPr>
    </w:p>
    <w:p>
      <w:pPr>
        <w:ind w:left="1320" w:right="859" w:hanging="379"/>
        <w:spacing w:after="0" w:line="302" w:lineRule="auto"/>
        <w:tabs>
          <w:tab w:leader="none" w:pos="1320" w:val="left"/>
        </w:tabs>
        <w:numPr>
          <w:ilvl w:val="0"/>
          <w:numId w:val="9"/>
        </w:numPr>
        <w:rPr>
          <w:rFonts w:ascii="Arial" w:cs="Arial" w:eastAsia="Arial" w:hAnsi="Arial"/>
          <w:sz w:val="12"/>
          <w:szCs w:val="12"/>
          <w:color w:val="auto"/>
        </w:rPr>
      </w:pPr>
      <w:r>
        <w:rPr>
          <w:rFonts w:ascii="Arial" w:cs="Arial" w:eastAsia="Arial" w:hAnsi="Arial"/>
          <w:sz w:val="12"/>
          <w:szCs w:val="12"/>
          <w:color w:val="auto"/>
        </w:rPr>
        <w:t>More than tripled revenues of the travel vertical in response to market demand for Flywire’s solution as highlighted in Flywire’s annual luxury travel report for destination management companies, accommodations providers and tour operators</w:t>
      </w:r>
    </w:p>
    <w:p>
      <w:pPr>
        <w:spacing w:after="0" w:line="41" w:lineRule="exact"/>
        <w:rPr>
          <w:rFonts w:ascii="Arial" w:cs="Arial" w:eastAsia="Arial" w:hAnsi="Arial"/>
          <w:sz w:val="12"/>
          <w:szCs w:val="12"/>
          <w:color w:val="auto"/>
        </w:rPr>
      </w:pPr>
    </w:p>
    <w:p>
      <w:pPr>
        <w:ind w:left="1320" w:right="859" w:hanging="379"/>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Completed the acquisition of Cohort Go and efficiently integrated it into the education vertical, enhancing Flywire’s Educational Agent solution and adding unique capabilities to the Flywire offering</w:t>
      </w:r>
    </w:p>
    <w:p>
      <w:pPr>
        <w:spacing w:after="0" w:line="63" w:lineRule="exact"/>
        <w:rPr>
          <w:rFonts w:ascii="Arial" w:cs="Arial" w:eastAsia="Arial" w:hAnsi="Arial"/>
          <w:sz w:val="13"/>
          <w:szCs w:val="13"/>
          <w:color w:val="auto"/>
        </w:rPr>
      </w:pPr>
    </w:p>
    <w:p>
      <w:pPr>
        <w:ind w:left="1320" w:right="799" w:hanging="379"/>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Signed more than 15 new clients in healthcare and expanded services with 22 existing ones, with growth underpinned by a 269% ROI of Flywire’s solution for hospitals and health systems</w:t>
      </w:r>
    </w:p>
    <w:p>
      <w:pPr>
        <w:spacing w:after="0" w:line="63" w:lineRule="exact"/>
        <w:rPr>
          <w:rFonts w:ascii="Arial" w:cs="Arial" w:eastAsia="Arial" w:hAnsi="Arial"/>
          <w:sz w:val="13"/>
          <w:szCs w:val="13"/>
          <w:color w:val="auto"/>
        </w:rPr>
      </w:pPr>
    </w:p>
    <w:p>
      <w:pPr>
        <w:ind w:left="1320" w:right="1219" w:hanging="379"/>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Enhanced its proprietary global payment network through the partnership with HDFC Bank in India, providing an open banking experience to India payers and further enhancing one of Flywire’s strategic competitive barriers</w:t>
      </w:r>
    </w:p>
    <w:p>
      <w:pPr>
        <w:spacing w:after="0" w:line="63" w:lineRule="exact"/>
        <w:rPr>
          <w:rFonts w:ascii="Arial" w:cs="Arial" w:eastAsia="Arial" w:hAnsi="Arial"/>
          <w:sz w:val="13"/>
          <w:szCs w:val="13"/>
          <w:color w:val="auto"/>
        </w:rPr>
      </w:pPr>
    </w:p>
    <w:p>
      <w:pPr>
        <w:ind w:left="1320" w:hanging="379"/>
        <w:spacing w:after="0"/>
        <w:tabs>
          <w:tab w:leader="none" w:pos="1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Strengthened its channel partnership strategy in the B2B vertical with a partnership with Huntington Bank, the 15th largest bank in the US</w:t>
      </w:r>
    </w:p>
    <w:p>
      <w:pPr>
        <w:spacing w:after="0" w:line="110" w:lineRule="exact"/>
        <w:rPr>
          <w:rFonts w:ascii="Arial" w:cs="Arial" w:eastAsia="Arial" w:hAnsi="Arial"/>
          <w:sz w:val="11"/>
          <w:szCs w:val="11"/>
          <w:color w:val="auto"/>
        </w:rPr>
      </w:pPr>
    </w:p>
    <w:p>
      <w:pPr>
        <w:ind w:left="1320" w:right="1119" w:hanging="379"/>
        <w:spacing w:after="0" w:line="302" w:lineRule="auto"/>
        <w:tabs>
          <w:tab w:leader="none" w:pos="1320" w:val="left"/>
        </w:tabs>
        <w:numPr>
          <w:ilvl w:val="0"/>
          <w:numId w:val="9"/>
        </w:numPr>
        <w:rPr>
          <w:rFonts w:ascii="Arial" w:cs="Arial" w:eastAsia="Arial" w:hAnsi="Arial"/>
          <w:sz w:val="12"/>
          <w:szCs w:val="12"/>
          <w:color w:val="auto"/>
        </w:rPr>
      </w:pPr>
      <w:r>
        <w:rPr>
          <w:rFonts w:ascii="Arial" w:cs="Arial" w:eastAsia="Arial" w:hAnsi="Arial"/>
          <w:sz w:val="12"/>
          <w:szCs w:val="12"/>
          <w:color w:val="auto"/>
        </w:rPr>
        <w:t>Gained recognition for its award-winning global culture, including being certified as a Great Place to Work®, being named to Inc. Magazine’s Best Workplaces of 2022, and Fortune Magazine’s Best Workplaces in Financial Services 2022</w:t>
      </w:r>
    </w:p>
    <w:p>
      <w:pPr>
        <w:spacing w:after="0" w:line="41" w:lineRule="exact"/>
        <w:rPr>
          <w:rFonts w:ascii="Arial" w:cs="Arial" w:eastAsia="Arial" w:hAnsi="Arial"/>
          <w:sz w:val="12"/>
          <w:szCs w:val="12"/>
          <w:color w:val="auto"/>
        </w:rPr>
      </w:pPr>
    </w:p>
    <w:p>
      <w:pPr>
        <w:ind w:left="1320" w:right="919" w:hanging="379"/>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Released the company’s inaugural Environmental, Social, and Governance (ESG) report, outlining the company’s first comprehensive summary about how it integrates social good initiatives into its business strategy</w:t>
      </w:r>
    </w:p>
    <w:p>
      <w:pPr>
        <w:sectPr>
          <w:pgSz w:w="11900" w:h="16838" w:orient="portrait"/>
          <w:cols w:equalWidth="0" w:num="1">
            <w:col w:w="9019"/>
          </w:cols>
          <w:pgMar w:left="1440" w:top="235" w:right="1440" w:bottom="1440" w:gutter="0" w:footer="0" w:header="0"/>
        </w:sectPr>
      </w:pPr>
    </w:p>
    <w:bookmarkStart w:id="7" w:name="page8"/>
    <w:bookmarkEnd w:id="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First Quarter and Fiscal-Year 2023 Outlook:</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Based on information available as of February 28, 2023, Flywire anticipates the following for the first quarter and fiscal-year 2023:</w:t>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119"/>
        </w:trPr>
        <w:tc>
          <w:tcPr>
            <w:tcW w:w="4080" w:type="dxa"/>
            <w:vAlign w:val="bottom"/>
          </w:tcPr>
          <w:p>
            <w:pPr>
              <w:spacing w:after="0"/>
              <w:rPr>
                <w:sz w:val="10"/>
                <w:szCs w:val="1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First Quarter 2023</w:t>
            </w:r>
          </w:p>
        </w:tc>
      </w:tr>
      <w:tr>
        <w:trPr>
          <w:trHeight w:val="141"/>
        </w:trPr>
        <w:tc>
          <w:tcPr>
            <w:tcW w:w="40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$85 to $91 million</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080" w:type="dxa"/>
            <w:vAlign w:val="bottom"/>
          </w:tcPr>
          <w:p>
            <w:pPr>
              <w:spacing w:after="0"/>
              <w:rPr>
                <w:sz w:val="20"/>
                <w:szCs w:val="20"/>
                <w:color w:val="auto"/>
              </w:rPr>
            </w:pPr>
            <w:r>
              <w:rPr>
                <w:rFonts w:ascii="Arial" w:cs="Arial" w:eastAsia="Arial" w:hAnsi="Arial"/>
                <w:sz w:val="13"/>
                <w:szCs w:val="13"/>
                <w:color w:val="auto"/>
              </w:rPr>
              <w:t>Revenue Less Ancillary Services</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$81 to $85 million</w:t>
            </w:r>
          </w:p>
        </w:tc>
      </w:tr>
      <w:tr>
        <w:trPr>
          <w:trHeight w:val="152"/>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 to $5 million</w:t>
            </w:r>
          </w:p>
        </w:tc>
      </w:tr>
      <w:tr>
        <w:trPr>
          <w:trHeight w:val="256"/>
        </w:trPr>
        <w:tc>
          <w:tcPr>
            <w:tcW w:w="408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Fiscal-Year 2023</w:t>
            </w:r>
          </w:p>
        </w:tc>
      </w:tr>
      <w:tr>
        <w:trPr>
          <w:trHeight w:val="141"/>
        </w:trPr>
        <w:tc>
          <w:tcPr>
            <w:tcW w:w="40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1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4"/>
              </w:rPr>
              <w:t>$373 to $392 million</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4080" w:type="dxa"/>
            <w:vAlign w:val="bottom"/>
          </w:tcPr>
          <w:p>
            <w:pPr>
              <w:spacing w:after="0"/>
              <w:rPr>
                <w:sz w:val="20"/>
                <w:szCs w:val="20"/>
                <w:color w:val="auto"/>
              </w:rPr>
            </w:pPr>
            <w:r>
              <w:rPr>
                <w:rFonts w:ascii="Arial" w:cs="Arial" w:eastAsia="Arial" w:hAnsi="Arial"/>
                <w:sz w:val="13"/>
                <w:szCs w:val="13"/>
                <w:color w:val="auto"/>
              </w:rPr>
              <w:t>Revenue Less Ancillary Services</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$353 to $364 million</w:t>
            </w:r>
          </w:p>
        </w:tc>
      </w:tr>
      <w:tr>
        <w:trPr>
          <w:trHeight w:val="152"/>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 to $34 million</w:t>
            </w:r>
          </w:p>
        </w:tc>
      </w:tr>
    </w:tbl>
    <w:p>
      <w:pPr>
        <w:spacing w:after="0" w:line="162" w:lineRule="exact"/>
        <w:rPr>
          <w:sz w:val="20"/>
          <w:szCs w:val="20"/>
          <w:color w:val="auto"/>
        </w:rPr>
      </w:pPr>
    </w:p>
    <w:p>
      <w:pPr>
        <w:ind w:left="940" w:right="679" w:hanging="303"/>
        <w:spacing w:after="0" w:line="250" w:lineRule="auto"/>
        <w:tabs>
          <w:tab w:leader="none" w:pos="9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Fiscal year 2023 expectations reflect the Company’s organic revenue expectations and annualization of the Cohort Go business. The Company has assumed Foreign exchange rates prevailing as of December 31, 2022.</w:t>
      </w:r>
    </w:p>
    <w:p>
      <w:pPr>
        <w:spacing w:after="0" w:line="1" w:lineRule="exact"/>
        <w:rPr>
          <w:sz w:val="20"/>
          <w:szCs w:val="20"/>
          <w:color w:val="auto"/>
        </w:rPr>
      </w:pPr>
    </w:p>
    <w:p>
      <w:pPr>
        <w:ind w:left="940" w:right="799" w:hanging="303"/>
        <w:spacing w:after="0" w:line="303" w:lineRule="auto"/>
        <w:tabs>
          <w:tab w:leader="none" w:pos="9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Flywire has relied upon the exception in item 10(e)(1)(i)(B) of Regulation S-K and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w:t>
      </w:r>
    </w:p>
    <w:p>
      <w:pPr>
        <w:sectPr>
          <w:pgSz w:w="11900" w:h="16838" w:orient="portrait"/>
          <w:cols w:equalWidth="0" w:num="1">
            <w:col w:w="9019"/>
          </w:cols>
          <w:pgMar w:left="1440" w:top="231" w:right="1440" w:bottom="1440" w:gutter="0" w:footer="0" w:header="0"/>
        </w:sectPr>
      </w:pPr>
    </w:p>
    <w:bookmarkStart w:id="8" w:name="page9"/>
    <w:bookmarkEnd w:id="8"/>
    <w:p>
      <w:pPr>
        <w:ind w:left="640" w:right="101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These statements are forward-looking and actual results may differ materially. Refer to the “Safe Harbor Statement” below for information on the factors that could cause our actual results to differ materially from these forward-looking statements.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Conference Call</w:t>
      </w:r>
    </w:p>
    <w:p>
      <w:pPr>
        <w:spacing w:after="0" w:line="82" w:lineRule="exact"/>
        <w:rPr>
          <w:sz w:val="20"/>
          <w:szCs w:val="20"/>
          <w:color w:val="auto"/>
        </w:rPr>
      </w:pPr>
    </w:p>
    <w:p>
      <w:pPr>
        <w:ind w:left="640" w:right="779"/>
        <w:spacing w:after="0" w:line="283" w:lineRule="auto"/>
        <w:rPr>
          <w:sz w:val="20"/>
          <w:szCs w:val="20"/>
          <w:color w:val="auto"/>
        </w:rPr>
      </w:pPr>
      <w:r>
        <w:rPr>
          <w:rFonts w:ascii="Arial" w:cs="Arial" w:eastAsia="Arial" w:hAnsi="Arial"/>
          <w:sz w:val="12"/>
          <w:szCs w:val="12"/>
          <w:color w:val="auto"/>
        </w:rPr>
        <w:t>The Company will host a conference call to discuss fourth quarter and fiscal-year 2022 financial results today at 5:00 pm ET. Hosting the call will be Mike Massaro, CEO, Rob Orgel, President and COO, and Mike Ellis, CFO. The conference call can be accessed live via webcast from the Company’s investor relations website at https://ir.flywire.com/. A replay will be available on the investor relations website following the call.</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Financial Disclosure Advisory</w:t>
      </w:r>
    </w:p>
    <w:p>
      <w:pPr>
        <w:spacing w:after="0" w:line="82" w:lineRule="exact"/>
        <w:rPr>
          <w:sz w:val="20"/>
          <w:szCs w:val="20"/>
          <w:color w:val="auto"/>
        </w:rPr>
      </w:pPr>
    </w:p>
    <w:p>
      <w:pPr>
        <w:ind w:left="640" w:right="639"/>
        <w:spacing w:after="0" w:line="294" w:lineRule="auto"/>
        <w:rPr>
          <w:sz w:val="20"/>
          <w:szCs w:val="20"/>
          <w:color w:val="auto"/>
        </w:rPr>
      </w:pPr>
      <w:r>
        <w:rPr>
          <w:rFonts w:ascii="Arial" w:cs="Arial" w:eastAsia="Arial" w:hAnsi="Arial"/>
          <w:sz w:val="11"/>
          <w:szCs w:val="11"/>
          <w:color w:val="auto"/>
        </w:rPr>
        <w:t>The Company reports its financial results in accordance with U.S. generally accepted accounting principles (“GAAP”). The expected financial results discussed in this press release are preliminary and unaudited and represent the most current information available to the company’s management, as financial closing and audit procedures for the year ended December 31, 2022 are not yet complete. These estimates are not a comprehensive statement of the Company’s financial results for the fourth quarter and fiscal year ended December 31, 2022, and actual results may differ materially from these estimates as a result of the completion of year-end financial reporting process, finalization of the processes and procedures required by Section 404(b) of the the Sarbanes-Oxley Act of 2002, completion of the procedures relating to management’s assessment of the effectiveness of the Company’s internal controls, the completion of the external audit by the Company’s independent registered public accounting firm, and the subsequent occurrence or identification of events prior to the formal issuance of the audited financial statements for fiscal year 2022. In addition, results presented in this press release or on the conference call do not present all information necessary for an understanding of the Company’s financial condition and results of operations as of and for the quarter and year ended December 31, 2022.</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Key Operating Metrics and Non-GAAP Financial Measures table</w:t>
      </w:r>
    </w:p>
    <w:p>
      <w:pPr>
        <w:spacing w:after="0" w:line="82" w:lineRule="exact"/>
        <w:rPr>
          <w:sz w:val="20"/>
          <w:szCs w:val="20"/>
          <w:color w:val="auto"/>
        </w:rPr>
      </w:pPr>
    </w:p>
    <w:p>
      <w:pPr>
        <w:ind w:left="640" w:right="879"/>
        <w:spacing w:after="0" w:line="273" w:lineRule="auto"/>
        <w:rPr>
          <w:sz w:val="20"/>
          <w:szCs w:val="20"/>
          <w:color w:val="auto"/>
        </w:rPr>
      </w:pPr>
      <w:r>
        <w:rPr>
          <w:rFonts w:ascii="Arial" w:cs="Arial" w:eastAsia="Arial" w:hAnsi="Arial"/>
          <w:sz w:val="12"/>
          <w:szCs w:val="12"/>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w:t>
      </w:r>
    </w:p>
    <w:p>
      <w:pPr>
        <w:sectPr>
          <w:pgSz w:w="11900" w:h="16838" w:orient="portrait"/>
          <w:cols w:equalWidth="0" w:num="1">
            <w:col w:w="9019"/>
          </w:cols>
          <w:pgMar w:left="1440" w:top="235" w:right="1440" w:bottom="1440" w:gutter="0" w:footer="0" w:header="0"/>
        </w:sectPr>
      </w:pPr>
    </w:p>
    <w:bookmarkStart w:id="9" w:name="page10"/>
    <w:bookmarkEnd w:id="9"/>
    <w:p>
      <w:pPr>
        <w:ind w:left="640" w:right="67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pacing w:after="0" w:line="138" w:lineRule="exact"/>
        <w:rPr>
          <w:sz w:val="20"/>
          <w:szCs w:val="20"/>
          <w:color w:val="auto"/>
        </w:rPr>
      </w:pPr>
    </w:p>
    <w:p>
      <w:pPr>
        <w:ind w:left="640" w:right="699"/>
        <w:spacing w:after="0" w:line="352" w:lineRule="auto"/>
        <w:rPr>
          <w:sz w:val="20"/>
          <w:szCs w:val="20"/>
          <w:color w:val="auto"/>
        </w:rPr>
      </w:pPr>
      <w:r>
        <w:rPr>
          <w:rFonts w:ascii="Arial" w:cs="Arial" w:eastAsia="Arial" w:hAnsi="Arial"/>
          <w:sz w:val="11"/>
          <w:szCs w:val="11"/>
          <w:color w:val="auto"/>
        </w:rPr>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18" w:lineRule="exact"/>
        <w:rPr>
          <w:sz w:val="20"/>
          <w:szCs w:val="20"/>
          <w:color w:val="auto"/>
        </w:rPr>
      </w:pPr>
    </w:p>
    <w:p>
      <w:pPr>
        <w:ind w:left="1320" w:right="859" w:hanging="379"/>
        <w:spacing w:after="0" w:line="249" w:lineRule="auto"/>
        <w:tabs>
          <w:tab w:leader="none" w:pos="1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w:t>
      </w:r>
    </w:p>
    <w:p>
      <w:pPr>
        <w:spacing w:after="0" w:line="71" w:lineRule="exact"/>
        <w:rPr>
          <w:rFonts w:ascii="Arial" w:cs="Arial" w:eastAsia="Arial" w:hAnsi="Arial"/>
          <w:sz w:val="13"/>
          <w:szCs w:val="13"/>
          <w:color w:val="auto"/>
        </w:rPr>
      </w:pPr>
    </w:p>
    <w:p>
      <w:pPr>
        <w:ind w:left="1320" w:right="659" w:hanging="379"/>
        <w:spacing w:after="0" w:line="268" w:lineRule="auto"/>
        <w:tabs>
          <w:tab w:leader="none" w:pos="13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Our adjusted gross profit and adjusted gross profit margin for the three and twelve months ended December 31, 2021 were recast to conform to the updated methodology and are reflected herein for comparison purposes.</w:t>
      </w:r>
    </w:p>
    <w:p>
      <w:pPr>
        <w:spacing w:after="0" w:line="60" w:lineRule="exact"/>
        <w:rPr>
          <w:rFonts w:ascii="Arial" w:cs="Arial" w:eastAsia="Arial" w:hAnsi="Arial"/>
          <w:sz w:val="12"/>
          <w:szCs w:val="12"/>
          <w:color w:val="auto"/>
        </w:rPr>
      </w:pPr>
    </w:p>
    <w:p>
      <w:pPr>
        <w:ind w:left="1320" w:hanging="379"/>
        <w:spacing w:after="0"/>
        <w:tabs>
          <w:tab w:leader="none" w:pos="13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Adjusted EBITDA. Adjusted EBITDA represents EBITDA further adjusted by excluding (i) stock-based compensation expense and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related payroll taxes, (ii) the impact from the change in fair value measurement for contingent consideration associated with acquisitions,</w:t>
      </w:r>
    </w:p>
    <w:p>
      <w:pPr>
        <w:spacing w:after="0" w:line="25" w:lineRule="exact"/>
        <w:rPr>
          <w:sz w:val="20"/>
          <w:szCs w:val="20"/>
          <w:color w:val="auto"/>
        </w:rPr>
      </w:pPr>
    </w:p>
    <w:p>
      <w:pPr>
        <w:ind w:left="1540" w:hanging="220"/>
        <w:spacing w:after="0"/>
        <w:tabs>
          <w:tab w:leader="none" w:pos="15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impact from the change in fair value measurement of the Company’s preferred stock warrants, (iv) other income (expense), net,</w:t>
      </w:r>
    </w:p>
    <w:p>
      <w:pPr>
        <w:spacing w:after="0" w:line="25" w:lineRule="exact"/>
        <w:rPr>
          <w:rFonts w:ascii="Arial" w:cs="Arial" w:eastAsia="Arial" w:hAnsi="Arial"/>
          <w:sz w:val="11"/>
          <w:szCs w:val="11"/>
          <w:color w:val="auto"/>
        </w:rPr>
      </w:pPr>
    </w:p>
    <w:p>
      <w:pPr>
        <w:ind w:left="1320" w:right="919"/>
        <w:spacing w:after="0" w:line="246" w:lineRule="auto"/>
        <w:tabs>
          <w:tab w:leader="none" w:pos="1499"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indirect taxes related to intercompany activity, (vi) acquisition related transaction costs, and (vii) employee retention costs, such as incentive</w:t>
      </w:r>
    </w:p>
    <w:p>
      <w:pPr>
        <w:sectPr>
          <w:pgSz w:w="11900" w:h="16838" w:orient="portrait"/>
          <w:cols w:equalWidth="0" w:num="1">
            <w:col w:w="9019"/>
          </w:cols>
          <w:pgMar w:left="1440" w:top="235" w:right="1440" w:bottom="1440" w:gutter="0" w:footer="0" w:header="0"/>
        </w:sectPr>
      </w:pPr>
    </w:p>
    <w:bookmarkStart w:id="10" w:name="page11"/>
    <w:bookmarkEnd w:id="10"/>
    <w:p>
      <w:pPr>
        <w:ind w:left="1320" w:right="99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compensation, associated with acquisition activities. Management believes that the exclusion of these amounts to calculate Adjusted EBITDA provides useful measures for period-to-period comparisons of the Company’s business.</w:t>
      </w:r>
    </w:p>
    <w:p>
      <w:pPr>
        <w:spacing w:after="0" w:line="63" w:lineRule="exact"/>
        <w:rPr>
          <w:sz w:val="20"/>
          <w:szCs w:val="20"/>
          <w:color w:val="auto"/>
        </w:rPr>
      </w:pPr>
    </w:p>
    <w:p>
      <w:pPr>
        <w:ind w:left="1320" w:right="799" w:hanging="379"/>
        <w:spacing w:after="0" w:line="273" w:lineRule="auto"/>
        <w:tabs>
          <w:tab w:leader="none" w:pos="1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25" w:lineRule="exact"/>
        <w:rPr>
          <w:sz w:val="20"/>
          <w:szCs w:val="20"/>
          <w:color w:val="auto"/>
        </w:rPr>
      </w:pPr>
    </w:p>
    <w:p>
      <w:pPr>
        <w:ind w:left="640" w:right="699"/>
        <w:spacing w:after="0" w:line="294" w:lineRule="auto"/>
        <w:rPr>
          <w:sz w:val="20"/>
          <w:szCs w:val="20"/>
          <w:color w:val="auto"/>
        </w:rPr>
      </w:pPr>
      <w:r>
        <w:rPr>
          <w:rFonts w:ascii="Arial" w:cs="Arial" w:eastAsia="Arial" w:hAnsi="Arial"/>
          <w:sz w:val="11"/>
          <w:szCs w:val="11"/>
          <w:color w:val="auto"/>
        </w:rPr>
        <w:t>These non-GAAP financial measures are not meant to be considered as indicators of performance in isolation from or as a substitute the Company’s revenue, gross margin or net income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relied upon the exception in item 10(e)(1)(i)(B) of Regulation S-K and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Flywire</w:t>
      </w:r>
    </w:p>
    <w:p>
      <w:pPr>
        <w:spacing w:after="0" w:line="82" w:lineRule="exact"/>
        <w:rPr>
          <w:sz w:val="20"/>
          <w:szCs w:val="20"/>
          <w:color w:val="auto"/>
        </w:rPr>
      </w:pPr>
    </w:p>
    <w:p>
      <w:pPr>
        <w:ind w:left="640" w:right="1099"/>
        <w:spacing w:after="0" w:line="302" w:lineRule="auto"/>
        <w:rPr>
          <w:sz w:val="20"/>
          <w:szCs w:val="20"/>
          <w:color w:val="auto"/>
        </w:rPr>
      </w:pPr>
      <w:r>
        <w:rPr>
          <w:rFonts w:ascii="Arial" w:cs="Arial" w:eastAsia="Arial" w:hAnsi="Arial"/>
          <w:sz w:val="12"/>
          <w:szCs w:val="12"/>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08" w:lineRule="exact"/>
        <w:rPr>
          <w:sz w:val="20"/>
          <w:szCs w:val="20"/>
          <w:color w:val="auto"/>
        </w:rPr>
      </w:pPr>
    </w:p>
    <w:p>
      <w:pPr>
        <w:jc w:val="both"/>
        <w:ind w:left="640" w:right="799"/>
        <w:spacing w:after="0" w:line="283" w:lineRule="auto"/>
        <w:rPr>
          <w:sz w:val="20"/>
          <w:szCs w:val="20"/>
          <w:color w:val="auto"/>
        </w:rPr>
      </w:pPr>
      <w:r>
        <w:rPr>
          <w:rFonts w:ascii="Arial" w:cs="Arial" w:eastAsia="Arial" w:hAnsi="Arial"/>
          <w:sz w:val="12"/>
          <w:szCs w:val="12"/>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ectPr>
          <w:pgSz w:w="11900" w:h="16838" w:orient="portrait"/>
          <w:cols w:equalWidth="0" w:num="1">
            <w:col w:w="9019"/>
          </w:cols>
          <w:pgMar w:left="1440" w:top="235" w:right="1440" w:bottom="1440" w:gutter="0" w:footer="0" w:header="0"/>
        </w:sectPr>
      </w:pPr>
    </w:p>
    <w:bookmarkStart w:id="11" w:name="page12"/>
    <w:bookmarkEnd w:id="11"/>
    <w:p>
      <w:pPr>
        <w:ind w:left="640" w:right="79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Flywire supports more than 3,000 clients with diverse payment methods in more than 140 currencies across 240 countries and territories around the world. Flywire is headquartered in Boston, MA, USA with additional offices around the globe. For more information, visit </w:t>
      </w:r>
      <w:r>
        <w:rPr>
          <w:rFonts w:ascii="Arial" w:cs="Arial" w:eastAsia="Arial" w:hAnsi="Arial"/>
          <w:sz w:val="13"/>
          <w:szCs w:val="13"/>
          <w:b w:val="1"/>
          <w:bCs w:val="1"/>
          <w:color w:val="auto"/>
        </w:rPr>
        <w:t>www.flywire.com.</w:t>
      </w:r>
      <w:r>
        <w:rPr>
          <w:rFonts w:ascii="Arial" w:cs="Arial" w:eastAsia="Arial" w:hAnsi="Arial"/>
          <w:sz w:val="13"/>
          <w:szCs w:val="13"/>
          <w:color w:val="auto"/>
        </w:rPr>
        <w:t xml:space="preserve"> Follow Flywire on </w:t>
      </w:r>
      <w:r>
        <w:rPr>
          <w:rFonts w:ascii="Arial" w:cs="Arial" w:eastAsia="Arial" w:hAnsi="Arial"/>
          <w:sz w:val="13"/>
          <w:szCs w:val="13"/>
          <w:b w:val="1"/>
          <w:bCs w:val="1"/>
          <w:color w:val="auto"/>
        </w:rPr>
        <w:t>Twitter, LinkedIn</w:t>
      </w:r>
      <w:r>
        <w:rPr>
          <w:rFonts w:ascii="Arial" w:cs="Arial" w:eastAsia="Arial" w:hAnsi="Arial"/>
          <w:sz w:val="13"/>
          <w:szCs w:val="13"/>
          <w:color w:val="auto"/>
        </w:rPr>
        <w:t xml:space="preserve"> and </w:t>
      </w:r>
      <w:r>
        <w:rPr>
          <w:rFonts w:ascii="Arial" w:cs="Arial" w:eastAsia="Arial" w:hAnsi="Arial"/>
          <w:sz w:val="13"/>
          <w:szCs w:val="13"/>
          <w:b w:val="1"/>
          <w:bCs w:val="1"/>
          <w:color w:val="auto"/>
        </w:rPr>
        <w:t>Facebook</w:t>
      </w:r>
      <w:r>
        <w:rPr>
          <w:rFonts w:ascii="Arial" w:cs="Arial" w:eastAsia="Arial" w:hAnsi="Arial"/>
          <w:sz w:val="13"/>
          <w:szCs w:val="13"/>
          <w:color w:val="auto"/>
        </w:rPr>
        <w: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Safe Harbor Statement</w:t>
      </w:r>
    </w:p>
    <w:p>
      <w:pPr>
        <w:spacing w:after="0" w:line="78" w:lineRule="exact"/>
        <w:rPr>
          <w:sz w:val="20"/>
          <w:szCs w:val="20"/>
          <w:color w:val="auto"/>
        </w:rPr>
      </w:pPr>
    </w:p>
    <w:p>
      <w:pPr>
        <w:ind w:left="640" w:right="699"/>
        <w:spacing w:after="0" w:line="291" w:lineRule="auto"/>
        <w:rPr>
          <w:sz w:val="20"/>
          <w:szCs w:val="20"/>
          <w:color w:val="auto"/>
        </w:rPr>
      </w:pPr>
      <w:r>
        <w:rPr>
          <w:rFonts w:ascii="Arial" w:cs="Arial" w:eastAsia="Arial" w:hAnsi="Arial"/>
          <w:sz w:val="11"/>
          <w:szCs w:val="11"/>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including the ongoing effects of the COVID-19 pandemic and subsequent public health measures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w:t>
      </w:r>
    </w:p>
    <w:p>
      <w:pPr>
        <w:sectPr>
          <w:pgSz w:w="11900" w:h="16838" w:orient="portrait"/>
          <w:cols w:equalWidth="0" w:num="1">
            <w:col w:w="9019"/>
          </w:cols>
          <w:pgMar w:left="1440" w:top="235" w:right="1440" w:bottom="1440" w:gutter="0" w:footer="0" w:header="0"/>
        </w:sectPr>
      </w:pPr>
    </w:p>
    <w:bookmarkStart w:id="12" w:name="page13"/>
    <w:bookmarkEnd w:id="12"/>
    <w:p>
      <w:pPr>
        <w:ind w:left="640" w:right="699"/>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2021 and Quarterly Report on Form 10-Q for the quarter ended September 30, 2022, which are on file with the Securities and Exchange Commission (SEC) and available on the SEC’s website at https://www.sec.gov/. Additional factors may be described in those sections of Flywire’s Annual Report on Form 10-K for the year ended December 31, 2022, expected to be filed with the SEC in the first quarter of 2023.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Media:</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Sarah King</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Sarah.King@Flywire.com</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Prosek Partners</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pro-flywire@prosek.com</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Investor Relations: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flywireir@icrinc.com</w:t>
      </w:r>
    </w:p>
    <w:p>
      <w:pPr>
        <w:sectPr>
          <w:pgSz w:w="11900" w:h="16838" w:orient="portrait"/>
          <w:cols w:equalWidth="0" w:num="1">
            <w:col w:w="9019"/>
          </w:cols>
          <w:pgMar w:left="1440" w:top="235"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Statements of Operations and Comprehensive Income (Loss)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 (Amounts in thousands, except share and per share amounts)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3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w w:val="93"/>
              </w:rPr>
              <w:t>Three Months Ended December 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94"/>
        </w:trPr>
        <w:tc>
          <w:tcPr>
            <w:tcW w:w="354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178"/>
              <w:spacing w:after="0" w:line="9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97"/>
              <w:spacing w:after="0" w:line="94"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198"/>
              <w:spacing w:after="0" w:line="94" w:lineRule="exact"/>
              <w:rPr>
                <w:sz w:val="20"/>
                <w:szCs w:val="20"/>
                <w:color w:val="auto"/>
              </w:rPr>
            </w:pPr>
            <w:r>
              <w:rPr>
                <w:rFonts w:ascii="Arial" w:cs="Arial" w:eastAsia="Arial" w:hAnsi="Arial"/>
                <w:sz w:val="10"/>
                <w:szCs w:val="10"/>
                <w:b w:val="1"/>
                <w:bCs w:val="1"/>
                <w:color w:val="auto"/>
              </w:rPr>
              <w:t>2022</w:t>
            </w:r>
          </w:p>
        </w:tc>
        <w:tc>
          <w:tcPr>
            <w:tcW w:w="3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57"/>
              <w:spacing w:after="0" w:line="9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5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73,053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51,394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289,375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201,149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Costs and operating expenses: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Payment processing services costs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29,585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19,254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107,933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70,191</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Technology and development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12,692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9,092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50,257</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31,295</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Selling and marketing</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20,287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15,897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78,456</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51,297</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19,860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17,478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82,949</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61,623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operating expenses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82,424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61,721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319,595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214,406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vMerge w:val="continue"/>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(9,371)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(10,327)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(30,220)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(13,257)</w:t>
            </w:r>
          </w:p>
        </w:tc>
        <w:tc>
          <w:tcPr>
            <w:tcW w:w="0" w:type="dxa"/>
            <w:vAlign w:val="bottom"/>
          </w:tcPr>
          <w:p>
            <w:pPr>
              <w:spacing w:after="0"/>
              <w:rPr>
                <w:sz w:val="1"/>
                <w:szCs w:val="1"/>
                <w:color w:val="auto"/>
              </w:rPr>
            </w:pPr>
          </w:p>
        </w:tc>
      </w:tr>
      <w:tr>
        <w:trPr>
          <w:trHeight w:val="151"/>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Interest expense</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(327)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(217)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(1,211)</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(2,021)</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preferred stock warrant liability</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(10,758)</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7,702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603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(5,928)</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Total other expenses, net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7,375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(7,139)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(12,670)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color w:val="auto"/>
              </w:rPr>
              <w:t>Loss before provision for (benefit from) income taxes</w:t>
            </w: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(1,996)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(9,941)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(37,359)</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(25,927)</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1,214</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1,988</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40" w:type="dxa"/>
            <w:vAlign w:val="bottom"/>
            <w:vMerge w:val="continue"/>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(1,129)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(11,155)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(39,347)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(28,085)</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(1,513)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3"/>
                <w:szCs w:val="13"/>
                <w:color w:val="auto"/>
              </w:rPr>
              <w:t>Comprehensive loss</w:t>
            </w: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540" w:type="dxa"/>
            <w:vAlign w:val="bottom"/>
            <w:vMerge w:val="continue"/>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(2,234)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(11,260)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(40,860)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(28,270)</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Net loss attributable to common stockholders - basic and</w:t>
            </w: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(11,260)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(39,347)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(28,098)</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20"/>
                <w:szCs w:val="20"/>
                <w:color w:val="auto"/>
              </w:rPr>
            </w:pPr>
            <w:r>
              <w:rPr>
                <w:rFonts w:ascii="Arial" w:cs="Arial" w:eastAsia="Arial" w:hAnsi="Arial"/>
                <w:sz w:val="13"/>
                <w:szCs w:val="13"/>
                <w:color w:val="auto"/>
                <w:w w:val="97"/>
              </w:rPr>
              <w:t>Net loss per share attributable to common stockholders - basic</w:t>
            </w: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40" w:type="dxa"/>
            <w:vAlign w:val="bottom"/>
          </w:tcPr>
          <w:p>
            <w:pPr>
              <w:ind w:left="120"/>
              <w:spacing w:after="0"/>
              <w:rPr>
                <w:sz w:val="20"/>
                <w:szCs w:val="20"/>
                <w:color w:val="auto"/>
              </w:rPr>
            </w:pPr>
            <w:r>
              <w:rPr>
                <w:rFonts w:ascii="Arial" w:cs="Arial" w:eastAsia="Arial" w:hAnsi="Arial"/>
                <w:sz w:val="13"/>
                <w:szCs w:val="13"/>
                <w:color w:val="auto"/>
              </w:rPr>
              <w:t>and diluted</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(0.01)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(0.11)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(0.36)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152"/>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 basic and</w:t>
            </w: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108,086,018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105,294,894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85"/>
              </w:rPr>
              <w:t>107,935,514</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71,168,054</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Balance Sheets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 (Amounts in thousands, except share amounts)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6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r>
      <w:tr>
        <w:trPr>
          <w:trHeight w:val="94"/>
        </w:trPr>
        <w:tc>
          <w:tcPr>
            <w:tcW w:w="64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8"/>
              <w:spacing w:after="0" w:line="94" w:lineRule="exact"/>
              <w:rPr>
                <w:sz w:val="20"/>
                <w:szCs w:val="20"/>
                <w:color w:val="auto"/>
              </w:rPr>
            </w:pPr>
            <w:r>
              <w:rPr>
                <w:rFonts w:ascii="Arial" w:cs="Arial" w:eastAsia="Arial" w:hAnsi="Arial"/>
                <w:sz w:val="10"/>
                <w:szCs w:val="10"/>
                <w:b w:val="1"/>
                <w:bCs w:val="1"/>
                <w:color w:val="auto"/>
              </w:rPr>
              <w:t>2022</w:t>
            </w:r>
          </w:p>
        </w:tc>
        <w:tc>
          <w:tcPr>
            <w:tcW w:w="1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7"/>
              <w:spacing w:after="0" w:line="9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r>
      <w:tr>
        <w:trPr>
          <w:trHeight w:val="132"/>
        </w:trPr>
        <w:tc>
          <w:tcPr>
            <w:tcW w:w="646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Current assets: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349,177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385,360</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Restricted cash</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4,000</w:t>
            </w:r>
          </w:p>
        </w:tc>
      </w:tr>
      <w:tr>
        <w:trPr>
          <w:trHeight w:val="143"/>
        </w:trPr>
        <w:tc>
          <w:tcPr>
            <w:tcW w:w="6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Accounts receivable, net of allowance for credit losses of $212</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and $106, respectively</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12,968</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Unbilled receivables</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5,268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3,340</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Funds receivable from payment partners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62,970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28,286</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17,531</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9,834</w:t>
            </w:r>
          </w:p>
        </w:tc>
        <w:tc>
          <w:tcPr>
            <w:tcW w:w="80" w:type="dxa"/>
            <w:vAlign w:val="bottom"/>
          </w:tcPr>
          <w:p>
            <w:pPr>
              <w:spacing w:after="0"/>
              <w:rPr>
                <w:sz w:val="13"/>
                <w:szCs w:val="13"/>
                <w:color w:val="auto"/>
              </w:rPr>
            </w:pP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450,643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443,788</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13,317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9,442</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97,616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93,598</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Goodwill</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97,766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85,841</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14,945</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7,176</w:t>
            </w:r>
          </w:p>
        </w:tc>
        <w:tc>
          <w:tcPr>
            <w:tcW w:w="80" w:type="dxa"/>
            <w:vAlign w:val="bottom"/>
            <w:shd w:val="clear" w:color="auto" w:fill="CCEEFF"/>
          </w:tcPr>
          <w:p>
            <w:pPr>
              <w:spacing w:after="0"/>
              <w:rPr>
                <w:sz w:val="13"/>
                <w:szCs w:val="13"/>
                <w:color w:val="auto"/>
              </w:rPr>
            </w:pPr>
          </w:p>
        </w:tc>
      </w:tr>
      <w:tr>
        <w:trPr>
          <w:trHeight w:val="159"/>
        </w:trPr>
        <w:tc>
          <w:tcPr>
            <w:tcW w:w="6460" w:type="dxa"/>
            <w:vAlign w:val="bottom"/>
          </w:tcPr>
          <w:p>
            <w:pPr>
              <w:spacing w:after="0"/>
              <w:rPr>
                <w:sz w:val="20"/>
                <w:szCs w:val="20"/>
                <w:color w:val="auto"/>
              </w:rPr>
            </w:pPr>
            <w:r>
              <w:rPr>
                <w:rFonts w:ascii="Arial" w:cs="Arial" w:eastAsia="Arial" w:hAnsi="Arial"/>
                <w:sz w:val="13"/>
                <w:szCs w:val="13"/>
                <w:color w:val="auto"/>
              </w:rPr>
              <w:t>Total assets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674,287</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639,845</w:t>
            </w:r>
          </w:p>
        </w:tc>
      </w:tr>
      <w:tr>
        <w:trPr>
          <w:trHeight w:val="16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Current liabilities: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10,242</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Funds payable to clients</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124,305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71,302</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and other current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33,109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22,726</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Deferred revenue</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5,223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5,488</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w:t>
            </w: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1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7,719</w:t>
            </w:r>
          </w:p>
        </w:tc>
        <w:tc>
          <w:tcPr>
            <w:tcW w:w="80" w:type="dxa"/>
            <w:vAlign w:val="bottom"/>
            <w:shd w:val="clear" w:color="auto" w:fill="CCEEFF"/>
          </w:tcPr>
          <w:p>
            <w:pPr>
              <w:spacing w:after="0"/>
              <w:rPr>
                <w:sz w:val="13"/>
                <w:szCs w:val="13"/>
                <w:color w:val="auto"/>
              </w:rPr>
            </w:pPr>
          </w:p>
        </w:tc>
      </w:tr>
      <w:tr>
        <w:trPr>
          <w:trHeight w:val="151"/>
        </w:trPr>
        <w:tc>
          <w:tcPr>
            <w:tcW w:w="646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177,276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117,477</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8,401</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Contingent consideration, net of current portion</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3,590</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25,939</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Other liabilities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2,941</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w:t>
            </w:r>
          </w:p>
        </w:tc>
        <w:tc>
          <w:tcPr>
            <w:tcW w:w="80" w:type="dxa"/>
            <w:vAlign w:val="bottom"/>
          </w:tcPr>
          <w:p>
            <w:pPr>
              <w:spacing w:after="0"/>
              <w:rPr>
                <w:sz w:val="13"/>
                <w:szCs w:val="13"/>
                <w:color w:val="auto"/>
              </w:rPr>
            </w:pP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192,384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157,644</w:t>
            </w:r>
          </w:p>
        </w:tc>
      </w:tr>
      <w:tr>
        <w:trPr>
          <w:trHeight w:val="151"/>
        </w:trPr>
        <w:tc>
          <w:tcPr>
            <w:tcW w:w="6460" w:type="dxa"/>
            <w:vAlign w:val="bottom"/>
          </w:tcPr>
          <w:p>
            <w:pPr>
              <w:spacing w:after="0"/>
              <w:rPr>
                <w:sz w:val="20"/>
                <w:szCs w:val="20"/>
                <w:color w:val="auto"/>
              </w:rPr>
            </w:pPr>
            <w:r>
              <w:rPr>
                <w:rFonts w:ascii="Arial" w:cs="Arial" w:eastAsia="Arial" w:hAnsi="Arial"/>
                <w:sz w:val="13"/>
                <w:szCs w:val="13"/>
                <w:color w:val="auto"/>
              </w:rPr>
              <w:t>Commitments and contingencies (Note 16)</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3"/>
        </w:trPr>
        <w:tc>
          <w:tcPr>
            <w:tcW w:w="6460" w:type="dxa"/>
            <w:vAlign w:val="bottom"/>
          </w:tcPr>
          <w:p>
            <w:pPr>
              <w:spacing w:after="0" w:line="143" w:lineRule="exact"/>
              <w:rPr>
                <w:sz w:val="20"/>
                <w:szCs w:val="20"/>
                <w:color w:val="auto"/>
              </w:rPr>
            </w:pPr>
            <w:r>
              <w:rPr>
                <w:rFonts w:ascii="Arial" w:cs="Arial" w:eastAsia="Arial" w:hAnsi="Arial"/>
                <w:sz w:val="13"/>
                <w:szCs w:val="13"/>
                <w:color w:val="auto"/>
              </w:rPr>
              <w:t>Preferred stock, $0.0001 par value; 10,000,000 shares authorized as of</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6460" w:type="dxa"/>
            <w:vAlign w:val="bottom"/>
          </w:tcPr>
          <w:p>
            <w:pPr>
              <w:ind w:left="120"/>
              <w:spacing w:after="0"/>
              <w:rPr>
                <w:sz w:val="20"/>
                <w:szCs w:val="20"/>
                <w:color w:val="auto"/>
              </w:rPr>
            </w:pPr>
            <w:r>
              <w:rPr>
                <w:rFonts w:ascii="Arial" w:cs="Arial" w:eastAsia="Arial" w:hAnsi="Arial"/>
                <w:sz w:val="13"/>
                <w:szCs w:val="13"/>
                <w:color w:val="auto"/>
              </w:rPr>
              <w:t>December 31, 2022 and 2021; and no shares issued and outstanding as of</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6460" w:type="dxa"/>
            <w:vAlign w:val="bottom"/>
          </w:tcPr>
          <w:p>
            <w:pPr>
              <w:ind w:left="120"/>
              <w:spacing w:after="0"/>
              <w:rPr>
                <w:sz w:val="20"/>
                <w:szCs w:val="20"/>
                <w:color w:val="auto"/>
              </w:rPr>
            </w:pPr>
            <w:r>
              <w:rPr>
                <w:rFonts w:ascii="Arial" w:cs="Arial" w:eastAsia="Arial" w:hAnsi="Arial"/>
                <w:sz w:val="13"/>
                <w:szCs w:val="13"/>
                <w:color w:val="auto"/>
              </w:rPr>
              <w:t>December 31, 2022 and 2021</w:t>
            </w:r>
          </w:p>
        </w:tc>
        <w:tc>
          <w:tcPr>
            <w:tcW w:w="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3"/>
        </w:trPr>
        <w:tc>
          <w:tcPr>
            <w:tcW w:w="6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Voting common stock, $0.0001 par value; 2,000,000,000 shares authorized as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December 31, 2022 and 2021; 109,790,702 shares issued and</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107,472,980 shares outstanding as of December 31, 2022; 102,771,899</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 issued and 100,454,177 shares outstanding as of December 31, 2021</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r>
      <w:tr>
        <w:trPr>
          <w:trHeight w:val="143"/>
        </w:trPr>
        <w:tc>
          <w:tcPr>
            <w:tcW w:w="6460" w:type="dxa"/>
            <w:vAlign w:val="bottom"/>
          </w:tcPr>
          <w:p>
            <w:pPr>
              <w:spacing w:after="0" w:line="143" w:lineRule="exact"/>
              <w:rPr>
                <w:sz w:val="20"/>
                <w:szCs w:val="20"/>
                <w:color w:val="auto"/>
              </w:rPr>
            </w:pPr>
            <w:r>
              <w:rPr>
                <w:rFonts w:ascii="Arial" w:cs="Arial" w:eastAsia="Arial" w:hAnsi="Arial"/>
                <w:sz w:val="13"/>
                <w:szCs w:val="13"/>
                <w:color w:val="auto"/>
              </w:rPr>
              <w:t>Non-voting common stock, $0.0001 par value; 10,000,000 shares authorized as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6460" w:type="dxa"/>
            <w:vAlign w:val="bottom"/>
          </w:tcPr>
          <w:p>
            <w:pPr>
              <w:ind w:left="120"/>
              <w:spacing w:after="0"/>
              <w:rPr>
                <w:sz w:val="20"/>
                <w:szCs w:val="20"/>
                <w:color w:val="auto"/>
              </w:rPr>
            </w:pPr>
            <w:r>
              <w:rPr>
                <w:rFonts w:ascii="Arial" w:cs="Arial" w:eastAsia="Arial" w:hAnsi="Arial"/>
                <w:sz w:val="13"/>
                <w:szCs w:val="13"/>
                <w:color w:val="auto"/>
              </w:rPr>
              <w:t>of December 31, 2022 and 2021; 1,873,320 and 5,988,378 shares issued</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6460" w:type="dxa"/>
            <w:vAlign w:val="bottom"/>
          </w:tcPr>
          <w:p>
            <w:pPr>
              <w:ind w:left="120"/>
              <w:spacing w:after="0"/>
              <w:rPr>
                <w:sz w:val="20"/>
                <w:szCs w:val="20"/>
                <w:color w:val="auto"/>
              </w:rPr>
            </w:pPr>
            <w:r>
              <w:rPr>
                <w:rFonts w:ascii="Arial" w:cs="Arial" w:eastAsia="Arial" w:hAnsi="Arial"/>
                <w:sz w:val="13"/>
                <w:szCs w:val="13"/>
                <w:color w:val="auto"/>
              </w:rPr>
              <w:t>and outstanding as of December 31, 2022 and 2021, respectively</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r>
      <w:tr>
        <w:trPr>
          <w:trHeight w:val="143"/>
        </w:trPr>
        <w:tc>
          <w:tcPr>
            <w:tcW w:w="6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Treasury voting common stock, 2,317,722 shares as of December 31, 2022 and</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6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2021, held at cost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(748)</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649,756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609,194</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(1,912)</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(399)</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Accumulated deficit</w:t>
            </w:r>
          </w:p>
        </w:tc>
        <w:tc>
          <w:tcPr>
            <w:tcW w:w="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(165,204)</w:t>
            </w:r>
          </w:p>
        </w:tc>
        <w:tc>
          <w:tcPr>
            <w:tcW w:w="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w w:val="86"/>
              </w:rPr>
              <w:t>(125,857)</w:t>
            </w: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481,903</w:t>
            </w: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482,201</w:t>
            </w:r>
          </w:p>
        </w:tc>
        <w:tc>
          <w:tcPr>
            <w:tcW w:w="80" w:type="dxa"/>
            <w:vAlign w:val="bottom"/>
            <w:shd w:val="clear" w:color="auto" w:fill="CCEEFF"/>
          </w:tcPr>
          <w:p>
            <w:pPr>
              <w:spacing w:after="0"/>
              <w:rPr>
                <w:sz w:val="13"/>
                <w:szCs w:val="13"/>
                <w:color w:val="auto"/>
              </w:rPr>
            </w:pPr>
          </w:p>
        </w:tc>
      </w:tr>
      <w:tr>
        <w:trPr>
          <w:trHeight w:val="159"/>
        </w:trPr>
        <w:tc>
          <w:tcPr>
            <w:tcW w:w="646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674,287</w:t>
            </w:r>
          </w:p>
        </w:tc>
        <w:tc>
          <w:tcPr>
            <w:tcW w:w="16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639,845</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 of Cash Flows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 (Amounts 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6420" w:type="dxa"/>
            <w:vAlign w:val="bottom"/>
          </w:tcPr>
          <w:p>
            <w:pPr>
              <w:spacing w:after="0"/>
              <w:rPr>
                <w:sz w:val="10"/>
                <w:szCs w:val="10"/>
                <w:color w:val="auto"/>
              </w:rPr>
            </w:pPr>
          </w:p>
        </w:tc>
        <w:tc>
          <w:tcPr>
            <w:tcW w:w="1320" w:type="dxa"/>
            <w:vAlign w:val="bottom"/>
            <w:gridSpan w:val="5"/>
          </w:tcPr>
          <w:p>
            <w:pPr>
              <w:jc w:val="right"/>
              <w:ind w:right="140"/>
              <w:spacing w:after="0"/>
              <w:rPr>
                <w:sz w:val="20"/>
                <w:szCs w:val="20"/>
                <w:color w:val="auto"/>
              </w:rPr>
            </w:pPr>
            <w:r>
              <w:rPr>
                <w:rFonts w:ascii="Arial" w:cs="Arial" w:eastAsia="Arial" w:hAnsi="Arial"/>
                <w:sz w:val="10"/>
                <w:szCs w:val="10"/>
                <w:b w:val="1"/>
                <w:bCs w:val="1"/>
                <w:color w:val="auto"/>
                <w:w w:val="94"/>
              </w:rPr>
              <w:t>Year Ended December 31,</w:t>
            </w:r>
          </w:p>
        </w:tc>
      </w:tr>
      <w:tr>
        <w:trPr>
          <w:trHeight w:val="94"/>
        </w:trPr>
        <w:tc>
          <w:tcPr>
            <w:tcW w:w="642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7"/>
              <w:spacing w:after="0" w:line="94" w:lineRule="exact"/>
              <w:rPr>
                <w:sz w:val="20"/>
                <w:szCs w:val="20"/>
                <w:color w:val="auto"/>
              </w:rPr>
            </w:pPr>
            <w:r>
              <w:rPr>
                <w:rFonts w:ascii="Arial" w:cs="Arial" w:eastAsia="Arial" w:hAnsi="Arial"/>
                <w:sz w:val="10"/>
                <w:szCs w:val="10"/>
                <w:b w:val="1"/>
                <w:bCs w:val="1"/>
                <w:color w:val="auto"/>
              </w:rPr>
              <w:t>2022</w:t>
            </w:r>
          </w:p>
        </w:tc>
        <w:tc>
          <w:tcPr>
            <w:tcW w:w="2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97"/>
              <w:spacing w:after="0" w:line="9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r>
      <w:tr>
        <w:trPr>
          <w:trHeight w:val="132"/>
        </w:trPr>
        <w:tc>
          <w:tcPr>
            <w:tcW w:w="642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Cash flows from operating activities:</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w w:val="87"/>
              </w:rPr>
              <w:t>$ (39,347)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(28,085)</w:t>
            </w:r>
          </w:p>
        </w:tc>
      </w:tr>
      <w:tr>
        <w:trPr>
          <w:trHeight w:val="143"/>
        </w:trPr>
        <w:tc>
          <w:tcPr>
            <w:tcW w:w="6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Adjustments to reconcile net loss to net cash provided by (used in)</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6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activities:</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3"/>
                <w:szCs w:val="13"/>
                <w:color w:val="auto"/>
              </w:rPr>
              <w:t>12,304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8,998</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30,259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18,928</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Amortization of deferred contract costs</w:t>
            </w:r>
          </w:p>
        </w:tc>
        <w:tc>
          <w:tcPr>
            <w:tcW w:w="500" w:type="dxa"/>
            <w:vAlign w:val="bottom"/>
          </w:tcPr>
          <w:p>
            <w:pPr>
              <w:jc w:val="right"/>
              <w:spacing w:after="0"/>
              <w:rPr>
                <w:sz w:val="20"/>
                <w:szCs w:val="20"/>
                <w:color w:val="auto"/>
              </w:rPr>
            </w:pPr>
            <w:r>
              <w:rPr>
                <w:rFonts w:ascii="Arial" w:cs="Arial" w:eastAsia="Arial" w:hAnsi="Arial"/>
                <w:sz w:val="13"/>
                <w:szCs w:val="13"/>
                <w:color w:val="auto"/>
              </w:rPr>
              <w:t>1,799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245</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preferred stock warrant liability</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10,758</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Change in fair value of contingent consideration</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(2,805)</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2,263</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Deferred tax provision</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(1,708)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Bad debt expense</w:t>
            </w:r>
          </w:p>
        </w:tc>
        <w:tc>
          <w:tcPr>
            <w:tcW w:w="500" w:type="dxa"/>
            <w:vAlign w:val="bottom"/>
          </w:tcPr>
          <w:p>
            <w:pPr>
              <w:jc w:val="right"/>
              <w:spacing w:after="0"/>
              <w:rPr>
                <w:sz w:val="20"/>
                <w:szCs w:val="20"/>
                <w:color w:val="auto"/>
              </w:rPr>
            </w:pPr>
            <w:r>
              <w:rPr>
                <w:rFonts w:ascii="Arial" w:cs="Arial" w:eastAsia="Arial" w:hAnsi="Arial"/>
                <w:sz w:val="13"/>
                <w:szCs w:val="13"/>
                <w:color w:val="auto"/>
              </w:rPr>
              <w:t>152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165</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Non-cash 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Other</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 net of acquisitions:</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Accounts receivable</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(587)</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Unbilled receivables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(1,928)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(1,642)</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Funds receivable from payment partners</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(30,917)</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(5,805)</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other current assets and other assets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(11,031)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(7,854)</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Funds payable to clients</w:t>
            </w:r>
          </w:p>
        </w:tc>
        <w:tc>
          <w:tcPr>
            <w:tcW w:w="500" w:type="dxa"/>
            <w:vAlign w:val="bottom"/>
          </w:tcPr>
          <w:p>
            <w:pPr>
              <w:jc w:val="right"/>
              <w:spacing w:after="0"/>
              <w:rPr>
                <w:sz w:val="20"/>
                <w:szCs w:val="20"/>
                <w:color w:val="auto"/>
              </w:rPr>
            </w:pPr>
            <w:r>
              <w:rPr>
                <w:rFonts w:ascii="Arial" w:cs="Arial" w:eastAsia="Arial" w:hAnsi="Arial"/>
                <w:sz w:val="13"/>
                <w:szCs w:val="13"/>
                <w:color w:val="auto"/>
              </w:rPr>
              <w:t>48,932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11,316</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 accrued expenses and other current liabilities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11,230</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Contingent consideration</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(4,510)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(3,212)</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(2,515)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174</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Deferred revenue</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(159)</w:t>
            </w:r>
          </w:p>
        </w:tc>
      </w:tr>
      <w:tr>
        <w:trPr>
          <w:trHeight w:val="151"/>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17,131</w:t>
            </w:r>
          </w:p>
        </w:tc>
        <w:tc>
          <w:tcPr>
            <w:tcW w:w="80" w:type="dxa"/>
            <w:vAlign w:val="bottom"/>
            <w:shd w:val="clear" w:color="auto" w:fill="CCEEFF"/>
          </w:tcPr>
          <w:p>
            <w:pPr>
              <w:spacing w:after="0"/>
              <w:rPr>
                <w:sz w:val="13"/>
                <w:szCs w:val="13"/>
                <w:color w:val="auto"/>
              </w:rPr>
            </w:pPr>
          </w:p>
        </w:tc>
      </w:tr>
      <w:tr>
        <w:trPr>
          <w:trHeight w:val="151"/>
        </w:trPr>
        <w:tc>
          <w:tcPr>
            <w:tcW w:w="642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and equipment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(7,092)</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(6,684)</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Acquisitions of businesses, net of cash acquired</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(17,140)</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(56,111)</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Asset acquisition, net of cash acquired</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Contingent consideration paid for acquisitions</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(453)</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20"/>
        </w:trPr>
        <w:tc>
          <w:tcPr>
            <w:tcW w:w="6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(24,685)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(62,914)</w:t>
            </w:r>
          </w:p>
        </w:tc>
      </w:tr>
      <w:tr>
        <w:trPr>
          <w:trHeight w:val="151"/>
        </w:trPr>
        <w:tc>
          <w:tcPr>
            <w:tcW w:w="64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6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Proceeds from initial public offering, net of underwriting discount and</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6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commissions</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268,694</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Payment of deferred offering costs related to initial public offering</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(4,860)</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issuance of long-term debt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25,939</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Payment of long-term debt issuance costs</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(418)</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Repayment of long-term debt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(25,939)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(25,000)</w:t>
            </w:r>
          </w:p>
        </w:tc>
      </w:tr>
      <w:tr>
        <w:trPr>
          <w:trHeight w:val="143"/>
        </w:trPr>
        <w:tc>
          <w:tcPr>
            <w:tcW w:w="6420" w:type="dxa"/>
            <w:vAlign w:val="bottom"/>
          </w:tcPr>
          <w:p>
            <w:pPr>
              <w:spacing w:after="0" w:line="143" w:lineRule="exact"/>
              <w:rPr>
                <w:sz w:val="20"/>
                <w:szCs w:val="20"/>
                <w:color w:val="auto"/>
              </w:rPr>
            </w:pPr>
            <w:r>
              <w:rPr>
                <w:rFonts w:ascii="Arial" w:cs="Arial" w:eastAsia="Arial" w:hAnsi="Arial"/>
                <w:sz w:val="13"/>
                <w:szCs w:val="13"/>
                <w:color w:val="auto"/>
              </w:rPr>
              <w:t>Proceeds from issuance of redeemable convertible preferred stock,</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6420" w:type="dxa"/>
            <w:vAlign w:val="bottom"/>
          </w:tcPr>
          <w:p>
            <w:pPr>
              <w:ind w:left="120"/>
              <w:spacing w:after="0"/>
              <w:rPr>
                <w:sz w:val="20"/>
                <w:szCs w:val="20"/>
                <w:color w:val="auto"/>
              </w:rPr>
            </w:pPr>
            <w:r>
              <w:rPr>
                <w:rFonts w:ascii="Arial" w:cs="Arial" w:eastAsia="Arial" w:hAnsi="Arial"/>
                <w:sz w:val="13"/>
                <w:szCs w:val="13"/>
                <w:color w:val="auto"/>
              </w:rPr>
              <w:t>net of issuance costs</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59,735</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exercise of warrants</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294</w:t>
            </w:r>
          </w:p>
        </w:tc>
      </w:tr>
      <w:tr>
        <w:trPr>
          <w:trHeight w:val="152"/>
        </w:trPr>
        <w:tc>
          <w:tcPr>
            <w:tcW w:w="6420" w:type="dxa"/>
            <w:vAlign w:val="bottom"/>
          </w:tcPr>
          <w:p>
            <w:pPr>
              <w:spacing w:after="0"/>
              <w:rPr>
                <w:sz w:val="20"/>
                <w:szCs w:val="20"/>
                <w:color w:val="auto"/>
              </w:rPr>
            </w:pPr>
            <w:r>
              <w:rPr>
                <w:rFonts w:ascii="Arial" w:cs="Arial" w:eastAsia="Arial" w:hAnsi="Arial"/>
                <w:sz w:val="13"/>
                <w:szCs w:val="13"/>
                <w:color w:val="auto"/>
              </w:rPr>
              <w:t>Contingent consideration paid for acquisitions</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(3,701)</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(3,800)</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Payments of tax withholdings for net settled option exercises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(2,564)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43"/>
        </w:trPr>
        <w:tc>
          <w:tcPr>
            <w:tcW w:w="6420" w:type="dxa"/>
            <w:vAlign w:val="bottom"/>
          </w:tcPr>
          <w:p>
            <w:pPr>
              <w:spacing w:after="0" w:line="143" w:lineRule="exact"/>
              <w:rPr>
                <w:sz w:val="20"/>
                <w:szCs w:val="20"/>
                <w:color w:val="auto"/>
              </w:rPr>
            </w:pPr>
            <w:r>
              <w:rPr>
                <w:rFonts w:ascii="Arial" w:cs="Arial" w:eastAsia="Arial" w:hAnsi="Arial"/>
                <w:sz w:val="13"/>
                <w:szCs w:val="13"/>
                <w:color w:val="auto"/>
              </w:rPr>
              <w:t>Proceeds from the issuance of stock under Employee Stock</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6420" w:type="dxa"/>
            <w:vAlign w:val="bottom"/>
          </w:tcPr>
          <w:p>
            <w:pPr>
              <w:ind w:left="120"/>
              <w:spacing w:after="0"/>
              <w:rPr>
                <w:sz w:val="20"/>
                <w:szCs w:val="20"/>
                <w:color w:val="auto"/>
              </w:rPr>
            </w:pPr>
            <w:r>
              <w:rPr>
                <w:rFonts w:ascii="Arial" w:cs="Arial" w:eastAsia="Arial" w:hAnsi="Arial"/>
                <w:sz w:val="13"/>
                <w:szCs w:val="13"/>
                <w:color w:val="auto"/>
              </w:rPr>
              <w:t>Purchase Plan</w:t>
            </w:r>
          </w:p>
        </w:tc>
        <w:tc>
          <w:tcPr>
            <w:tcW w:w="500" w:type="dxa"/>
            <w:vAlign w:val="bottom"/>
          </w:tcPr>
          <w:p>
            <w:pPr>
              <w:jc w:val="right"/>
              <w:spacing w:after="0"/>
              <w:rPr>
                <w:sz w:val="20"/>
                <w:szCs w:val="20"/>
                <w:color w:val="auto"/>
              </w:rPr>
            </w:pPr>
            <w:r>
              <w:rPr>
                <w:rFonts w:ascii="Arial" w:cs="Arial" w:eastAsia="Arial" w:hAnsi="Arial"/>
                <w:sz w:val="13"/>
                <w:szCs w:val="13"/>
                <w:color w:val="auto"/>
              </w:rPr>
              <w:t>1,271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Proceeds from exercise of stock options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6,963</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6,928</w:t>
            </w:r>
          </w:p>
        </w:tc>
        <w:tc>
          <w:tcPr>
            <w:tcW w:w="80" w:type="dxa"/>
            <w:vAlign w:val="bottom"/>
            <w:shd w:val="clear" w:color="auto" w:fill="CCEEFF"/>
          </w:tcPr>
          <w:p>
            <w:pPr>
              <w:spacing w:after="0"/>
              <w:rPr>
                <w:sz w:val="13"/>
                <w:szCs w:val="13"/>
                <w:color w:val="auto"/>
              </w:rPr>
            </w:pPr>
          </w:p>
        </w:tc>
      </w:tr>
      <w:tr>
        <w:trPr>
          <w:trHeight w:val="151"/>
        </w:trPr>
        <w:tc>
          <w:tcPr>
            <w:tcW w:w="6420" w:type="dxa"/>
            <w:vAlign w:val="bottom"/>
          </w:tcPr>
          <w:p>
            <w:pPr>
              <w:spacing w:after="0"/>
              <w:rPr>
                <w:sz w:val="20"/>
                <w:szCs w:val="20"/>
                <w:color w:val="auto"/>
              </w:rPr>
            </w:pPr>
            <w:r>
              <w:rPr>
                <w:rFonts w:ascii="Arial" w:cs="Arial" w:eastAsia="Arial" w:hAnsi="Arial"/>
                <w:sz w:val="13"/>
                <w:szCs w:val="13"/>
                <w:color w:val="auto"/>
              </w:rPr>
              <w:t>Net cash provided by (used in) financing activities</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(23,970)</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327,512</w:t>
            </w:r>
          </w:p>
        </w:tc>
      </w:tr>
      <w:tr>
        <w:trPr>
          <w:trHeight w:val="20"/>
        </w:trPr>
        <w:tc>
          <w:tcPr>
            <w:tcW w:w="6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rates changes on cash and cash equivalents</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(1,421)</w:t>
            </w:r>
          </w:p>
        </w:tc>
      </w:tr>
      <w:tr>
        <w:trPr>
          <w:trHeight w:val="138"/>
        </w:trPr>
        <w:tc>
          <w:tcPr>
            <w:tcW w:w="6420" w:type="dxa"/>
            <w:vAlign w:val="bottom"/>
          </w:tcPr>
          <w:p>
            <w:pPr>
              <w:spacing w:after="0" w:line="138" w:lineRule="exact"/>
              <w:rPr>
                <w:sz w:val="20"/>
                <w:szCs w:val="20"/>
                <w:color w:val="auto"/>
              </w:rPr>
            </w:pPr>
            <w:r>
              <w:rPr>
                <w:rFonts w:ascii="Arial" w:cs="Arial" w:eastAsia="Arial" w:hAnsi="Arial"/>
                <w:sz w:val="13"/>
                <w:szCs w:val="13"/>
                <w:b w:val="1"/>
                <w:bCs w:val="1"/>
                <w:color w:val="auto"/>
              </w:rPr>
              <w:t>Net increase (decrease) in cash, cash equivalents and restricted</w:t>
            </w: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64"/>
        </w:trPr>
        <w:tc>
          <w:tcPr>
            <w:tcW w:w="6420" w:type="dxa"/>
            <w:vAlign w:val="bottom"/>
          </w:tcPr>
          <w:p>
            <w:pPr>
              <w:ind w:left="120"/>
              <w:spacing w:after="0"/>
              <w:rPr>
                <w:sz w:val="20"/>
                <w:szCs w:val="20"/>
                <w:color w:val="auto"/>
              </w:rPr>
            </w:pPr>
            <w:r>
              <w:rPr>
                <w:rFonts w:ascii="Arial" w:cs="Arial" w:eastAsia="Arial" w:hAnsi="Arial"/>
                <w:sz w:val="13"/>
                <w:szCs w:val="13"/>
                <w:b w:val="1"/>
                <w:bCs w:val="1"/>
                <w:color w:val="auto"/>
              </w:rPr>
              <w:t>cash</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(38,183)</w:t>
            </w:r>
          </w:p>
        </w:tc>
        <w:tc>
          <w:tcPr>
            <w:tcW w:w="8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280,308</w:t>
            </w:r>
          </w:p>
        </w:tc>
      </w:tr>
      <w:tr>
        <w:trPr>
          <w:trHeight w:val="152"/>
        </w:trPr>
        <w:tc>
          <w:tcPr>
            <w:tcW w:w="6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cash equivalents and restricted cash, beginning of year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$ 389,360</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109,052</w:t>
            </w:r>
          </w:p>
        </w:tc>
        <w:tc>
          <w:tcPr>
            <w:tcW w:w="80" w:type="dxa"/>
            <w:vAlign w:val="bottom"/>
            <w:shd w:val="clear" w:color="auto" w:fill="CCEEFF"/>
          </w:tcPr>
          <w:p>
            <w:pPr>
              <w:spacing w:after="0"/>
              <w:rPr>
                <w:sz w:val="13"/>
                <w:szCs w:val="13"/>
                <w:color w:val="auto"/>
              </w:rPr>
            </w:pPr>
          </w:p>
        </w:tc>
      </w:tr>
      <w:tr>
        <w:trPr>
          <w:trHeight w:val="159"/>
        </w:trPr>
        <w:tc>
          <w:tcPr>
            <w:tcW w:w="6420" w:type="dxa"/>
            <w:vAlign w:val="bottom"/>
          </w:tcPr>
          <w:p>
            <w:pPr>
              <w:spacing w:after="0"/>
              <w:rPr>
                <w:sz w:val="20"/>
                <w:szCs w:val="20"/>
                <w:color w:val="auto"/>
              </w:rPr>
            </w:pPr>
            <w:r>
              <w:rPr>
                <w:rFonts w:ascii="Arial" w:cs="Arial" w:eastAsia="Arial" w:hAnsi="Arial"/>
                <w:sz w:val="13"/>
                <w:szCs w:val="13"/>
                <w:b w:val="1"/>
                <w:bCs w:val="1"/>
                <w:color w:val="auto"/>
              </w:rPr>
              <w:t>Cash, cash equivalents and restricted cash, end of year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$ 351,177</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389,360</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millions)</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Modified Methodology</w:t>
      </w:r>
    </w:p>
    <w:p>
      <w:pPr>
        <w:spacing w:after="0" w:line="7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220" w:type="dxa"/>
            <w:vAlign w:val="bottom"/>
            <w:gridSpan w:val="6"/>
          </w:tcPr>
          <w:p>
            <w:pPr>
              <w:jc w:val="center"/>
              <w:ind w:right="220"/>
              <w:spacing w:after="0"/>
              <w:rPr>
                <w:sz w:val="20"/>
                <w:szCs w:val="20"/>
                <w:color w:val="auto"/>
              </w:rPr>
            </w:pPr>
            <w:r>
              <w:rPr>
                <w:rFonts w:ascii="Arial" w:cs="Arial" w:eastAsia="Arial" w:hAnsi="Arial"/>
                <w:sz w:val="10"/>
                <w:szCs w:val="10"/>
                <w:b w:val="1"/>
                <w:bCs w:val="1"/>
                <w:color w:val="auto"/>
                <w:w w:val="92"/>
              </w:rPr>
              <w:t>Three Months Ended</w:t>
            </w:r>
          </w:p>
        </w:tc>
        <w:tc>
          <w:tcPr>
            <w:tcW w:w="80" w:type="dxa"/>
            <w:vAlign w:val="bottom"/>
          </w:tcPr>
          <w:p>
            <w:pPr>
              <w:spacing w:after="0"/>
              <w:rPr>
                <w:sz w:val="10"/>
                <w:szCs w:val="10"/>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89"/>
              </w:rPr>
              <w:t>December 31,</w:t>
            </w:r>
          </w:p>
        </w:tc>
        <w:tc>
          <w:tcPr>
            <w:tcW w:w="80" w:type="dxa"/>
            <w:vAlign w:val="bottom"/>
          </w:tcPr>
          <w:p>
            <w:pPr>
              <w:spacing w:after="0"/>
              <w:rPr>
                <w:sz w:val="10"/>
                <w:szCs w:val="10"/>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0" w:type="dxa"/>
            <w:vAlign w:val="bottom"/>
          </w:tcPr>
          <w:p>
            <w:pPr>
              <w:spacing w:after="0"/>
              <w:rPr>
                <w:sz w:val="1"/>
                <w:szCs w:val="1"/>
                <w:color w:val="auto"/>
              </w:rPr>
            </w:pPr>
          </w:p>
        </w:tc>
      </w:tr>
      <w:tr>
        <w:trPr>
          <w:trHeight w:val="94"/>
        </w:trPr>
        <w:tc>
          <w:tcPr>
            <w:tcW w:w="53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18"/>
              <w:spacing w:after="0" w:line="94" w:lineRule="exact"/>
              <w:rPr>
                <w:sz w:val="20"/>
                <w:szCs w:val="20"/>
                <w:color w:val="auto"/>
              </w:rPr>
            </w:pPr>
            <w:r>
              <w:rPr>
                <w:rFonts w:ascii="Arial" w:cs="Arial" w:eastAsia="Arial" w:hAnsi="Arial"/>
                <w:sz w:val="10"/>
                <w:szCs w:val="10"/>
                <w:b w:val="1"/>
                <w:bCs w:val="1"/>
                <w:color w:val="auto"/>
                <w:w w:val="80"/>
              </w:rPr>
              <w:t>2022</w:t>
            </w:r>
          </w:p>
        </w:tc>
        <w:tc>
          <w:tcPr>
            <w:tcW w:w="3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21"/>
              <w:spacing w:after="0" w:line="94" w:lineRule="exact"/>
              <w:rPr>
                <w:sz w:val="20"/>
                <w:szCs w:val="20"/>
                <w:color w:val="auto"/>
              </w:rPr>
            </w:pPr>
            <w:r>
              <w:rPr>
                <w:rFonts w:ascii="Arial" w:cs="Arial" w:eastAsia="Arial" w:hAnsi="Arial"/>
                <w:sz w:val="10"/>
                <w:szCs w:val="10"/>
                <w:b w:val="1"/>
                <w:bCs w:val="1"/>
                <w:color w:val="auto"/>
              </w:rPr>
              <w:t>2022</w:t>
            </w:r>
          </w:p>
        </w:tc>
        <w:tc>
          <w:tcPr>
            <w:tcW w:w="2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ind w:left="20"/>
              <w:spacing w:after="0" w:line="94"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3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73.1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$289.4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79"/>
              </w:rPr>
              <w:t>201.1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Adjusted to exclude gross up for:</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Pass-through cost for printing and mailing</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(20.4)</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(18.2)</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Marketing fees</w:t>
            </w:r>
          </w:p>
        </w:tc>
        <w:tc>
          <w:tcPr>
            <w:tcW w:w="6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720" w:type="dxa"/>
            <w:vAlign w:val="bottom"/>
            <w:gridSpan w:val="3"/>
          </w:tcPr>
          <w:p>
            <w:pPr>
              <w:jc w:val="right"/>
              <w:ind w:right="24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267.1</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9"/>
              </w:rPr>
              <w:t>181.1</w:t>
            </w:r>
          </w:p>
        </w:tc>
        <w:tc>
          <w:tcPr>
            <w:tcW w:w="0" w:type="dxa"/>
            <w:vAlign w:val="bottom"/>
          </w:tcPr>
          <w:p>
            <w:pPr>
              <w:spacing w:after="0"/>
              <w:rPr>
                <w:sz w:val="1"/>
                <w:szCs w:val="1"/>
                <w:color w:val="auto"/>
              </w:rPr>
            </w:pPr>
          </w:p>
        </w:tc>
      </w:tr>
      <w:tr>
        <w:trPr>
          <w:trHeight w:val="28"/>
        </w:trPr>
        <w:tc>
          <w:tcPr>
            <w:tcW w:w="5300" w:type="dxa"/>
            <w:vAlign w:val="bottom"/>
            <w:vMerge w:val="restart"/>
          </w:tcPr>
          <w:p>
            <w:pPr>
              <w:spacing w:after="0"/>
              <w:rPr>
                <w:sz w:val="20"/>
                <w:szCs w:val="20"/>
                <w:color w:val="auto"/>
              </w:rPr>
            </w:pPr>
            <w:r>
              <w:rPr>
                <w:rFonts w:ascii="Arial" w:cs="Arial" w:eastAsia="Arial" w:hAnsi="Arial"/>
                <w:sz w:val="13"/>
                <w:szCs w:val="13"/>
                <w:color w:val="auto"/>
              </w:rPr>
              <w:t>Payment processing services costs</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29.6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107.9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Hosting and amortization costs within technology and development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Cost of Revenue</w:t>
            </w: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3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31.6</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114.5</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6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Adjusted to:</w:t>
            </w:r>
          </w:p>
        </w:tc>
        <w:tc>
          <w:tcPr>
            <w:tcW w:w="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Exclude printing and mailing costs</w:t>
            </w:r>
          </w:p>
        </w:tc>
        <w:tc>
          <w:tcPr>
            <w:tcW w:w="6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(4.9)</w:t>
            </w:r>
          </w:p>
        </w:tc>
        <w:tc>
          <w:tcPr>
            <w:tcW w:w="720" w:type="dxa"/>
            <w:vAlign w:val="bottom"/>
            <w:gridSpan w:val="3"/>
          </w:tcPr>
          <w:p>
            <w:pPr>
              <w:jc w:val="right"/>
              <w:ind w:right="240"/>
              <w:spacing w:after="0"/>
              <w:rPr>
                <w:sz w:val="20"/>
                <w:szCs w:val="20"/>
                <w:color w:val="auto"/>
              </w:rPr>
            </w:pPr>
            <w:r>
              <w:rPr>
                <w:rFonts w:ascii="Arial" w:cs="Arial" w:eastAsia="Arial" w:hAnsi="Arial"/>
                <w:sz w:val="13"/>
                <w:szCs w:val="13"/>
                <w:color w:val="auto"/>
              </w:rPr>
              <w:t>(20.4)</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(18.2)</w:t>
            </w: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Offset marketing fees against related costs</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(0.6)</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Exclude depreciation and amortization</w:t>
            </w:r>
          </w:p>
        </w:tc>
        <w:tc>
          <w:tcPr>
            <w:tcW w:w="6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(1.1)</w:t>
            </w:r>
          </w:p>
        </w:tc>
        <w:tc>
          <w:tcPr>
            <w:tcW w:w="720" w:type="dxa"/>
            <w:vAlign w:val="bottom"/>
            <w:gridSpan w:val="3"/>
          </w:tcPr>
          <w:p>
            <w:pPr>
              <w:jc w:val="right"/>
              <w:ind w:right="240"/>
              <w:spacing w:after="0"/>
              <w:rPr>
                <w:sz w:val="20"/>
                <w:szCs w:val="20"/>
                <w:color w:val="auto"/>
              </w:rPr>
            </w:pPr>
            <w:r>
              <w:rPr>
                <w:rFonts w:ascii="Arial" w:cs="Arial" w:eastAsia="Arial" w:hAnsi="Arial"/>
                <w:sz w:val="13"/>
                <w:szCs w:val="13"/>
                <w:color w:val="auto"/>
              </w:rPr>
              <w:t>(7.0)</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Adjusted Cost of Revenue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$ 85.2</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Gross Profit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300"/>
              <w:spacing w:after="0"/>
              <w:rPr>
                <w:sz w:val="20"/>
                <w:szCs w:val="20"/>
                <w:color w:val="auto"/>
              </w:rPr>
            </w:pPr>
            <w:r>
              <w:rPr>
                <w:rFonts w:ascii="Arial" w:cs="Arial" w:eastAsia="Arial" w:hAnsi="Arial"/>
                <w:sz w:val="13"/>
                <w:szCs w:val="13"/>
                <w:color w:val="auto"/>
              </w:rPr>
              <w:t>41.5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30.7</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$174.9</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w w:val="79"/>
              </w:rPr>
              <w:t>125.2</w:t>
            </w: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7"/>
              </w:rPr>
              <w:t>56.8%</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60.4%</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28"/>
        </w:trPr>
        <w:tc>
          <w:tcPr>
            <w:tcW w:w="5300" w:type="dxa"/>
            <w:vAlign w:val="bottom"/>
            <w:vMerge w:val="restart"/>
          </w:tcPr>
          <w:p>
            <w:pPr>
              <w:spacing w:after="0"/>
              <w:rPr>
                <w:sz w:val="20"/>
                <w:szCs w:val="20"/>
                <w:color w:val="auto"/>
              </w:rPr>
            </w:pPr>
            <w:r>
              <w:rPr>
                <w:rFonts w:ascii="Arial" w:cs="Arial" w:eastAsia="Arial" w:hAnsi="Arial"/>
                <w:sz w:val="13"/>
                <w:szCs w:val="13"/>
                <w:color w:val="auto"/>
              </w:rPr>
              <w:t>Adjusted Gross Profit</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3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44.5</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$181.9</w:t>
            </w:r>
          </w:p>
        </w:tc>
        <w:tc>
          <w:tcPr>
            <w:tcW w:w="2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w w:val="79"/>
              </w:rPr>
              <w:t>129.7</w:t>
            </w: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Adjusted Gross Margin</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7"/>
              </w:rPr>
              <w:t>66.0%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68.1%</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332"/>
        </w:trPr>
        <w:tc>
          <w:tcPr>
            <w:tcW w:w="5300" w:type="dxa"/>
            <w:vAlign w:val="bottom"/>
          </w:tcPr>
          <w:p>
            <w:pPr>
              <w:spacing w:after="0"/>
              <w:rPr>
                <w:sz w:val="20"/>
                <w:szCs w:val="20"/>
                <w:color w:val="auto"/>
              </w:rPr>
            </w:pPr>
            <w:r>
              <w:rPr>
                <w:rFonts w:ascii="Arial" w:cs="Arial" w:eastAsia="Arial" w:hAnsi="Arial"/>
                <w:sz w:val="13"/>
                <w:szCs w:val="13"/>
                <w:b w:val="1"/>
                <w:bCs w:val="1"/>
                <w:color w:val="auto"/>
              </w:rPr>
              <w:t>Previous Methodology</w:t>
            </w: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220" w:type="dxa"/>
            <w:vAlign w:val="bottom"/>
            <w:gridSpan w:val="6"/>
          </w:tcPr>
          <w:p>
            <w:pPr>
              <w:jc w:val="center"/>
              <w:ind w:right="220"/>
              <w:spacing w:after="0"/>
              <w:rPr>
                <w:sz w:val="20"/>
                <w:szCs w:val="20"/>
                <w:color w:val="auto"/>
              </w:rPr>
            </w:pPr>
            <w:r>
              <w:rPr>
                <w:rFonts w:ascii="Arial" w:cs="Arial" w:eastAsia="Arial" w:hAnsi="Arial"/>
                <w:sz w:val="10"/>
                <w:szCs w:val="10"/>
                <w:b w:val="1"/>
                <w:bCs w:val="1"/>
                <w:color w:val="auto"/>
                <w:w w:val="92"/>
              </w:rPr>
              <w:t>Three Months Ended</w:t>
            </w:r>
          </w:p>
        </w:tc>
        <w:tc>
          <w:tcPr>
            <w:tcW w:w="80" w:type="dxa"/>
            <w:vAlign w:val="bottom"/>
          </w:tcPr>
          <w:p>
            <w:pPr>
              <w:spacing w:after="0"/>
              <w:rPr>
                <w:sz w:val="20"/>
                <w:szCs w:val="20"/>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89"/>
              </w:rPr>
              <w:t>December 31,</w:t>
            </w:r>
          </w:p>
        </w:tc>
        <w:tc>
          <w:tcPr>
            <w:tcW w:w="80" w:type="dxa"/>
            <w:vAlign w:val="bottom"/>
          </w:tcPr>
          <w:p>
            <w:pPr>
              <w:spacing w:after="0"/>
              <w:rPr>
                <w:sz w:val="10"/>
                <w:szCs w:val="10"/>
                <w:color w:val="auto"/>
              </w:rPr>
            </w:pPr>
          </w:p>
        </w:tc>
        <w:tc>
          <w:tcPr>
            <w:tcW w:w="114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0" w:type="dxa"/>
            <w:vAlign w:val="bottom"/>
          </w:tcPr>
          <w:p>
            <w:pPr>
              <w:spacing w:after="0"/>
              <w:rPr>
                <w:sz w:val="1"/>
                <w:szCs w:val="1"/>
                <w:color w:val="auto"/>
              </w:rPr>
            </w:pPr>
          </w:p>
        </w:tc>
      </w:tr>
      <w:tr>
        <w:trPr>
          <w:trHeight w:val="94"/>
        </w:trPr>
        <w:tc>
          <w:tcPr>
            <w:tcW w:w="53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18"/>
              <w:spacing w:after="0" w:line="94" w:lineRule="exact"/>
              <w:rPr>
                <w:sz w:val="20"/>
                <w:szCs w:val="20"/>
                <w:color w:val="auto"/>
              </w:rPr>
            </w:pPr>
            <w:r>
              <w:rPr>
                <w:rFonts w:ascii="Arial" w:cs="Arial" w:eastAsia="Arial" w:hAnsi="Arial"/>
                <w:sz w:val="10"/>
                <w:szCs w:val="10"/>
                <w:b w:val="1"/>
                <w:bCs w:val="1"/>
                <w:color w:val="auto"/>
                <w:w w:val="80"/>
              </w:rPr>
              <w:t>2022</w:t>
            </w:r>
          </w:p>
        </w:tc>
        <w:tc>
          <w:tcPr>
            <w:tcW w:w="30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8"/>
              <w:spacing w:after="0" w:line="9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21"/>
              <w:spacing w:after="0" w:line="94" w:lineRule="exact"/>
              <w:rPr>
                <w:sz w:val="20"/>
                <w:szCs w:val="20"/>
                <w:color w:val="auto"/>
              </w:rPr>
            </w:pPr>
            <w:r>
              <w:rPr>
                <w:rFonts w:ascii="Arial" w:cs="Arial" w:eastAsia="Arial" w:hAnsi="Arial"/>
                <w:sz w:val="10"/>
                <w:szCs w:val="10"/>
                <w:b w:val="1"/>
                <w:bCs w:val="1"/>
                <w:color w:val="auto"/>
              </w:rPr>
              <w:t>2022</w:t>
            </w:r>
          </w:p>
        </w:tc>
        <w:tc>
          <w:tcPr>
            <w:tcW w:w="2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ind w:left="20"/>
              <w:spacing w:after="0" w:line="94"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3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73.1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$289.4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79"/>
              </w:rPr>
              <w:t>201.1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Adjusted to exclude gross up for:</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Pass-through cost for printing and mailing</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(20.4)</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(18.2)</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Marketing fees</w:t>
            </w:r>
          </w:p>
        </w:tc>
        <w:tc>
          <w:tcPr>
            <w:tcW w:w="6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720" w:type="dxa"/>
            <w:vAlign w:val="bottom"/>
            <w:gridSpan w:val="3"/>
          </w:tcPr>
          <w:p>
            <w:pPr>
              <w:jc w:val="right"/>
              <w:ind w:right="240"/>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267.1</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9"/>
              </w:rPr>
              <w:t>181.1</w:t>
            </w:r>
          </w:p>
        </w:tc>
        <w:tc>
          <w:tcPr>
            <w:tcW w:w="0" w:type="dxa"/>
            <w:vAlign w:val="bottom"/>
          </w:tcPr>
          <w:p>
            <w:pPr>
              <w:spacing w:after="0"/>
              <w:rPr>
                <w:sz w:val="1"/>
                <w:szCs w:val="1"/>
                <w:color w:val="auto"/>
              </w:rPr>
            </w:pPr>
          </w:p>
        </w:tc>
      </w:tr>
      <w:tr>
        <w:trPr>
          <w:trHeight w:val="28"/>
        </w:trPr>
        <w:tc>
          <w:tcPr>
            <w:tcW w:w="5300" w:type="dxa"/>
            <w:vAlign w:val="bottom"/>
            <w:vMerge w:val="restart"/>
          </w:tcPr>
          <w:p>
            <w:pPr>
              <w:spacing w:after="0"/>
              <w:rPr>
                <w:sz w:val="20"/>
                <w:szCs w:val="20"/>
                <w:color w:val="auto"/>
              </w:rPr>
            </w:pPr>
            <w:r>
              <w:rPr>
                <w:rFonts w:ascii="Arial" w:cs="Arial" w:eastAsia="Arial" w:hAnsi="Arial"/>
                <w:sz w:val="13"/>
                <w:szCs w:val="13"/>
                <w:color w:val="auto"/>
              </w:rPr>
              <w:t>Payment processing services costs</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29.6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107.9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r>
        <w:trPr>
          <w:trHeight w:val="143"/>
        </w:trPr>
        <w:tc>
          <w:tcPr>
            <w:tcW w:w="53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Hosting and amortization costs within technology and development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Cost of Revenue</w:t>
            </w: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3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31.6</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20.7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114.5</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6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Adjusted to:</w:t>
            </w:r>
          </w:p>
        </w:tc>
        <w:tc>
          <w:tcPr>
            <w:tcW w:w="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Exclude printing and mailing costs</w:t>
            </w:r>
          </w:p>
        </w:tc>
        <w:tc>
          <w:tcPr>
            <w:tcW w:w="6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(4.9)</w:t>
            </w:r>
          </w:p>
        </w:tc>
        <w:tc>
          <w:tcPr>
            <w:tcW w:w="720" w:type="dxa"/>
            <w:vAlign w:val="bottom"/>
            <w:gridSpan w:val="3"/>
          </w:tcPr>
          <w:p>
            <w:pPr>
              <w:jc w:val="right"/>
              <w:ind w:right="240"/>
              <w:spacing w:after="0"/>
              <w:rPr>
                <w:sz w:val="20"/>
                <w:szCs w:val="20"/>
                <w:color w:val="auto"/>
              </w:rPr>
            </w:pPr>
            <w:r>
              <w:rPr>
                <w:rFonts w:ascii="Arial" w:cs="Arial" w:eastAsia="Arial" w:hAnsi="Arial"/>
                <w:sz w:val="13"/>
                <w:szCs w:val="13"/>
                <w:color w:val="auto"/>
              </w:rPr>
              <w:t>(20.4)</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(18.2)</w:t>
            </w: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Offset marketing fees against related costs</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(0.6)</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(1.9)</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3"/>
                <w:szCs w:val="13"/>
                <w:color w:val="auto"/>
              </w:rPr>
              <w:t>Adjusted Cost of Revenue</w:t>
            </w: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3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25.9</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15.2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3"/>
              </w:rPr>
              <w:t>$ 92.2</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$174.9</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9"/>
              </w:rPr>
              <w:t>125.2</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Gross Margin</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w w:val="97"/>
              </w:rPr>
              <w:t>56.8%</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59.7%</w:t>
            </w: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60.4%</w:t>
            </w:r>
          </w:p>
        </w:tc>
        <w:tc>
          <w:tcPr>
            <w:tcW w:w="6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Adjusted Gross Profit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$174.9</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79"/>
              </w:rPr>
              <w:t>125.2</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20"/>
                <w:szCs w:val="20"/>
                <w:color w:val="auto"/>
              </w:rPr>
            </w:pPr>
            <w:r>
              <w:rPr>
                <w:rFonts w:ascii="Arial" w:cs="Arial" w:eastAsia="Arial" w:hAnsi="Arial"/>
                <w:sz w:val="13"/>
                <w:szCs w:val="13"/>
                <w:color w:val="auto"/>
              </w:rPr>
              <w:t>Adjusted Gross Margin</w:t>
            </w:r>
          </w:p>
        </w:tc>
        <w:tc>
          <w:tcPr>
            <w:tcW w:w="6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3"/>
                <w:szCs w:val="13"/>
                <w:color w:val="auto"/>
                <w:w w:val="97"/>
              </w:rPr>
              <w:t>61.6%</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65.5%</w:t>
            </w:r>
          </w:p>
        </w:tc>
        <w:tc>
          <w:tcPr>
            <w:tcW w:w="6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00" w:type="dxa"/>
            <w:vAlign w:val="bottom"/>
            <w:gridSpan w:val="6"/>
          </w:tcPr>
          <w:p>
            <w:pPr>
              <w:ind w:left="20"/>
              <w:spacing w:after="0"/>
              <w:rPr>
                <w:sz w:val="20"/>
                <w:szCs w:val="20"/>
                <w:color w:val="auto"/>
              </w:rPr>
            </w:pPr>
            <w:r>
              <w:rPr>
                <w:rFonts w:ascii="Arial" w:cs="Arial" w:eastAsia="Arial" w:hAnsi="Arial"/>
                <w:sz w:val="10"/>
                <w:szCs w:val="10"/>
                <w:b w:val="1"/>
                <w:bCs w:val="1"/>
                <w:color w:val="auto"/>
              </w:rPr>
              <w:t>Three Months Ended</w:t>
            </w:r>
          </w:p>
        </w:tc>
        <w:tc>
          <w:tcPr>
            <w:tcW w:w="900" w:type="dxa"/>
            <w:vAlign w:val="bottom"/>
            <w:gridSpan w:val="5"/>
          </w:tcPr>
          <w:p>
            <w:pPr>
              <w:jc w:val="right"/>
              <w:ind w:right="240"/>
              <w:spacing w:after="0"/>
              <w:rPr>
                <w:sz w:val="20"/>
                <w:szCs w:val="20"/>
                <w:color w:val="auto"/>
              </w:rPr>
            </w:pPr>
            <w:r>
              <w:rPr>
                <w:rFonts w:ascii="Arial" w:cs="Arial" w:eastAsia="Arial" w:hAnsi="Arial"/>
                <w:sz w:val="10"/>
                <w:szCs w:val="10"/>
                <w:b w:val="1"/>
                <w:bCs w:val="1"/>
                <w:color w:val="auto"/>
              </w:rPr>
              <w:t>Year Ended</w:t>
            </w:r>
          </w:p>
        </w:tc>
      </w:tr>
      <w:tr>
        <w:trPr>
          <w:trHeight w:val="119"/>
        </w:trPr>
        <w:tc>
          <w:tcPr>
            <w:tcW w:w="4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90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rPr>
              <w:t>December 31,</w:t>
            </w:r>
          </w:p>
        </w:tc>
      </w:tr>
      <w:tr>
        <w:trPr>
          <w:trHeight w:val="94"/>
        </w:trPr>
        <w:tc>
          <w:tcPr>
            <w:tcW w:w="4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89"/>
              </w:rPr>
              <w:t>2022</w:t>
            </w: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ind w:right="38"/>
              <w:spacing w:after="0" w:line="94" w:lineRule="exact"/>
              <w:rPr>
                <w:sz w:val="20"/>
                <w:szCs w:val="20"/>
                <w:color w:val="auto"/>
              </w:rPr>
            </w:pPr>
            <w:r>
              <w:rPr>
                <w:rFonts w:ascii="Arial" w:cs="Arial" w:eastAsia="Arial" w:hAnsi="Arial"/>
                <w:sz w:val="10"/>
                <w:szCs w:val="10"/>
                <w:b w:val="1"/>
                <w:bCs w:val="1"/>
                <w:color w:val="auto"/>
                <w:w w:val="98"/>
              </w:rPr>
              <w:t>2021</w:t>
            </w:r>
          </w:p>
        </w:tc>
        <w:tc>
          <w:tcPr>
            <w:tcW w:w="160" w:type="dxa"/>
            <w:vAlign w:val="bottom"/>
          </w:tcPr>
          <w:p>
            <w:pPr>
              <w:spacing w:after="0"/>
              <w:rPr>
                <w:sz w:val="8"/>
                <w:szCs w:val="8"/>
                <w:color w:val="auto"/>
              </w:rPr>
            </w:pPr>
          </w:p>
        </w:tc>
        <w:tc>
          <w:tcPr>
            <w:tcW w:w="340" w:type="dxa"/>
            <w:vAlign w:val="bottom"/>
            <w:tcBorders>
              <w:top w:val="single" w:sz="8" w:color="auto"/>
            </w:tcBorders>
          </w:tcPr>
          <w:p>
            <w:pPr>
              <w:jc w:val="right"/>
              <w:ind w:right="19"/>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ind w:right="17"/>
              <w:spacing w:after="0" w:line="9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8"/>
                <w:szCs w:val="8"/>
                <w:color w:val="auto"/>
              </w:rPr>
            </w:pPr>
          </w:p>
        </w:tc>
      </w:tr>
      <w:tr>
        <w:trPr>
          <w:trHeight w:val="141"/>
        </w:trPr>
        <w:tc>
          <w:tcPr>
            <w:tcW w:w="42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Net loss</w:t>
            </w:r>
          </w:p>
        </w:tc>
        <w:tc>
          <w:tcPr>
            <w:tcW w:w="14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7"/>
              </w:rPr>
              <w:t>(1.1)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4"/>
              </w:rPr>
              <w:t>(11.2)</w:t>
            </w: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7"/>
              </w:rPr>
              <w:t>$(39.3)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7"/>
              </w:rPr>
              <w:t>$(28.1)</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4260" w:type="dxa"/>
            <w:vAlign w:val="bottom"/>
          </w:tcPr>
          <w:p>
            <w:pPr>
              <w:spacing w:after="0"/>
              <w:rPr>
                <w:sz w:val="20"/>
                <w:szCs w:val="20"/>
                <w:color w:val="auto"/>
              </w:rPr>
            </w:pPr>
            <w:r>
              <w:rPr>
                <w:rFonts w:ascii="Arial" w:cs="Arial" w:eastAsia="Arial" w:hAnsi="Arial"/>
                <w:sz w:val="13"/>
                <w:szCs w:val="13"/>
                <w:color w:val="auto"/>
              </w:rPr>
              <w:t>Interest expense</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0.2</w:t>
            </w:r>
          </w:p>
        </w:tc>
        <w:tc>
          <w:tcPr>
            <w:tcW w:w="34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2.0</w:t>
            </w:r>
          </w:p>
        </w:tc>
      </w:tr>
      <w:tr>
        <w:trPr>
          <w:trHeight w:val="152"/>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2.2</w:t>
            </w:r>
          </w:p>
        </w:tc>
      </w:tr>
      <w:tr>
        <w:trPr>
          <w:trHeight w:val="152"/>
        </w:trPr>
        <w:tc>
          <w:tcPr>
            <w:tcW w:w="42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2.4</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14.1</w:t>
            </w: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9.0</w:t>
            </w:r>
          </w:p>
        </w:tc>
      </w:tr>
      <w:tr>
        <w:trPr>
          <w:trHeight w:val="20"/>
        </w:trPr>
        <w:tc>
          <w:tcPr>
            <w:tcW w:w="4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EBITDA</w:t>
            </w: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(14.9)</w:t>
            </w:r>
          </w:p>
        </w:tc>
      </w:tr>
      <w:tr>
        <w:trPr>
          <w:trHeight w:val="152"/>
        </w:trPr>
        <w:tc>
          <w:tcPr>
            <w:tcW w:w="4260" w:type="dxa"/>
            <w:vAlign w:val="bottom"/>
          </w:tcPr>
          <w:p>
            <w:pPr>
              <w:spacing w:after="0"/>
              <w:rPr>
                <w:sz w:val="20"/>
                <w:szCs w:val="20"/>
                <w:color w:val="auto"/>
              </w:rPr>
            </w:pPr>
            <w:r>
              <w:rPr>
                <w:rFonts w:ascii="Arial" w:cs="Arial" w:eastAsia="Arial" w:hAnsi="Arial"/>
                <w:sz w:val="13"/>
                <w:szCs w:val="13"/>
                <w:color w:val="auto"/>
              </w:rPr>
              <w:t>Stock-based compensation expense and related taxes</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3.3</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31.2</w:t>
            </w: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18.9</w:t>
            </w:r>
          </w:p>
        </w:tc>
      </w:tr>
      <w:tr>
        <w:trPr>
          <w:trHeight w:val="152"/>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contingent consideration</w:t>
            </w: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2.3</w:t>
            </w:r>
          </w:p>
        </w:tc>
      </w:tr>
      <w:tr>
        <w:trPr>
          <w:trHeight w:val="152"/>
        </w:trPr>
        <w:tc>
          <w:tcPr>
            <w:tcW w:w="4260" w:type="dxa"/>
            <w:vAlign w:val="bottom"/>
          </w:tcPr>
          <w:p>
            <w:pPr>
              <w:spacing w:after="0"/>
              <w:rPr>
                <w:sz w:val="20"/>
                <w:szCs w:val="20"/>
                <w:color w:val="auto"/>
              </w:rPr>
            </w:pPr>
            <w:r>
              <w:rPr>
                <w:rFonts w:ascii="Arial" w:cs="Arial" w:eastAsia="Arial" w:hAnsi="Arial"/>
                <w:sz w:val="13"/>
                <w:szCs w:val="13"/>
                <w:color w:val="auto"/>
              </w:rPr>
              <w:t>Change in fair value of preferred stock warrant liability</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10.8</w:t>
            </w:r>
          </w:p>
        </w:tc>
      </w:tr>
      <w:tr>
        <w:trPr>
          <w:trHeight w:val="152"/>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r>
      <w:tr>
        <w:trPr>
          <w:trHeight w:val="152"/>
        </w:trPr>
        <w:tc>
          <w:tcPr>
            <w:tcW w:w="4260" w:type="dxa"/>
            <w:vAlign w:val="bottom"/>
          </w:tcPr>
          <w:p>
            <w:pPr>
              <w:spacing w:after="0"/>
              <w:rPr>
                <w:sz w:val="20"/>
                <w:szCs w:val="20"/>
                <w:color w:val="auto"/>
              </w:rPr>
            </w:pPr>
            <w:r>
              <w:rPr>
                <w:rFonts w:ascii="Arial" w:cs="Arial" w:eastAsia="Arial" w:hAnsi="Arial"/>
                <w:sz w:val="13"/>
                <w:szCs w:val="13"/>
                <w:color w:val="auto"/>
              </w:rPr>
              <w:t>Indirect taxes related to intercompany activity</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0.9</w:t>
            </w:r>
          </w:p>
        </w:tc>
        <w:tc>
          <w:tcPr>
            <w:tcW w:w="34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0.9</w:t>
            </w:r>
          </w:p>
        </w:tc>
      </w:tr>
      <w:tr>
        <w:trPr>
          <w:trHeight w:val="152"/>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Acquisition related transaction costs</w:t>
            </w: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0.7</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0.7</w:t>
            </w:r>
          </w:p>
        </w:tc>
      </w:tr>
      <w:tr>
        <w:trPr>
          <w:trHeight w:val="152"/>
        </w:trPr>
        <w:tc>
          <w:tcPr>
            <w:tcW w:w="4260" w:type="dxa"/>
            <w:vAlign w:val="bottom"/>
          </w:tcPr>
          <w:p>
            <w:pPr>
              <w:spacing w:after="0"/>
              <w:rPr>
                <w:sz w:val="20"/>
                <w:szCs w:val="20"/>
                <w:color w:val="auto"/>
              </w:rPr>
            </w:pPr>
            <w:r>
              <w:rPr>
                <w:rFonts w:ascii="Arial" w:cs="Arial" w:eastAsia="Arial" w:hAnsi="Arial"/>
                <w:sz w:val="13"/>
                <w:szCs w:val="13"/>
                <w:color w:val="auto"/>
              </w:rPr>
              <w:t>Acquisition related employee retention costs</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1.1</w:t>
            </w:r>
          </w:p>
        </w:tc>
        <w:tc>
          <w:tcPr>
            <w:tcW w:w="3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4.2</w:t>
            </w:r>
          </w:p>
        </w:tc>
      </w:tr>
      <w:tr>
        <w:trPr>
          <w:trHeight w:val="20"/>
        </w:trPr>
        <w:tc>
          <w:tcPr>
            <w:tcW w:w="4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1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8"/>
              </w:rPr>
              <w:t>$ 14.9</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$ 22.8</w:t>
            </w:r>
          </w:p>
        </w:tc>
      </w:tr>
      <w:tr>
        <w:trPr>
          <w:trHeight w:val="28"/>
        </w:trPr>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31" w:right="1440"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8"/>
          </w:tcPr>
          <w:p>
            <w:pPr>
              <w:ind w:left="200"/>
              <w:spacing w:after="0"/>
              <w:rPr>
                <w:sz w:val="20"/>
                <w:szCs w:val="20"/>
                <w:color w:val="auto"/>
              </w:rPr>
            </w:pPr>
            <w:r>
              <w:rPr>
                <w:rFonts w:ascii="Arial" w:cs="Arial" w:eastAsia="Arial" w:hAnsi="Arial"/>
                <w:sz w:val="10"/>
                <w:szCs w:val="10"/>
                <w:b w:val="1"/>
                <w:bCs w:val="1"/>
                <w:color w:val="auto"/>
              </w:rPr>
              <w:t>Three Months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Year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8"/>
          </w:tcPr>
          <w:p>
            <w:pPr>
              <w:jc w:val="center"/>
              <w:ind w:right="240"/>
              <w:spacing w:after="0" w:line="104" w:lineRule="exact"/>
              <w:rPr>
                <w:sz w:val="20"/>
                <w:szCs w:val="20"/>
                <w:color w:val="auto"/>
              </w:rPr>
            </w:pPr>
            <w:r>
              <w:rPr>
                <w:rFonts w:ascii="Arial" w:cs="Arial" w:eastAsia="Arial" w:hAnsi="Arial"/>
                <w:sz w:val="10"/>
                <w:szCs w:val="10"/>
                <w:b w:val="1"/>
                <w:bCs w:val="1"/>
                <w:color w:val="auto"/>
                <w:w w:val="89"/>
              </w:rPr>
              <w:t>Ended December 31,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12"/>
          </w:tcPr>
          <w:p>
            <w:pPr>
              <w:jc w:val="center"/>
              <w:ind w:right="140"/>
              <w:spacing w:after="0" w:line="104" w:lineRule="exact"/>
              <w:rPr>
                <w:sz w:val="20"/>
                <w:szCs w:val="20"/>
                <w:color w:val="auto"/>
              </w:rPr>
            </w:pPr>
            <w:r>
              <w:rPr>
                <w:rFonts w:ascii="Arial" w:cs="Arial" w:eastAsia="Arial" w:hAnsi="Arial"/>
                <w:sz w:val="10"/>
                <w:szCs w:val="10"/>
                <w:b w:val="1"/>
                <w:bCs w:val="1"/>
                <w:color w:val="auto"/>
                <w:w w:val="89"/>
              </w:rPr>
              <w:t>Ended December 31,</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2022</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7"/>
          </w:tcPr>
          <w:p>
            <w:pPr>
              <w:ind w:left="80"/>
              <w:spacing w:after="0" w:line="79" w:lineRule="exact"/>
              <w:rPr>
                <w:sz w:val="20"/>
                <w:szCs w:val="20"/>
                <w:color w:val="auto"/>
              </w:rPr>
            </w:pPr>
            <w:r>
              <w:rPr>
                <w:rFonts w:ascii="Arial" w:cs="Arial" w:eastAsia="Arial" w:hAnsi="Arial"/>
                <w:sz w:val="9"/>
                <w:szCs w:val="9"/>
                <w:b w:val="1"/>
                <w:bCs w:val="1"/>
                <w:color w:val="auto"/>
              </w:rPr>
              <w:t>Platform and</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5"/>
          </w:tcPr>
          <w:p>
            <w:pPr>
              <w:jc w:val="right"/>
              <w:ind w:right="31"/>
              <w:spacing w:after="0" w:line="79" w:lineRule="exact"/>
              <w:rPr>
                <w:sz w:val="20"/>
                <w:szCs w:val="20"/>
                <w:color w:val="auto"/>
              </w:rPr>
            </w:pPr>
            <w:r>
              <w:rPr>
                <w:rFonts w:ascii="Arial" w:cs="Arial" w:eastAsia="Arial" w:hAnsi="Arial"/>
                <w:sz w:val="9"/>
                <w:szCs w:val="9"/>
                <w:b w:val="1"/>
                <w:bCs w:val="1"/>
                <w:color w:val="auto"/>
              </w:rPr>
              <w:t>Platform and</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660" w:type="dxa"/>
            <w:vAlign w:val="bottom"/>
            <w:gridSpan w:val="4"/>
          </w:tcPr>
          <w:p>
            <w:pPr>
              <w:ind w:left="20"/>
              <w:spacing w:after="0"/>
              <w:rPr>
                <w:sz w:val="20"/>
                <w:szCs w:val="20"/>
                <w:color w:val="auto"/>
              </w:rPr>
            </w:pPr>
            <w:r>
              <w:rPr>
                <w:rFonts w:ascii="Arial" w:cs="Arial" w:eastAsia="Arial" w:hAnsi="Arial"/>
                <w:sz w:val="10"/>
                <w:szCs w:val="10"/>
                <w:b w:val="1"/>
                <w:bCs w:val="1"/>
                <w:color w:val="auto"/>
              </w:rPr>
              <w:t>Transaction</w:t>
            </w:r>
          </w:p>
        </w:tc>
        <w:tc>
          <w:tcPr>
            <w:tcW w:w="200" w:type="dxa"/>
            <w:vAlign w:val="bottom"/>
          </w:tcPr>
          <w:p>
            <w:pPr>
              <w:spacing w:after="0"/>
              <w:rPr>
                <w:sz w:val="10"/>
                <w:szCs w:val="10"/>
                <w:color w:val="auto"/>
              </w:rPr>
            </w:pPr>
          </w:p>
        </w:tc>
        <w:tc>
          <w:tcPr>
            <w:tcW w:w="1040" w:type="dxa"/>
            <w:vAlign w:val="bottom"/>
            <w:gridSpan w:val="7"/>
          </w:tcPr>
          <w:p>
            <w:pPr>
              <w:spacing w:after="0"/>
              <w:rPr>
                <w:sz w:val="20"/>
                <w:szCs w:val="20"/>
                <w:color w:val="auto"/>
              </w:rPr>
            </w:pPr>
            <w:r>
              <w:rPr>
                <w:rFonts w:ascii="Arial" w:cs="Arial" w:eastAsia="Arial" w:hAnsi="Arial"/>
                <w:sz w:val="10"/>
                <w:szCs w:val="10"/>
                <w:b w:val="1"/>
                <w:bCs w:val="1"/>
                <w:color w:val="auto"/>
              </w:rPr>
              <w:t>Usage-Based Fee</w:t>
            </w:r>
          </w:p>
        </w:tc>
        <w:tc>
          <w:tcPr>
            <w:tcW w:w="2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rPr>
              <w:t>Revenue</w:t>
            </w:r>
          </w:p>
        </w:tc>
        <w:tc>
          <w:tcPr>
            <w:tcW w:w="840" w:type="dxa"/>
            <w:vAlign w:val="bottom"/>
            <w:gridSpan w:val="8"/>
          </w:tcPr>
          <w:p>
            <w:pPr>
              <w:spacing w:after="0"/>
              <w:rPr>
                <w:sz w:val="20"/>
                <w:szCs w:val="20"/>
                <w:color w:val="auto"/>
              </w:rPr>
            </w:pPr>
            <w:r>
              <w:rPr>
                <w:rFonts w:ascii="Arial" w:cs="Arial" w:eastAsia="Arial" w:hAnsi="Arial"/>
                <w:sz w:val="10"/>
                <w:szCs w:val="10"/>
                <w:b w:val="1"/>
                <w:bCs w:val="1"/>
                <w:color w:val="auto"/>
              </w:rPr>
              <w:t>Transaction</w:t>
            </w:r>
          </w:p>
        </w:tc>
        <w:tc>
          <w:tcPr>
            <w:tcW w:w="1060" w:type="dxa"/>
            <w:vAlign w:val="bottom"/>
            <w:gridSpan w:val="9"/>
          </w:tcPr>
          <w:p>
            <w:pPr>
              <w:spacing w:after="0"/>
              <w:rPr>
                <w:sz w:val="20"/>
                <w:szCs w:val="20"/>
                <w:color w:val="auto"/>
              </w:rPr>
            </w:pPr>
            <w:r>
              <w:rPr>
                <w:rFonts w:ascii="Arial" w:cs="Arial" w:eastAsia="Arial" w:hAnsi="Arial"/>
                <w:sz w:val="10"/>
                <w:szCs w:val="10"/>
                <w:b w:val="1"/>
                <w:bCs w:val="1"/>
                <w:color w:val="auto"/>
              </w:rPr>
              <w:t>Usage-Based Fee</w:t>
            </w:r>
          </w:p>
        </w:tc>
        <w:tc>
          <w:tcPr>
            <w:tcW w:w="5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86"/>
              </w:rPr>
              <w:t>Revenue</w:t>
            </w:r>
          </w:p>
        </w:tc>
        <w:tc>
          <w:tcPr>
            <w:tcW w:w="0" w:type="dxa"/>
            <w:vAlign w:val="bottom"/>
          </w:tcPr>
          <w:p>
            <w:pPr>
              <w:spacing w:after="0"/>
              <w:rPr>
                <w:sz w:val="1"/>
                <w:szCs w:val="1"/>
                <w:color w:val="auto"/>
              </w:rPr>
            </w:pPr>
          </w:p>
        </w:tc>
      </w:tr>
      <w:tr>
        <w:trPr>
          <w:trHeight w:val="141"/>
        </w:trPr>
        <w:tc>
          <w:tcPr>
            <w:tcW w:w="26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20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56.7</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16.4</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73.1</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gridSpan w:val="4"/>
            <w:shd w:val="clear" w:color="auto" w:fill="CCEEFF"/>
          </w:tcPr>
          <w:p>
            <w:pPr>
              <w:jc w:val="right"/>
              <w:spacing w:after="0" w:line="141" w:lineRule="exact"/>
              <w:rPr>
                <w:sz w:val="20"/>
                <w:szCs w:val="20"/>
                <w:color w:val="auto"/>
              </w:rPr>
            </w:pPr>
            <w:r>
              <w:rPr>
                <w:rFonts w:ascii="Arial" w:cs="Arial" w:eastAsia="Arial" w:hAnsi="Arial"/>
                <w:sz w:val="13"/>
                <w:szCs w:val="13"/>
                <w:color w:val="auto"/>
              </w:rPr>
              <w:t>224.2</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right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65.2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$ 289.4</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Adjusted to exclude gross up for: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Pass-through cost for printing and mailing</w:t>
            </w:r>
          </w:p>
        </w:tc>
        <w:tc>
          <w:tcPr>
            <w:tcW w:w="2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7"/>
              </w:rPr>
              <w:t>(5.3)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(20.4)</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(20.4)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Marketing fees</w:t>
            </w:r>
          </w:p>
        </w:tc>
        <w:tc>
          <w:tcPr>
            <w:tcW w:w="200" w:type="dxa"/>
            <w:vAlign w:val="bottom"/>
          </w:tcPr>
          <w:p>
            <w:pPr>
              <w:spacing w:after="0"/>
              <w:rPr>
                <w:sz w:val="13"/>
                <w:szCs w:val="13"/>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(0.4)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(0.4)</w:t>
            </w:r>
          </w:p>
        </w:tc>
        <w:tc>
          <w:tcPr>
            <w:tcW w:w="140" w:type="dxa"/>
            <w:vAlign w:val="bottom"/>
          </w:tcPr>
          <w:p>
            <w:pPr>
              <w:spacing w:after="0"/>
              <w:rPr>
                <w:sz w:val="13"/>
                <w:szCs w:val="13"/>
                <w:color w:val="auto"/>
              </w:rPr>
            </w:pPr>
          </w:p>
        </w:tc>
        <w:tc>
          <w:tcPr>
            <w:tcW w:w="560" w:type="dxa"/>
            <w:vAlign w:val="bottom"/>
            <w:gridSpan w:val="5"/>
          </w:tcPr>
          <w:p>
            <w:pPr>
              <w:jc w:val="right"/>
              <w:ind w:right="89"/>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Revenue Less Ancillary Services</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11.1</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67.4</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222.3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3"/>
                <w:szCs w:val="13"/>
                <w:color w:val="auto"/>
              </w:rPr>
              <w:t>44.8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82"/>
              </w:rPr>
              <w:t>$ 267.1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13"/>
                <w:szCs w:val="13"/>
                <w:color w:val="auto"/>
              </w:rPr>
              <w:t>Percentage of Revenue</w:t>
            </w: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77.6%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22.4%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w w:val="86"/>
              </w:rPr>
              <w:t>100.0%</w:t>
            </w:r>
          </w:p>
        </w:tc>
        <w:tc>
          <w:tcPr>
            <w:tcW w:w="140" w:type="dxa"/>
            <w:vAlign w:val="bottom"/>
          </w:tcPr>
          <w:p>
            <w:pPr>
              <w:spacing w:after="0"/>
              <w:rPr>
                <w:sz w:val="14"/>
                <w:szCs w:val="14"/>
                <w:color w:val="auto"/>
              </w:rPr>
            </w:pPr>
          </w:p>
        </w:tc>
        <w:tc>
          <w:tcPr>
            <w:tcW w:w="560" w:type="dxa"/>
            <w:vAlign w:val="bottom"/>
            <w:gridSpan w:val="5"/>
          </w:tcPr>
          <w:p>
            <w:pPr>
              <w:jc w:val="right"/>
              <w:ind w:right="29"/>
              <w:spacing w:after="0"/>
              <w:rPr>
                <w:sz w:val="20"/>
                <w:szCs w:val="20"/>
                <w:color w:val="auto"/>
              </w:rPr>
            </w:pPr>
            <w:r>
              <w:rPr>
                <w:rFonts w:ascii="Arial" w:cs="Arial" w:eastAsia="Arial" w:hAnsi="Arial"/>
                <w:sz w:val="13"/>
                <w:szCs w:val="13"/>
                <w:color w:val="auto"/>
              </w:rPr>
              <w:t>77.5%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4"/>
          </w:tcPr>
          <w:p>
            <w:pPr>
              <w:jc w:val="right"/>
              <w:ind w:right="129"/>
              <w:spacing w:after="0"/>
              <w:rPr>
                <w:sz w:val="20"/>
                <w:szCs w:val="20"/>
                <w:color w:val="auto"/>
              </w:rPr>
            </w:pPr>
            <w:r>
              <w:rPr>
                <w:rFonts w:ascii="Arial" w:cs="Arial" w:eastAsia="Arial" w:hAnsi="Arial"/>
                <w:sz w:val="13"/>
                <w:szCs w:val="13"/>
                <w:color w:val="auto"/>
                <w:w w:val="97"/>
              </w:rPr>
              <w:t>22.5%</w:t>
            </w:r>
          </w:p>
        </w:tc>
        <w:tc>
          <w:tcPr>
            <w:tcW w:w="40" w:type="dxa"/>
            <w:vAlign w:val="bottom"/>
          </w:tcPr>
          <w:p>
            <w:pPr>
              <w:spacing w:after="0"/>
              <w:rPr>
                <w:sz w:val="14"/>
                <w:szCs w:val="14"/>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w w:val="96"/>
              </w:rPr>
              <w:t>Percentage of Revenue Less Ancillary Services</w:t>
            </w:r>
          </w:p>
        </w:tc>
        <w:tc>
          <w:tcPr>
            <w:tcW w:w="2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83.5%</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6"/>
              </w:rPr>
              <w:t>16.5%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6"/>
              </w:rPr>
              <w:t>100.0%</w:t>
            </w:r>
          </w:p>
        </w:tc>
        <w:tc>
          <w:tcPr>
            <w:tcW w:w="140" w:type="dxa"/>
            <w:vAlign w:val="bottom"/>
            <w:shd w:val="clear" w:color="auto" w:fill="CCEEFF"/>
          </w:tcPr>
          <w:p>
            <w:pPr>
              <w:spacing w:after="0"/>
              <w:rPr>
                <w:sz w:val="13"/>
                <w:szCs w:val="13"/>
                <w:color w:val="auto"/>
              </w:rPr>
            </w:pPr>
          </w:p>
        </w:tc>
        <w:tc>
          <w:tcPr>
            <w:tcW w:w="560" w:type="dxa"/>
            <w:vAlign w:val="bottom"/>
            <w:gridSpan w:val="5"/>
            <w:shd w:val="clear" w:color="auto" w:fill="CCEEFF"/>
          </w:tcPr>
          <w:p>
            <w:pPr>
              <w:jc w:val="right"/>
              <w:ind w:right="29"/>
              <w:spacing w:after="0"/>
              <w:rPr>
                <w:sz w:val="20"/>
                <w:szCs w:val="20"/>
                <w:color w:val="auto"/>
              </w:rPr>
            </w:pPr>
            <w:r>
              <w:rPr>
                <w:rFonts w:ascii="Arial" w:cs="Arial" w:eastAsia="Arial" w:hAnsi="Arial"/>
                <w:sz w:val="13"/>
                <w:szCs w:val="13"/>
                <w:color w:val="auto"/>
              </w:rPr>
              <w:t>83.2%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129"/>
              <w:spacing w:after="0"/>
              <w:rPr>
                <w:sz w:val="20"/>
                <w:szCs w:val="20"/>
                <w:color w:val="auto"/>
              </w:rPr>
            </w:pPr>
            <w:r>
              <w:rPr>
                <w:rFonts w:ascii="Arial" w:cs="Arial" w:eastAsia="Arial" w:hAnsi="Arial"/>
                <w:sz w:val="13"/>
                <w:szCs w:val="13"/>
                <w:color w:val="auto"/>
                <w:w w:val="97"/>
              </w:rPr>
              <w:t>16.8%</w:t>
            </w:r>
          </w:p>
        </w:tc>
        <w:tc>
          <w:tcPr>
            <w:tcW w:w="4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60"/>
        </w:trPr>
        <w:tc>
          <w:tcPr>
            <w:tcW w:w="2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8"/>
          </w:tcPr>
          <w:p>
            <w:pPr>
              <w:ind w:left="200"/>
              <w:spacing w:after="0"/>
              <w:rPr>
                <w:sz w:val="20"/>
                <w:szCs w:val="20"/>
                <w:color w:val="auto"/>
              </w:rPr>
            </w:pPr>
            <w:r>
              <w:rPr>
                <w:rFonts w:ascii="Arial" w:cs="Arial" w:eastAsia="Arial" w:hAnsi="Arial"/>
                <w:sz w:val="10"/>
                <w:szCs w:val="10"/>
                <w:b w:val="1"/>
                <w:bCs w:val="1"/>
                <w:color w:val="auto"/>
              </w:rPr>
              <w:t>Three Months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Year</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8"/>
          </w:tcPr>
          <w:p>
            <w:pPr>
              <w:jc w:val="center"/>
              <w:ind w:right="240"/>
              <w:spacing w:after="0" w:line="104" w:lineRule="exact"/>
              <w:rPr>
                <w:sz w:val="20"/>
                <w:szCs w:val="20"/>
                <w:color w:val="auto"/>
              </w:rPr>
            </w:pPr>
            <w:r>
              <w:rPr>
                <w:rFonts w:ascii="Arial" w:cs="Arial" w:eastAsia="Arial" w:hAnsi="Arial"/>
                <w:sz w:val="10"/>
                <w:szCs w:val="10"/>
                <w:b w:val="1"/>
                <w:bCs w:val="1"/>
                <w:color w:val="auto"/>
                <w:w w:val="89"/>
              </w:rPr>
              <w:t>Ended December 31,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12"/>
          </w:tcPr>
          <w:p>
            <w:pPr>
              <w:jc w:val="center"/>
              <w:ind w:right="140"/>
              <w:spacing w:after="0" w:line="104" w:lineRule="exact"/>
              <w:rPr>
                <w:sz w:val="20"/>
                <w:szCs w:val="20"/>
                <w:color w:val="auto"/>
              </w:rPr>
            </w:pPr>
            <w:r>
              <w:rPr>
                <w:rFonts w:ascii="Arial" w:cs="Arial" w:eastAsia="Arial" w:hAnsi="Arial"/>
                <w:sz w:val="10"/>
                <w:szCs w:val="10"/>
                <w:b w:val="1"/>
                <w:bCs w:val="1"/>
                <w:color w:val="auto"/>
                <w:w w:val="89"/>
              </w:rPr>
              <w:t>Ended December 31,</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7"/>
          </w:tcPr>
          <w:p>
            <w:pPr>
              <w:ind w:left="80"/>
              <w:spacing w:after="0" w:line="79" w:lineRule="exact"/>
              <w:rPr>
                <w:sz w:val="20"/>
                <w:szCs w:val="20"/>
                <w:color w:val="auto"/>
              </w:rPr>
            </w:pPr>
            <w:r>
              <w:rPr>
                <w:rFonts w:ascii="Arial" w:cs="Arial" w:eastAsia="Arial" w:hAnsi="Arial"/>
                <w:sz w:val="9"/>
                <w:szCs w:val="9"/>
                <w:b w:val="1"/>
                <w:bCs w:val="1"/>
                <w:color w:val="auto"/>
              </w:rPr>
              <w:t>Platform and</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5"/>
          </w:tcPr>
          <w:p>
            <w:pPr>
              <w:jc w:val="right"/>
              <w:ind w:right="31"/>
              <w:spacing w:after="0" w:line="79" w:lineRule="exact"/>
              <w:rPr>
                <w:sz w:val="20"/>
                <w:szCs w:val="20"/>
                <w:color w:val="auto"/>
              </w:rPr>
            </w:pPr>
            <w:r>
              <w:rPr>
                <w:rFonts w:ascii="Arial" w:cs="Arial" w:eastAsia="Arial" w:hAnsi="Arial"/>
                <w:sz w:val="9"/>
                <w:szCs w:val="9"/>
                <w:b w:val="1"/>
                <w:bCs w:val="1"/>
                <w:color w:val="auto"/>
              </w:rPr>
              <w:t>Platform and</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660" w:type="dxa"/>
            <w:vAlign w:val="bottom"/>
            <w:gridSpan w:val="4"/>
          </w:tcPr>
          <w:p>
            <w:pPr>
              <w:ind w:left="20"/>
              <w:spacing w:after="0"/>
              <w:rPr>
                <w:sz w:val="20"/>
                <w:szCs w:val="20"/>
                <w:color w:val="auto"/>
              </w:rPr>
            </w:pPr>
            <w:r>
              <w:rPr>
                <w:rFonts w:ascii="Arial" w:cs="Arial" w:eastAsia="Arial" w:hAnsi="Arial"/>
                <w:sz w:val="10"/>
                <w:szCs w:val="10"/>
                <w:b w:val="1"/>
                <w:bCs w:val="1"/>
                <w:color w:val="auto"/>
              </w:rPr>
              <w:t>Transaction</w:t>
            </w:r>
          </w:p>
        </w:tc>
        <w:tc>
          <w:tcPr>
            <w:tcW w:w="200" w:type="dxa"/>
            <w:vAlign w:val="bottom"/>
          </w:tcPr>
          <w:p>
            <w:pPr>
              <w:spacing w:after="0"/>
              <w:rPr>
                <w:sz w:val="10"/>
                <w:szCs w:val="10"/>
                <w:color w:val="auto"/>
              </w:rPr>
            </w:pPr>
          </w:p>
        </w:tc>
        <w:tc>
          <w:tcPr>
            <w:tcW w:w="1040" w:type="dxa"/>
            <w:vAlign w:val="bottom"/>
            <w:gridSpan w:val="7"/>
          </w:tcPr>
          <w:p>
            <w:pPr>
              <w:spacing w:after="0"/>
              <w:rPr>
                <w:sz w:val="20"/>
                <w:szCs w:val="20"/>
                <w:color w:val="auto"/>
              </w:rPr>
            </w:pPr>
            <w:r>
              <w:rPr>
                <w:rFonts w:ascii="Arial" w:cs="Arial" w:eastAsia="Arial" w:hAnsi="Arial"/>
                <w:sz w:val="10"/>
                <w:szCs w:val="10"/>
                <w:b w:val="1"/>
                <w:bCs w:val="1"/>
                <w:color w:val="auto"/>
              </w:rPr>
              <w:t>Usage-Based Fee</w:t>
            </w:r>
          </w:p>
        </w:tc>
        <w:tc>
          <w:tcPr>
            <w:tcW w:w="2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10"/>
                <w:szCs w:val="10"/>
                <w:b w:val="1"/>
                <w:bCs w:val="1"/>
                <w:color w:val="auto"/>
              </w:rPr>
              <w:t>Revenue</w:t>
            </w:r>
          </w:p>
        </w:tc>
        <w:tc>
          <w:tcPr>
            <w:tcW w:w="840" w:type="dxa"/>
            <w:vAlign w:val="bottom"/>
            <w:gridSpan w:val="8"/>
          </w:tcPr>
          <w:p>
            <w:pPr>
              <w:spacing w:after="0"/>
              <w:rPr>
                <w:sz w:val="20"/>
                <w:szCs w:val="20"/>
                <w:color w:val="auto"/>
              </w:rPr>
            </w:pPr>
            <w:r>
              <w:rPr>
                <w:rFonts w:ascii="Arial" w:cs="Arial" w:eastAsia="Arial" w:hAnsi="Arial"/>
                <w:sz w:val="10"/>
                <w:szCs w:val="10"/>
                <w:b w:val="1"/>
                <w:bCs w:val="1"/>
                <w:color w:val="auto"/>
              </w:rPr>
              <w:t>Transaction</w:t>
            </w:r>
          </w:p>
        </w:tc>
        <w:tc>
          <w:tcPr>
            <w:tcW w:w="1060" w:type="dxa"/>
            <w:vAlign w:val="bottom"/>
            <w:gridSpan w:val="9"/>
          </w:tcPr>
          <w:p>
            <w:pPr>
              <w:spacing w:after="0"/>
              <w:rPr>
                <w:sz w:val="20"/>
                <w:szCs w:val="20"/>
                <w:color w:val="auto"/>
              </w:rPr>
            </w:pPr>
            <w:r>
              <w:rPr>
                <w:rFonts w:ascii="Arial" w:cs="Arial" w:eastAsia="Arial" w:hAnsi="Arial"/>
                <w:sz w:val="10"/>
                <w:szCs w:val="10"/>
                <w:b w:val="1"/>
                <w:bCs w:val="1"/>
                <w:color w:val="auto"/>
              </w:rPr>
              <w:t>Usage-Based Fee</w:t>
            </w:r>
          </w:p>
        </w:tc>
        <w:tc>
          <w:tcPr>
            <w:tcW w:w="5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86"/>
              </w:rPr>
              <w:t>Revenue</w:t>
            </w:r>
          </w:p>
        </w:tc>
        <w:tc>
          <w:tcPr>
            <w:tcW w:w="0" w:type="dxa"/>
            <w:vAlign w:val="bottom"/>
          </w:tcPr>
          <w:p>
            <w:pPr>
              <w:spacing w:after="0"/>
              <w:rPr>
                <w:sz w:val="1"/>
                <w:szCs w:val="1"/>
                <w:color w:val="auto"/>
              </w:rPr>
            </w:pPr>
          </w:p>
        </w:tc>
      </w:tr>
      <w:tr>
        <w:trPr>
          <w:trHeight w:val="141"/>
        </w:trPr>
        <w:tc>
          <w:tcPr>
            <w:tcW w:w="26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20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38.3</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13.0</w:t>
            </w: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51.3</w:t>
            </w: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gridSpan w:val="4"/>
            <w:shd w:val="clear" w:color="auto" w:fill="CCEEFF"/>
          </w:tcPr>
          <w:p>
            <w:pPr>
              <w:jc w:val="right"/>
              <w:spacing w:after="0" w:line="141" w:lineRule="exact"/>
              <w:rPr>
                <w:sz w:val="20"/>
                <w:szCs w:val="20"/>
                <w:color w:val="auto"/>
              </w:rPr>
            </w:pPr>
            <w:r>
              <w:rPr>
                <w:rFonts w:ascii="Arial" w:cs="Arial" w:eastAsia="Arial" w:hAnsi="Arial"/>
                <w:sz w:val="13"/>
                <w:szCs w:val="13"/>
                <w:color w:val="auto"/>
              </w:rPr>
              <w:t>148.0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right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53.1</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$ 201.1</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Adjusted to exclude gross up for: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Pass-through cost for printing and mailing</w:t>
            </w:r>
          </w:p>
        </w:tc>
        <w:tc>
          <w:tcPr>
            <w:tcW w:w="2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7"/>
              </w:rPr>
              <w:t>(4.8)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8"/>
              </w:rPr>
              <w:t>(18.2)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Marketing fees</w:t>
            </w:r>
          </w:p>
        </w:tc>
        <w:tc>
          <w:tcPr>
            <w:tcW w:w="200" w:type="dxa"/>
            <w:vAlign w:val="bottom"/>
          </w:tcPr>
          <w:p>
            <w:pPr>
              <w:spacing w:after="0"/>
              <w:rPr>
                <w:sz w:val="13"/>
                <w:szCs w:val="13"/>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(0.6)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(0.6)</w:t>
            </w:r>
          </w:p>
        </w:tc>
        <w:tc>
          <w:tcPr>
            <w:tcW w:w="140" w:type="dxa"/>
            <w:vAlign w:val="bottom"/>
          </w:tcPr>
          <w:p>
            <w:pPr>
              <w:spacing w:after="0"/>
              <w:rPr>
                <w:sz w:val="13"/>
                <w:szCs w:val="13"/>
                <w:color w:val="auto"/>
              </w:rPr>
            </w:pPr>
          </w:p>
        </w:tc>
        <w:tc>
          <w:tcPr>
            <w:tcW w:w="560" w:type="dxa"/>
            <w:vAlign w:val="bottom"/>
            <w:gridSpan w:val="5"/>
          </w:tcPr>
          <w:p>
            <w:pPr>
              <w:jc w:val="right"/>
              <w:ind w:right="89"/>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Revenue Less Ancillary Services</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45.9</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146.2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3"/>
                <w:szCs w:val="13"/>
                <w:color w:val="auto"/>
              </w:rPr>
              <w:t>34.9</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82"/>
              </w:rPr>
              <w:t>$ 181.1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13"/>
                <w:szCs w:val="13"/>
                <w:color w:val="auto"/>
              </w:rPr>
              <w:t>Percentage of Revenue</w:t>
            </w: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73.6%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26.4%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w w:val="86"/>
              </w:rPr>
              <w:t>100.0%</w:t>
            </w:r>
          </w:p>
        </w:tc>
        <w:tc>
          <w:tcPr>
            <w:tcW w:w="140" w:type="dxa"/>
            <w:vAlign w:val="bottom"/>
          </w:tcPr>
          <w:p>
            <w:pPr>
              <w:spacing w:after="0"/>
              <w:rPr>
                <w:sz w:val="14"/>
                <w:szCs w:val="14"/>
                <w:color w:val="auto"/>
              </w:rPr>
            </w:pPr>
          </w:p>
        </w:tc>
        <w:tc>
          <w:tcPr>
            <w:tcW w:w="560" w:type="dxa"/>
            <w:vAlign w:val="bottom"/>
            <w:gridSpan w:val="5"/>
          </w:tcPr>
          <w:p>
            <w:pPr>
              <w:jc w:val="right"/>
              <w:ind w:right="29"/>
              <w:spacing w:after="0"/>
              <w:rPr>
                <w:sz w:val="20"/>
                <w:szCs w:val="20"/>
                <w:color w:val="auto"/>
              </w:rPr>
            </w:pPr>
            <w:r>
              <w:rPr>
                <w:rFonts w:ascii="Arial" w:cs="Arial" w:eastAsia="Arial" w:hAnsi="Arial"/>
                <w:sz w:val="13"/>
                <w:szCs w:val="13"/>
                <w:color w:val="auto"/>
              </w:rPr>
              <w:t>73.6%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4"/>
          </w:tcPr>
          <w:p>
            <w:pPr>
              <w:jc w:val="right"/>
              <w:ind w:right="129"/>
              <w:spacing w:after="0"/>
              <w:rPr>
                <w:sz w:val="20"/>
                <w:szCs w:val="20"/>
                <w:color w:val="auto"/>
              </w:rPr>
            </w:pPr>
            <w:r>
              <w:rPr>
                <w:rFonts w:ascii="Arial" w:cs="Arial" w:eastAsia="Arial" w:hAnsi="Arial"/>
                <w:sz w:val="13"/>
                <w:szCs w:val="13"/>
                <w:color w:val="auto"/>
                <w:w w:val="97"/>
              </w:rPr>
              <w:t>26.4%</w:t>
            </w:r>
          </w:p>
        </w:tc>
        <w:tc>
          <w:tcPr>
            <w:tcW w:w="40" w:type="dxa"/>
            <w:vAlign w:val="bottom"/>
          </w:tcPr>
          <w:p>
            <w:pPr>
              <w:spacing w:after="0"/>
              <w:rPr>
                <w:sz w:val="14"/>
                <w:szCs w:val="14"/>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w w:val="96"/>
              </w:rPr>
              <w:t>Percentage of Revenue Less Ancillary Services</w:t>
            </w:r>
          </w:p>
        </w:tc>
        <w:tc>
          <w:tcPr>
            <w:tcW w:w="20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82.1%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6"/>
              </w:rPr>
              <w:t>17.9%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6"/>
              </w:rPr>
              <w:t>100.0%</w:t>
            </w:r>
          </w:p>
        </w:tc>
        <w:tc>
          <w:tcPr>
            <w:tcW w:w="140" w:type="dxa"/>
            <w:vAlign w:val="bottom"/>
            <w:shd w:val="clear" w:color="auto" w:fill="CCEEFF"/>
          </w:tcPr>
          <w:p>
            <w:pPr>
              <w:spacing w:after="0"/>
              <w:rPr>
                <w:sz w:val="13"/>
                <w:szCs w:val="13"/>
                <w:color w:val="auto"/>
              </w:rPr>
            </w:pPr>
          </w:p>
        </w:tc>
        <w:tc>
          <w:tcPr>
            <w:tcW w:w="560" w:type="dxa"/>
            <w:vAlign w:val="bottom"/>
            <w:gridSpan w:val="5"/>
            <w:shd w:val="clear" w:color="auto" w:fill="CCEEFF"/>
          </w:tcPr>
          <w:p>
            <w:pPr>
              <w:jc w:val="right"/>
              <w:ind w:right="29"/>
              <w:spacing w:after="0"/>
              <w:rPr>
                <w:sz w:val="20"/>
                <w:szCs w:val="20"/>
                <w:color w:val="auto"/>
              </w:rPr>
            </w:pPr>
            <w:r>
              <w:rPr>
                <w:rFonts w:ascii="Arial" w:cs="Arial" w:eastAsia="Arial" w:hAnsi="Arial"/>
                <w:sz w:val="13"/>
                <w:szCs w:val="13"/>
                <w:color w:val="auto"/>
              </w:rPr>
              <w:t>80.7%</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129"/>
              <w:spacing w:after="0"/>
              <w:rPr>
                <w:sz w:val="20"/>
                <w:szCs w:val="20"/>
                <w:color w:val="auto"/>
              </w:rPr>
            </w:pPr>
            <w:r>
              <w:rPr>
                <w:rFonts w:ascii="Arial" w:cs="Arial" w:eastAsia="Arial" w:hAnsi="Arial"/>
                <w:sz w:val="13"/>
                <w:szCs w:val="13"/>
                <w:color w:val="auto"/>
                <w:w w:val="97"/>
              </w:rPr>
              <w:t>19.3%</w:t>
            </w:r>
          </w:p>
        </w:tc>
        <w:tc>
          <w:tcPr>
            <w:tcW w:w="4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75"/>
        </w:trPr>
        <w:tc>
          <w:tcPr>
            <w:tcW w:w="2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8"/>
          </w:tcPr>
          <w:p>
            <w:pPr>
              <w:jc w:val="center"/>
              <w:ind w:right="240"/>
              <w:spacing w:after="0"/>
              <w:rPr>
                <w:sz w:val="20"/>
                <w:szCs w:val="20"/>
                <w:color w:val="auto"/>
              </w:rPr>
            </w:pPr>
            <w:r>
              <w:rPr>
                <w:rFonts w:ascii="Arial" w:cs="Arial" w:eastAsia="Arial" w:hAnsi="Arial"/>
                <w:sz w:val="10"/>
                <w:szCs w:val="10"/>
                <w:b w:val="1"/>
                <w:bCs w:val="1"/>
                <w:color w:val="auto"/>
                <w:w w:val="92"/>
              </w:rPr>
              <w:t>Three Months Ended</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Growth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7"/>
          </w:tcPr>
          <w:p>
            <w:pPr>
              <w:jc w:val="right"/>
              <w:ind w:right="44"/>
              <w:spacing w:after="0"/>
              <w:rPr>
                <w:sz w:val="20"/>
                <w:szCs w:val="20"/>
                <w:color w:val="auto"/>
              </w:rPr>
            </w:pPr>
            <w:r>
              <w:rPr>
                <w:rFonts w:ascii="Arial" w:cs="Arial" w:eastAsia="Arial" w:hAnsi="Arial"/>
                <w:sz w:val="10"/>
                <w:szCs w:val="10"/>
                <w:b w:val="1"/>
                <w:bCs w:val="1"/>
                <w:color w:val="auto"/>
              </w:rPr>
              <w:t>Year Ended</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4"/>
            <w:vMerge w:val="restart"/>
          </w:tcPr>
          <w:p>
            <w:pPr>
              <w:jc w:val="right"/>
              <w:ind w:right="160"/>
              <w:spacing w:after="0"/>
              <w:rPr>
                <w:sz w:val="20"/>
                <w:szCs w:val="20"/>
                <w:color w:val="auto"/>
              </w:rPr>
            </w:pPr>
            <w:r>
              <w:rPr>
                <w:rFonts w:ascii="Arial" w:cs="Arial" w:eastAsia="Arial" w:hAnsi="Arial"/>
                <w:sz w:val="10"/>
                <w:szCs w:val="10"/>
                <w:b w:val="1"/>
                <w:bCs w:val="1"/>
                <w:color w:val="auto"/>
              </w:rPr>
              <w:t>Growth</w:t>
            </w:r>
          </w:p>
        </w:tc>
        <w:tc>
          <w:tcPr>
            <w:tcW w:w="0" w:type="dxa"/>
            <w:vAlign w:val="bottom"/>
          </w:tcPr>
          <w:p>
            <w:pPr>
              <w:spacing w:after="0"/>
              <w:rPr>
                <w:sz w:val="1"/>
                <w:szCs w:val="1"/>
                <w:color w:val="auto"/>
              </w:rPr>
            </w:pPr>
          </w:p>
        </w:tc>
      </w:tr>
      <w:tr>
        <w:trPr>
          <w:trHeight w:val="79"/>
        </w:trPr>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Borders>
              <w:top w:val="single" w:sz="8" w:color="auto"/>
            </w:tcBorders>
            <w:gridSpan w:val="5"/>
          </w:tcPr>
          <w:p>
            <w:pPr>
              <w:spacing w:after="0" w:line="79" w:lineRule="exact"/>
              <w:rPr>
                <w:sz w:val="20"/>
                <w:szCs w:val="20"/>
                <w:color w:val="auto"/>
              </w:rPr>
            </w:pPr>
            <w:r>
              <w:rPr>
                <w:rFonts w:ascii="Arial" w:cs="Arial" w:eastAsia="Arial" w:hAnsi="Arial"/>
                <w:sz w:val="9"/>
                <w:szCs w:val="9"/>
                <w:b w:val="1"/>
                <w:bCs w:val="1"/>
                <w:color w:val="auto"/>
              </w:rPr>
              <w:t>December 31,</w:t>
            </w:r>
          </w:p>
        </w:tc>
        <w:tc>
          <w:tcPr>
            <w:tcW w:w="2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gridSpan w:val="3"/>
          </w:tcPr>
          <w:p>
            <w:pPr>
              <w:spacing w:after="0" w:line="79" w:lineRule="exact"/>
              <w:rPr>
                <w:sz w:val="20"/>
                <w:szCs w:val="20"/>
                <w:color w:val="auto"/>
              </w:rPr>
            </w:pPr>
            <w:r>
              <w:rPr>
                <w:rFonts w:ascii="Arial" w:cs="Arial" w:eastAsia="Arial" w:hAnsi="Arial"/>
                <w:sz w:val="9"/>
                <w:szCs w:val="9"/>
                <w:b w:val="1"/>
                <w:bCs w:val="1"/>
                <w:color w:val="auto"/>
                <w:w w:val="99"/>
              </w:rPr>
              <w:t>December 31,</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top w:val="single" w:sz="8" w:color="auto"/>
            </w:tcBorders>
            <w:gridSpan w:val="6"/>
          </w:tcPr>
          <w:p>
            <w:pPr>
              <w:spacing w:after="0" w:line="79" w:lineRule="exact"/>
              <w:rPr>
                <w:sz w:val="20"/>
                <w:szCs w:val="20"/>
                <w:color w:val="auto"/>
              </w:rPr>
            </w:pPr>
            <w:r>
              <w:rPr>
                <w:rFonts w:ascii="Arial" w:cs="Arial" w:eastAsia="Arial" w:hAnsi="Arial"/>
                <w:sz w:val="9"/>
                <w:szCs w:val="9"/>
                <w:b w:val="1"/>
                <w:bCs w:val="1"/>
                <w:color w:val="auto"/>
              </w:rPr>
              <w:t>December 31,</w:t>
            </w:r>
          </w:p>
        </w:tc>
        <w:tc>
          <w:tcPr>
            <w:tcW w:w="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gridSpan w:val="4"/>
          </w:tcPr>
          <w:p>
            <w:pPr>
              <w:spacing w:after="0" w:line="79" w:lineRule="exact"/>
              <w:rPr>
                <w:sz w:val="20"/>
                <w:szCs w:val="20"/>
                <w:color w:val="auto"/>
              </w:rPr>
            </w:pPr>
            <w:r>
              <w:rPr>
                <w:rFonts w:ascii="Arial" w:cs="Arial" w:eastAsia="Arial" w:hAnsi="Arial"/>
                <w:sz w:val="9"/>
                <w:szCs w:val="9"/>
                <w:b w:val="1"/>
                <w:bCs w:val="1"/>
                <w:color w:val="auto"/>
                <w:w w:val="99"/>
              </w:rPr>
              <w:t>December 31,</w:t>
            </w: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4"/>
          </w:tcPr>
          <w:p>
            <w:pPr>
              <w:jc w:val="right"/>
              <w:spacing w:after="0"/>
              <w:rPr>
                <w:sz w:val="20"/>
                <w:szCs w:val="20"/>
                <w:color w:val="auto"/>
              </w:rPr>
            </w:pPr>
            <w:r>
              <w:rPr>
                <w:rFonts w:ascii="Arial" w:cs="Arial" w:eastAsia="Arial" w:hAnsi="Arial"/>
                <w:sz w:val="10"/>
                <w:szCs w:val="10"/>
                <w:b w:val="1"/>
                <w:bCs w:val="1"/>
                <w:color w:val="auto"/>
              </w:rPr>
              <w:t>2022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Rates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tcPr>
          <w:p>
            <w:pPr>
              <w:jc w:val="right"/>
              <w:ind w:right="29"/>
              <w:spacing w:after="0"/>
              <w:rPr>
                <w:sz w:val="20"/>
                <w:szCs w:val="20"/>
                <w:color w:val="auto"/>
              </w:rPr>
            </w:pPr>
            <w:r>
              <w:rPr>
                <w:rFonts w:ascii="Arial" w:cs="Arial" w:eastAsia="Arial" w:hAnsi="Arial"/>
                <w:sz w:val="10"/>
                <w:szCs w:val="10"/>
                <w:b w:val="1"/>
                <w:bCs w:val="1"/>
                <w:color w:val="auto"/>
                <w:w w:val="98"/>
              </w:rPr>
              <w:t>2022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4"/>
          </w:tcPr>
          <w:p>
            <w:pPr>
              <w:ind w:left="100"/>
              <w:spacing w:after="0"/>
              <w:rPr>
                <w:sz w:val="20"/>
                <w:szCs w:val="20"/>
                <w:color w:val="auto"/>
              </w:rPr>
            </w:pPr>
            <w:r>
              <w:rPr>
                <w:rFonts w:ascii="Arial" w:cs="Arial" w:eastAsia="Arial" w:hAnsi="Arial"/>
                <w:sz w:val="10"/>
                <w:szCs w:val="10"/>
                <w:b w:val="1"/>
                <w:bCs w:val="1"/>
                <w:color w:val="auto"/>
              </w:rPr>
              <w:t>Rates</w:t>
            </w:r>
          </w:p>
        </w:tc>
        <w:tc>
          <w:tcPr>
            <w:tcW w:w="0" w:type="dxa"/>
            <w:vAlign w:val="bottom"/>
          </w:tcPr>
          <w:p>
            <w:pPr>
              <w:spacing w:after="0"/>
              <w:rPr>
                <w:sz w:val="1"/>
                <w:szCs w:val="1"/>
                <w:color w:val="auto"/>
              </w:rPr>
            </w:pPr>
          </w:p>
        </w:tc>
      </w:tr>
      <w:tr>
        <w:trPr>
          <w:trHeight w:val="141"/>
        </w:trPr>
        <w:tc>
          <w:tcPr>
            <w:tcW w:w="26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GAAP revenue</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73.10</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51.40</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289.40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w w:val="90"/>
              </w:rPr>
              <w:t>201.10</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gridSpan w:val="4"/>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Ancillary services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5.70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5.50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22.30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20.00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Revenue less ancillary services</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67.40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w w:val="82"/>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45.90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267.10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4"/>
            <w:shd w:val="clear" w:color="auto" w:fill="CCEEFF"/>
          </w:tcPr>
          <w:p>
            <w:pPr>
              <w:jc w:val="right"/>
              <w:ind w:right="129"/>
              <w:spacing w:after="0"/>
              <w:rPr>
                <w:sz w:val="20"/>
                <w:szCs w:val="20"/>
                <w:color w:val="auto"/>
              </w:rPr>
            </w:pPr>
            <w:r>
              <w:rPr>
                <w:rFonts w:ascii="Arial" w:cs="Arial" w:eastAsia="Arial" w:hAnsi="Arial"/>
                <w:sz w:val="13"/>
                <w:szCs w:val="13"/>
                <w:color w:val="auto"/>
                <w:w w:val="90"/>
              </w:rPr>
              <w:t>181.10</w:t>
            </w:r>
          </w:p>
        </w:tc>
        <w:tc>
          <w:tcPr>
            <w:tcW w:w="4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Effects of foreign currency rate fluctuations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4.60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14.20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w w:val="87"/>
              </w:rPr>
              <w:t>Revenue less ancillary services at constant currency</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72.00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w w:val="82"/>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45.90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w:t>
            </w:r>
          </w:p>
        </w:tc>
        <w:tc>
          <w:tcPr>
            <w:tcW w:w="1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281.30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4"/>
            <w:shd w:val="clear" w:color="auto" w:fill="CCEEFF"/>
          </w:tcPr>
          <w:p>
            <w:pPr>
              <w:jc w:val="right"/>
              <w:ind w:right="129"/>
              <w:spacing w:after="0"/>
              <w:rPr>
                <w:sz w:val="20"/>
                <w:szCs w:val="20"/>
                <w:color w:val="auto"/>
              </w:rPr>
            </w:pPr>
            <w:r>
              <w:rPr>
                <w:rFonts w:ascii="Arial" w:cs="Arial" w:eastAsia="Arial" w:hAnsi="Arial"/>
                <w:sz w:val="13"/>
                <w:szCs w:val="13"/>
                <w:color w:val="auto"/>
                <w:w w:val="90"/>
              </w:rPr>
              <w:t>181.10</w:t>
            </w:r>
          </w:p>
        </w:tc>
        <w:tc>
          <w:tcPr>
            <w:tcW w:w="4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72"/>
        </w:trPr>
        <w:tc>
          <w:tcPr>
            <w:tcW w:w="2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Guidance</w:t>
            </w:r>
          </w:p>
        </w:tc>
        <w:tc>
          <w:tcPr>
            <w:tcW w:w="10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7"/>
          </w:tcPr>
          <w:p>
            <w:pPr>
              <w:ind w:left="80"/>
              <w:spacing w:after="0"/>
              <w:rPr>
                <w:sz w:val="20"/>
                <w:szCs w:val="20"/>
                <w:color w:val="auto"/>
              </w:rPr>
            </w:pPr>
            <w:r>
              <w:rPr>
                <w:rFonts w:ascii="Arial" w:cs="Arial" w:eastAsia="Arial" w:hAnsi="Arial"/>
                <w:sz w:val="10"/>
                <w:szCs w:val="10"/>
                <w:color w:val="auto"/>
              </w:rPr>
              <w:t>($ in millions)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9"/>
          </w:tcPr>
          <w:p>
            <w:pPr>
              <w:ind w:left="40"/>
              <w:spacing w:after="0"/>
              <w:rPr>
                <w:sz w:val="20"/>
                <w:szCs w:val="20"/>
                <w:color w:val="auto"/>
              </w:rPr>
            </w:pPr>
            <w:r>
              <w:rPr>
                <w:rFonts w:ascii="Arial" w:cs="Arial" w:eastAsia="Arial" w:hAnsi="Arial"/>
                <w:sz w:val="10"/>
                <w:szCs w:val="10"/>
                <w:b w:val="1"/>
                <w:bCs w:val="1"/>
                <w:color w:val="auto"/>
                <w:w w:val="94"/>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6"/>
          </w:tcPr>
          <w:p>
            <w:pPr>
              <w:jc w:val="center"/>
              <w:ind w:right="24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8"/>
          </w:tcPr>
          <w:p>
            <w:pPr>
              <w:jc w:val="right"/>
              <w:ind w:right="104"/>
              <w:spacing w:after="0"/>
              <w:rPr>
                <w:sz w:val="20"/>
                <w:szCs w:val="20"/>
                <w:color w:val="auto"/>
              </w:rPr>
            </w:pPr>
            <w:r>
              <w:rPr>
                <w:rFonts w:ascii="Arial" w:cs="Arial" w:eastAsia="Arial" w:hAnsi="Arial"/>
                <w:sz w:val="10"/>
                <w:szCs w:val="10"/>
                <w:b w:val="1"/>
                <w:bCs w:val="1"/>
                <w:color w:val="auto"/>
              </w:rPr>
              <w:t>March 31, 2023</w:t>
            </w:r>
          </w:p>
        </w:tc>
        <w:tc>
          <w:tcPr>
            <w:tcW w:w="180" w:type="dxa"/>
            <w:vAlign w:val="bottom"/>
          </w:tcPr>
          <w:p>
            <w:pPr>
              <w:spacing w:after="0"/>
              <w:rPr>
                <w:sz w:val="10"/>
                <w:szCs w:val="10"/>
                <w:color w:val="auto"/>
              </w:rPr>
            </w:pPr>
          </w:p>
        </w:tc>
        <w:tc>
          <w:tcPr>
            <w:tcW w:w="960" w:type="dxa"/>
            <w:vAlign w:val="bottom"/>
            <w:gridSpan w:val="8"/>
          </w:tcPr>
          <w:p>
            <w:pPr>
              <w:jc w:val="center"/>
              <w:ind w:right="40"/>
              <w:spacing w:after="0"/>
              <w:rPr>
                <w:sz w:val="20"/>
                <w:szCs w:val="20"/>
                <w:color w:val="auto"/>
              </w:rPr>
            </w:pPr>
            <w:r>
              <w:rPr>
                <w:rFonts w:ascii="Arial" w:cs="Arial" w:eastAsia="Arial" w:hAnsi="Arial"/>
                <w:sz w:val="10"/>
                <w:szCs w:val="10"/>
                <w:b w:val="1"/>
                <w:bCs w:val="1"/>
                <w:color w:val="auto"/>
                <w:w w:val="88"/>
              </w:rPr>
              <w:t>December 31, 2023</w:t>
            </w: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gridSpan w:val="4"/>
          </w:tcPr>
          <w:p>
            <w:pPr>
              <w:ind w:left="20"/>
              <w:spacing w:after="0" w:line="94" w:lineRule="exact"/>
              <w:rPr>
                <w:sz w:val="20"/>
                <w:szCs w:val="20"/>
                <w:color w:val="auto"/>
              </w:rPr>
            </w:pPr>
            <w:r>
              <w:rPr>
                <w:rFonts w:ascii="Arial" w:cs="Arial" w:eastAsia="Arial" w:hAnsi="Arial"/>
                <w:sz w:val="10"/>
                <w:szCs w:val="10"/>
                <w:b w:val="1"/>
                <w:bCs w:val="1"/>
                <w:color w:val="auto"/>
              </w:rPr>
              <w:t>Low</w:t>
            </w: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jc w:val="right"/>
              <w:ind w:right="44"/>
              <w:spacing w:after="0" w:line="94" w:lineRule="exact"/>
              <w:rPr>
                <w:sz w:val="20"/>
                <w:szCs w:val="20"/>
                <w:color w:val="auto"/>
              </w:rPr>
            </w:pPr>
            <w:r>
              <w:rPr>
                <w:rFonts w:ascii="Arial" w:cs="Arial" w:eastAsia="Arial" w:hAnsi="Arial"/>
                <w:sz w:val="10"/>
                <w:szCs w:val="10"/>
                <w:b w:val="1"/>
                <w:bCs w:val="1"/>
                <w:color w:val="auto"/>
                <w:w w:val="89"/>
              </w:rPr>
              <w:t>High</w:t>
            </w: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3"/>
          </w:tcPr>
          <w:p>
            <w:pPr>
              <w:spacing w:after="0" w:line="94" w:lineRule="exact"/>
              <w:rPr>
                <w:sz w:val="20"/>
                <w:szCs w:val="20"/>
                <w:color w:val="auto"/>
              </w:rPr>
            </w:pPr>
            <w:r>
              <w:rPr>
                <w:rFonts w:ascii="Arial" w:cs="Arial" w:eastAsia="Arial" w:hAnsi="Arial"/>
                <w:sz w:val="10"/>
                <w:szCs w:val="10"/>
                <w:b w:val="1"/>
                <w:bCs w:val="1"/>
                <w:color w:val="auto"/>
              </w:rPr>
              <w:t>Low</w:t>
            </w:r>
          </w:p>
        </w:tc>
        <w:tc>
          <w:tcPr>
            <w:tcW w:w="1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gridSpan w:val="2"/>
          </w:tcPr>
          <w:p>
            <w:pPr>
              <w:jc w:val="right"/>
              <w:ind w:right="80"/>
              <w:spacing w:after="0" w:line="94" w:lineRule="exact"/>
              <w:rPr>
                <w:sz w:val="20"/>
                <w:szCs w:val="20"/>
                <w:color w:val="auto"/>
              </w:rPr>
            </w:pPr>
            <w:r>
              <w:rPr>
                <w:rFonts w:ascii="Arial" w:cs="Arial" w:eastAsia="Arial" w:hAnsi="Arial"/>
                <w:sz w:val="10"/>
                <w:szCs w:val="10"/>
                <w:b w:val="1"/>
                <w:bCs w:val="1"/>
                <w:color w:val="auto"/>
              </w:rPr>
              <w:t>High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6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85.0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91.0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79"/>
              </w:rPr>
              <w:t>373.0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$392.0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Adjusted to exclude gross up for: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Pass through cost for printing and mailing</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78"/>
              </w:rPr>
              <w:t>- 18.4</w:t>
            </w:r>
          </w:p>
        </w:tc>
        <w:tc>
          <w:tcPr>
            <w:tcW w:w="40" w:type="dxa"/>
            <w:vAlign w:val="bottom"/>
            <w:shd w:val="clear" w:color="auto" w:fill="CCEEFF"/>
          </w:tcPr>
          <w:p>
            <w:pPr>
              <w:spacing w:after="0"/>
              <w:rPr>
                <w:sz w:val="13"/>
                <w:szCs w:val="13"/>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3"/>
                <w:szCs w:val="13"/>
                <w:color w:val="auto"/>
              </w:rPr>
              <w:t>Marketing fees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Revenue Less Ancillary Services</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79"/>
              </w:rPr>
              <w:t>353.0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364.0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660" w:type="dxa"/>
            <w:vAlign w:val="bottom"/>
            <w:vMerge w:val="restart"/>
          </w:tcPr>
          <w:p>
            <w:pPr>
              <w:spacing w:after="0"/>
              <w:rPr>
                <w:sz w:val="20"/>
                <w:szCs w:val="20"/>
                <w:color w:val="auto"/>
              </w:rPr>
            </w:pPr>
            <w:r>
              <w:rPr>
                <w:rFonts w:ascii="Arial" w:cs="Arial" w:eastAsia="Arial" w:hAnsi="Arial"/>
                <w:sz w:val="13"/>
                <w:szCs w:val="13"/>
                <w:color w:val="auto"/>
              </w:rPr>
              <w:t>Adjusted EBITDA</w:t>
            </w: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   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18" w:right="1440" w:bottom="1440"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Roman"/>
      <w:start w:val="3"/>
    </w:lvl>
  </w:abstractNum>
  <w:abstractNum w:abstractNumId="13">
    <w:nsid w:val="7FDCC233"/>
    <w:multiLevelType w:val="hybridMultilevel"/>
    <w:lvl w:ilvl="0">
      <w:lvlJc w:val="left"/>
      <w:lvlText w:val="(%1)"/>
      <w:numFmt w:val="lowerRoman"/>
      <w:start w:val="5"/>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2023-02-28T20:56:55Z</dcterms:created>
  <dcterms:modified xsi:type="dcterms:W3CDTF">2023-02-28T20:56:55Z</dcterms:modified>
</cp:coreProperties>
</file>