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Cosmin Pitigoi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Flywire Corp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141 Tremont St #10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 02111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Flywire Corp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both"/>
        <w:ind w:left="1280" w:right="3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 Form 10-Q for Fiscal Quarter Ended June 30, 2024 File No. 001-40430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Cosmin Pitigoi: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filings to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comment(s).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ind w:right="297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results for the years ended December 31, 2023 and 2022 Revenue, page 90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transaction revenue increased by 47.1% primarily due to growth in transaction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 volumes of 33%. Please explain to us and disclose as appropriate how the rate of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increase in transaction payment volumes correlate primarily to the rate of the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revenue increase. If other material factors contributed to the rate of the</w:t>
      </w:r>
    </w:p>
    <w:p>
      <w:pPr>
        <w:ind w:right="29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revenue increase, disclose them and their impact. Additionally, you state the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in platform and usage-based fee revenue was attributable to increased usage by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clients and new clients signed during the year. Please quantify the contribution by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so investors may understand the relative impact. Refer to the introductory paragraph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Item 303(b) of Regulation S-K and (b)(2)(i) therein, and section III.D of Release No.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33-6835 (501.04 of our Codification of Financial Reporting Policies) for guidance.</w:t>
      </w:r>
    </w:p>
    <w:p>
      <w:pPr>
        <w:ind w:right="84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29, 2024 Page 2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references in your earnings releases and earnings calls for the year ended 2023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first and second quarters of fiscal 2024 regarding the impact of changes in your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Canada business. However, it appears you did not disclose this as a known trend or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uncertainty in the MD&amp;A of your periodic filings pursuant to Item 303(b)(2)(ii) of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 Please disclose this to the extent this circumstance is expected to</w:t>
      </w:r>
    </w:p>
    <w:p>
      <w:pPr>
        <w:ind w:right="6239" w:firstLine="737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continue and is material. Critical Accounting Policies, page 97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Goodwill is a larger portion of your total assets at December 31, 2023 than intangible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assets, net, and you disclose in the notes to the financial statements on page 117 your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estimates and assumptions include impairment assessment of goodwill as well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intangibles. You provide disclosure here for intangible assets, net, but not goodwill.</w:t>
      </w:r>
    </w:p>
    <w:p>
      <w:pPr>
        <w:ind w:right="20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your consideration of disclosing the accounting for and impairment testing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goodwill as a critical accounting policy. Refer to Item 303(b)(3) of Regulation S-K,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instruction 3 of instructions to paragraph (b) and section V of Release No. 33-8350 for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Fiscal Quarter Ended June 30,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28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a history of reported operating and net losses for several interim and annual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periods. Please specifically discuss here, under "Business Continuity" on page 37 or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elsewhere as appropriate in your periodic filings to the extent this situation continues to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exist whether this is a known trend. In doing so, describe matters that have had a material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impact on reported operations, as well as those reasonably likely based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your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assessment to have a material impact on future operations. For example, consider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discussing the operational reasons for the losses, what you must do to generate positive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and when you expect, if practicable, to generate positive operating results. Refer to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303(a) and (b)(2)(ii) of Regulation S-K and trend information within Release No.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33-6835 and 33-8350 for guidance.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Operating Metrics and Non-GAAP Financial Measures , page 31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relocate the portion of your disclosure of non-GAAP information from the section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starting on page 32 with "Revenue Less Ancillary Services ...and Non-GAAP Operating</w:t>
      </w:r>
    </w:p>
    <w:p>
      <w:pPr>
        <w:ind w:left="740" w:right="18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Expenses" through "Reconciliation of GAAP Operating Expenses to Non-GAAP Operating Expenses" to follow your discussion and analysis of actual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for</w:t>
      </w:r>
    </w:p>
    <w:p>
      <w:pPr>
        <w:ind w:left="740" w:right="19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prominence pursuant to Question 102.10 of our Compliance and Disclosure Interpretations on Non-GAAP Financial Measures.</w:t>
      </w:r>
    </w:p>
    <w:p>
      <w:pPr>
        <w:ind w:right="843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29, 2024 Page 3</w:t>
      </w:r>
    </w:p>
    <w:p>
      <w:pPr>
        <w:ind w:right="68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 Cash Flows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Activities, page 44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more fulsome comparative analysis and discussion of changes in 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reported amount of operating cash flows, including changes in working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components, for interim and annual periods presented. In doing so, explain the underlying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and implications of material changes between periods to provide investors with an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understanding of trends and variability in cash flows. Ensure your discussion and analysis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not merely a recitation of changes evident from the financial statements. Refer to Item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303(a),(b) and instruction 1 to instructions to paragraph (c) of Regulation S-K and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introductory paragraph of section IV.B and all of section B.1 of Release No. 33- 8350.</w:t>
      </w:r>
    </w:p>
    <w:p>
      <w:pPr>
        <w:ind w:right="21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Also, quantify factors cited pursuant to section III.D of Release No. 33-6835.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Robert Shapiro at 202-551-3273 or Doug Jones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202-551-3309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jc w:val="right"/>
        <w:ind w:right="2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2024-11-05T23:22:41Z</dcterms:created>
  <dcterms:modified xsi:type="dcterms:W3CDTF">2024-11-05T23:22:41Z</dcterms:modified>
</cp:coreProperties>
</file>