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6987540" cy="5390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905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66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Salem Enrique T</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268" w:lineRule="auto"/>
        <w:rPr>
          <w:sz w:val="20"/>
          <w:szCs w:val="20"/>
          <w:color w:val="auto"/>
        </w:rPr>
      </w:pPr>
      <w:r>
        <w:rPr>
          <w:rFonts w:ascii="Arial" w:cs="Arial" w:eastAsia="Arial" w:hAnsi="Arial"/>
          <w:sz w:val="18"/>
          <w:szCs w:val="18"/>
          <w:color w:val="0000FF"/>
        </w:rPr>
        <w:t>C/O BAIN CAPITAL VENTURE INVESTORS, LLC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 CLARENDON STREET</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060" w:type="dxa"/>
            <w:vAlign w:val="bottom"/>
          </w:tcPr>
          <w:p>
            <w:pPr>
              <w:ind w:left="260"/>
              <w:spacing w:after="0"/>
              <w:rPr>
                <w:sz w:val="20"/>
                <w:szCs w:val="20"/>
                <w:color w:val="auto"/>
              </w:rPr>
            </w:pPr>
            <w:r>
              <w:rPr>
                <w:rFonts w:ascii="Arial" w:cs="Arial" w:eastAsia="Arial" w:hAnsi="Arial"/>
                <w:sz w:val="18"/>
                <w:szCs w:val="18"/>
                <w:color w:val="0000FF"/>
              </w:rPr>
              <w:t>MA</w:t>
            </w:r>
          </w:p>
        </w:tc>
        <w:tc>
          <w:tcPr>
            <w:tcW w:w="160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05/11/2023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ind w:left="5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940" w:type="dxa"/>
            <w:vAlign w:val="bottom"/>
            <w:gridSpan w:val="2"/>
            <w:vMerge w:val="restart"/>
          </w:tcPr>
          <w:p>
            <w:pPr>
              <w:ind w:left="400"/>
              <w:spacing w:after="0"/>
              <w:rPr>
                <w:sz w:val="20"/>
                <w:szCs w:val="20"/>
                <w:color w:val="auto"/>
              </w:rPr>
            </w:pPr>
            <w:r>
              <w:rPr>
                <w:rFonts w:ascii="Arial" w:cs="Arial" w:eastAsia="Arial" w:hAnsi="Arial"/>
                <w:sz w:val="18"/>
                <w:szCs w:val="18"/>
                <w:color w:val="0000FF"/>
              </w:rPr>
              <w:t>05/11/2023</w:t>
            </w:r>
          </w:p>
        </w:tc>
        <w:tc>
          <w:tcPr>
            <w:tcW w:w="72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0000FF"/>
                <w:w w:val="84"/>
              </w:rPr>
              <w:t>2,850,000</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29.51</w:t>
            </w:r>
          </w:p>
        </w:tc>
        <w:tc>
          <w:tcPr>
            <w:tcW w:w="16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8,795,388</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3"/>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8"/>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1"/>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0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w:t>
      </w:r>
    </w:p>
    <w:p>
      <w:pPr>
        <w:spacing w:after="0" w:line="9" w:lineRule="exact"/>
        <w:rPr>
          <w:rFonts w:ascii="Arial" w:cs="Arial" w:eastAsia="Arial" w:hAnsi="Arial"/>
          <w:sz w:val="12"/>
          <w:szCs w:val="12"/>
          <w:color w:val="008000"/>
        </w:rPr>
      </w:pPr>
    </w:p>
    <w:p>
      <w:pPr>
        <w:ind w:left="40" w:right="3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Salem is a member of the Executive Committee and a Partner of BCVI. By virtue of the relationships described in this footnote, Mr. Salem may be deemed to share voting and dispositive power with respect to the securities held by the Bain Capital Venture Entities. Mr. Salem disclaims beneficial ownership of such securities except to the extent of his pecuniary interest therein.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Enrique T. Salem</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05/15/2023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54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2023-05-15T19:57:47Z</dcterms:created>
  <dcterms:modified xsi:type="dcterms:W3CDTF">2023-05-15T19:57:47Z</dcterms:modified>
</cp:coreProperties>
</file>