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No.0</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FLYWIRE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#302492103</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268"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#302492103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5,492,359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5,500,697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5,500,697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5.051%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#302492103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5,500,697</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5,500,697</w:t>
      </w:r>
    </w:p>
    <w:p>
      <w:pPr>
        <w:spacing w:after="0"/>
        <w:rPr>
          <w:sz w:val="20"/>
          <w:szCs w:val="20"/>
          <w:color w:val="auto"/>
        </w:rPr>
      </w:pPr>
      <w:r>
        <w:rPr>
          <w:rFonts w:ascii="Courier New" w:cs="Courier New" w:eastAsia="Courier New" w:hAnsi="Courier New"/>
          <w:sz w:val="18"/>
          <w:szCs w:val="18"/>
          <w:color w:val="auto"/>
        </w:rPr>
        <w:t>Item 11: 5.051%</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FLYWIRE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141 Tremont Street, Suite 10</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Boston, MA 02111</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302492103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 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5,500,697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5.051%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 sole power to vote or to direct the vote: Please see the responses to</w:t>
      </w:r>
    </w:p>
    <w:p>
      <w:pPr>
        <w:sectPr>
          <w:pgSz w:w="11900" w:h="16838" w:orient="portrait"/>
          <w:cols w:equalWidth="0" w:num="1">
            <w:col w:w="10139"/>
          </w:cols>
          <w:pgMar w:left="320" w:top="226"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5,500,697</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43"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FLYWIRE CORP. No one other person's interest in the COMMON STOCK of FLYWIRE CORP is more than five percent of the total outstanding COMMON STOCK.</w:t>
      </w:r>
    </w:p>
    <w:p>
      <w:pPr>
        <w:spacing w:after="0" w:line="385" w:lineRule="exact"/>
        <w:rPr>
          <w:sz w:val="20"/>
          <w:szCs w:val="20"/>
          <w:color w:val="auto"/>
        </w:rPr>
      </w:pPr>
    </w:p>
    <w:p>
      <w:pPr>
        <w:ind w:right="1919"/>
        <w:spacing w:after="0" w:line="259"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28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8, 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Bourgelas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spacing w:after="0" w:line="18" w:lineRule="exact"/>
        <w:rPr>
          <w:sz w:val="20"/>
          <w:szCs w:val="20"/>
          <w:color w:val="auto"/>
        </w:rPr>
      </w:pPr>
    </w:p>
    <w:p>
      <w:pPr>
        <w:ind w:right="2119"/>
        <w:spacing w:after="0" w:line="238"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Exhibit 24 Power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45"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Crosby Advisors LLC</w:t>
      </w:r>
      <w:r>
        <w:rPr>
          <w:sz w:val="20"/>
          <w:szCs w:val="20"/>
          <w:color w:val="auto"/>
        </w:rPr>
        <w:tab/>
      </w:r>
      <w:r>
        <w:rPr>
          <w:rFonts w:ascii="Courier New" w:cs="Courier New" w:eastAsia="Courier New" w:hAnsi="Courier New"/>
          <w:sz w:val="16"/>
          <w:szCs w:val="16"/>
          <w:color w:val="auto"/>
        </w:rPr>
        <w:t>N/A</w:t>
      </w:r>
    </w:p>
    <w:p>
      <w:pPr>
        <w:spacing w:after="0" w:line="1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38" w:lineRule="auto"/>
        <w:tabs>
          <w:tab w:leader="none" w:pos="57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line="238" w:lineRule="auto"/>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118" w:right="1440" w:bottom="340" w:gutter="0" w:footer="0" w:header="0"/>
        </w:sectPr>
      </w:pPr>
    </w:p>
    <w:bookmarkStart w:id="2" w:name="page3"/>
    <w:bookmarkEnd w:id="2"/>
    <w:p>
      <w:pPr>
        <w:ind w:right="1919"/>
        <w:spacing w:after="0" w:line="259"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167" w:lineRule="exact"/>
        <w:rPr>
          <w:sz w:val="20"/>
          <w:szCs w:val="20"/>
          <w:color w:val="auto"/>
        </w:rPr>
      </w:pPr>
    </w:p>
    <w:p>
      <w:pPr>
        <w:ind w:right="1919"/>
        <w:spacing w:after="0"/>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88" w:lineRule="exact"/>
        <w:rPr>
          <w:sz w:val="20"/>
          <w:szCs w:val="20"/>
          <w:color w:val="auto"/>
        </w:rPr>
      </w:pPr>
    </w:p>
    <w:p>
      <w:pPr>
        <w:ind w:right="1919"/>
        <w:spacing w:after="0" w:line="241"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239"/>
        <w:spacing w:after="0" w:line="295" w:lineRule="auto"/>
        <w:rPr>
          <w:sz w:val="20"/>
          <w:szCs w:val="20"/>
          <w:color w:val="auto"/>
        </w:rPr>
      </w:pPr>
      <w:r>
        <w:rPr>
          <w:rFonts w:ascii="Courier New" w:cs="Courier New" w:eastAsia="Courier New" w:hAnsi="Courier New"/>
          <w:sz w:val="16"/>
          <w:szCs w:val="16"/>
          <w:color w:val="auto"/>
        </w:rPr>
        <w:t>The undersigned persons, on August 8, 2023, agree and consent to the joint filing on their behalf of this Schedule 13G in connection with their beneficial ownership of the COMMON STOCK of FLYWIRE CORP at August 1, 2023.</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238"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238"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Abigail P. Johnson*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Exhibit 24 Power of Attorney.</w:t>
      </w:r>
    </w:p>
    <w:p>
      <w:pPr>
        <w:sectPr>
          <w:pgSz w:w="11900" w:h="16838" w:orient="portrait"/>
          <w:cols w:equalWidth="0" w:num="1">
            <w:col w:w="10139"/>
          </w:cols>
          <w:pgMar w:left="320" w:top="118"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WHEREAS, each individual, entity, or group of entities, set forth in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 hereto (each, a "Grantor") has appointed Stephanie J. Brown with full</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substitution, for the Grantor and in her or its name, to notify</w:t>
      </w:r>
    </w:p>
    <w:p>
      <w:pPr>
        <w:spacing w:after="0" w:line="238" w:lineRule="auto"/>
        <w:rPr>
          <w:sz w:val="20"/>
          <w:szCs w:val="20"/>
          <w:color w:val="auto"/>
        </w:rPr>
      </w:pPr>
      <w:r>
        <w:rPr>
          <w:rFonts w:ascii="Courier New" w:cs="Courier New" w:eastAsia="Courier New" w:hAnsi="Courier New"/>
          <w:sz w:val="18"/>
          <w:szCs w:val="18"/>
          <w:color w:val="auto"/>
        </w:rPr>
        <w:t>companies and to sign such notices, filings or amendments thereto, in respect</w:t>
      </w:r>
    </w:p>
    <w:p>
      <w:pPr>
        <w:spacing w:after="0"/>
        <w:rPr>
          <w:sz w:val="20"/>
          <w:szCs w:val="20"/>
          <w:color w:val="auto"/>
        </w:rPr>
      </w:pPr>
      <w:r>
        <w:rPr>
          <w:rFonts w:ascii="Courier New" w:cs="Courier New" w:eastAsia="Courier New" w:hAnsi="Courier New"/>
          <w:sz w:val="16"/>
          <w:szCs w:val="16"/>
          <w:color w:val="auto"/>
        </w:rPr>
        <w:t>of interests in shares held, directly or beneficially, by the Grantor, pursuant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laws and regulations of countries and other jurisdictions within the</w:t>
      </w:r>
    </w:p>
    <w:p>
      <w:pPr>
        <w:spacing w:after="0" w:line="238" w:lineRule="auto"/>
        <w:rPr>
          <w:sz w:val="20"/>
          <w:szCs w:val="20"/>
          <w:color w:val="auto"/>
        </w:rPr>
      </w:pPr>
      <w:r>
        <w:rPr>
          <w:rFonts w:ascii="Courier New" w:cs="Courier New" w:eastAsia="Courier New" w:hAnsi="Courier New"/>
          <w:sz w:val="18"/>
          <w:szCs w:val="18"/>
          <w:color w:val="auto"/>
        </w:rPr>
        <w:t>U.S.and other jurisdictions within North America, Central America, South</w:t>
      </w:r>
    </w:p>
    <w:p>
      <w:pPr>
        <w:spacing w:after="0"/>
        <w:rPr>
          <w:sz w:val="20"/>
          <w:szCs w:val="20"/>
          <w:color w:val="auto"/>
        </w:rPr>
      </w:pPr>
      <w:r>
        <w:rPr>
          <w:rFonts w:ascii="Courier New" w:cs="Courier New" w:eastAsia="Courier New" w:hAnsi="Courier New"/>
          <w:sz w:val="16"/>
          <w:szCs w:val="16"/>
          <w:color w:val="auto"/>
        </w:rPr>
        <w:t>America,Bermuda, and the Caribbean (collectively, the "Applicable Countries"),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shall from time to time be applicable to the Grantor.</w:t>
      </w:r>
    </w:p>
    <w:p>
      <w:pPr>
        <w:spacing w:after="0" w:line="183" w:lineRule="exact"/>
        <w:rPr>
          <w:sz w:val="20"/>
          <w:szCs w:val="20"/>
          <w:color w:val="auto"/>
        </w:rPr>
      </w:pPr>
    </w:p>
    <w:p>
      <w:pPr>
        <w:ind w:right="2339" w:firstLine="316"/>
        <w:spacing w:after="0" w:line="245" w:lineRule="auto"/>
        <w:rPr>
          <w:sz w:val="20"/>
          <w:szCs w:val="20"/>
          <w:color w:val="auto"/>
        </w:rPr>
      </w:pPr>
      <w:r>
        <w:rPr>
          <w:rFonts w:ascii="Courier New" w:cs="Courier New" w:eastAsia="Courier New" w:hAnsi="Courier New"/>
          <w:sz w:val="18"/>
          <w:szCs w:val="18"/>
          <w:color w:val="auto"/>
        </w:rPr>
        <w:t>NOW, THEREFORE, the undersigned hereby constitutes and appoints Richard Bourgelas as her substitute, to have all the powers of the undersigned regarding filings required with respect to each Grantor by the laws and regulations within the Applicable Countries.</w:t>
      </w:r>
    </w:p>
    <w:p>
      <w:pPr>
        <w:spacing w:after="0" w:line="180" w:lineRule="exact"/>
        <w:rPr>
          <w:sz w:val="20"/>
          <w:szCs w:val="20"/>
          <w:color w:val="auto"/>
        </w:rPr>
      </w:pPr>
    </w:p>
    <w:p>
      <w:pPr>
        <w:ind w:right="1919" w:firstLine="316"/>
        <w:spacing w:after="0" w:line="243" w:lineRule="auto"/>
        <w:rPr>
          <w:sz w:val="20"/>
          <w:szCs w:val="20"/>
          <w:color w:val="auto"/>
        </w:rPr>
      </w:pPr>
      <w:r>
        <w:rPr>
          <w:rFonts w:ascii="Courier New" w:cs="Courier New" w:eastAsia="Courier New" w:hAnsi="Courier New"/>
          <w:sz w:val="18"/>
          <w:szCs w:val="18"/>
          <w:color w:val="auto"/>
        </w:rPr>
        <w:t>The Power of Attorney granted herein shall remain in full force and effect only for such time as the undersigned shall continue to be an officer of Fidelity Management &amp; Research Company LLC, provided that, notwithstanding the foregoing, this Power of Attorney may be revoked in whole or in part at any time by the undersigned in writing.</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238" w:lineRule="auto"/>
        <w:rPr>
          <w:sz w:val="20"/>
          <w:szCs w:val="20"/>
          <w:color w:val="auto"/>
        </w:rPr>
      </w:pPr>
      <w:r>
        <w:rPr>
          <w:rFonts w:ascii="Courier New" w:cs="Courier New" w:eastAsia="Courier New" w:hAnsi="Courier New"/>
          <w:sz w:val="18"/>
          <w:szCs w:val="18"/>
          <w:color w:val="auto"/>
        </w:rPr>
        <w:t>Chief Compliance Officer of Fidelity Management &amp; Research Company LLC</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May 23, 2023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Abigail P. Johnson</w:t>
      </w:r>
    </w:p>
    <w:p>
      <w:pPr>
        <w:spacing w:after="0" w:line="18"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FMR LLC</w:t>
      </w:r>
    </w:p>
    <w:p>
      <w:pPr>
        <w:ind w:right="2119" w:firstLine="8"/>
        <w:spacing w:after="0" w:line="238"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Fidelity Alternatives Funds for which Fidelity Diversifying Solutions LLC serves as investment adviser</w:t>
      </w:r>
    </w:p>
    <w:p>
      <w:pPr>
        <w:ind w:right="2119" w:firstLine="8"/>
        <w:spacing w:after="0" w:line="238"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Fidelity Equity and High Income Funds for which Fidelity Management &amp; Research Company LLC serves as investment adviser</w:t>
      </w:r>
    </w:p>
    <w:p>
      <w:pPr>
        <w:ind w:right="2339" w:firstLine="8"/>
        <w:spacing w:after="0" w:line="238"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Fidelity Fixed Income and Asset Allocation Funds for which Fidelity Management &amp; Research Company LLC serves as investment adviser</w:t>
      </w:r>
    </w:p>
    <w:p>
      <w:pPr>
        <w:ind w:left="320" w:hanging="312"/>
        <w:spacing w:after="0" w:line="238"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Funds for which Strategic Advisers LLC serves as investment adviser</w:t>
      </w:r>
    </w:p>
    <w:p>
      <w:pPr>
        <w:ind w:right="2339" w:firstLine="8"/>
        <w:spacing w:after="0" w:line="238"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FIAM Holdings LLC, FIAM LLC and Fidelity Institutional Asset Management Trust Company</w:t>
      </w:r>
    </w:p>
    <w:p>
      <w:pPr>
        <w:ind w:left="320" w:hanging="312"/>
        <w:spacing w:after="0" w:line="238"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Advisor Holdings LLC</w:t>
      </w:r>
    </w:p>
    <w:p>
      <w:pPr>
        <w:ind w:left="320" w:hanging="312"/>
        <w:spacing w:after="0" w:line="238"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Bay Street Holdings LLC</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Canada Investors LLC</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Diversifying Solutions LLC</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Management &amp; Research Company LLC</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Management &amp; Research (Hong Kong) Limited</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Management &amp; Research (Japan) Limited</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FMR Investment Management (UK) Limited</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Management &amp; Research (Canada) ULC</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Investments Canada ULC</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Management Trust Company</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Personal and Workplace Advisors LLC</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Strategic Advisers LLC</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Crosby Advisors LLC</w:t>
      </w:r>
    </w:p>
    <w:p>
      <w:pPr>
        <w:ind w:right="2019" w:firstLine="8"/>
        <w:spacing w:after="0" w:line="238"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Impresa Management LLC and the collective investment vehicles for which Impresa Management LLC acts as manager, general partner or general partner of the general partner</w:t>
      </w:r>
    </w:p>
    <w:p>
      <w:pPr>
        <w:ind w:right="2339" w:firstLine="8"/>
        <w:spacing w:after="0" w:line="238"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Eight Roads Holdings Limited, Eight Roads Investments, and Eight Roads Shareholdings Limited</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Investments Canada ULC</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 Limited and each of its direct and indirect subsidiaries</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Pandanus Associates, Inc. and Pandanus Partners L.P.</w:t>
      </w:r>
    </w:p>
    <w:sectPr>
      <w:pgSz w:w="11900" w:h="16838" w:orient="portrait"/>
      <w:cols w:equalWidth="0" w:num="1">
        <w:col w:w="10139"/>
      </w:cols>
      <w:pgMar w:left="320" w:top="2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Roman"/>
      <w:start w:val="2"/>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2023-08-08T12:59:21Z</dcterms:created>
  <dcterms:modified xsi:type="dcterms:W3CDTF">2023-08-08T12:59:21Z</dcterms:modified>
</cp:coreProperties>
</file>