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6" w:right="479" w:bottom="87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Orgel Rob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Flywire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FLYW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872"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FLYWIRE CORPORATION</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141 TREMONT STREET, SUITE 10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20" w:type="dxa"/>
            <w:vAlign w:val="bottom"/>
          </w:tcPr>
          <w:p>
            <w:pPr>
              <w:ind w:left="120"/>
              <w:spacing w:after="0"/>
              <w:rPr>
                <w:sz w:val="20"/>
                <w:szCs w:val="20"/>
                <w:color w:val="auto"/>
              </w:rPr>
            </w:pPr>
            <w:r>
              <w:rPr>
                <w:rFonts w:ascii="Arial" w:cs="Arial" w:eastAsia="Arial" w:hAnsi="Arial"/>
                <w:sz w:val="20"/>
                <w:szCs w:val="20"/>
                <w:color w:val="0000FF"/>
              </w:rPr>
              <w:t>MA</w:t>
            </w:r>
          </w:p>
        </w:tc>
        <w:tc>
          <w:tcPr>
            <w:tcW w:w="1340" w:type="dxa"/>
            <w:vAlign w:val="bottom"/>
          </w:tcPr>
          <w:p>
            <w:pPr>
              <w:ind w:left="340"/>
              <w:spacing w:after="0"/>
              <w:rPr>
                <w:sz w:val="20"/>
                <w:szCs w:val="20"/>
                <w:color w:val="auto"/>
              </w:rPr>
            </w:pPr>
            <w:r>
              <w:rPr>
                <w:rFonts w:ascii="Arial" w:cs="Arial" w:eastAsia="Arial" w:hAnsi="Arial"/>
                <w:sz w:val="20"/>
                <w:szCs w:val="20"/>
                <w:color w:val="0000FF"/>
              </w:rPr>
              <w:t>02111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President and COO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872"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left="32"/>
              <w:spacing w:after="0"/>
              <w:rPr>
                <w:sz w:val="20"/>
                <w:szCs w:val="20"/>
                <w:color w:val="auto"/>
              </w:rPr>
            </w:pPr>
            <w:r>
              <w:rPr>
                <w:rFonts w:ascii="Arial" w:cs="Arial" w:eastAsia="Arial" w:hAnsi="Arial"/>
                <w:sz w:val="20"/>
                <w:szCs w:val="20"/>
                <w:color w:val="0000FF"/>
                <w:w w:val="84"/>
              </w:rPr>
              <w:t>75,000</w:t>
            </w:r>
          </w:p>
        </w:tc>
        <w:tc>
          <w:tcPr>
            <w:tcW w:w="860" w:type="dxa"/>
            <w:vAlign w:val="bottom"/>
            <w:tcBorders>
              <w:bottom w:val="single" w:sz="8" w:color="2C2C2C"/>
            </w:tcBorders>
          </w:tcPr>
          <w:p>
            <w:pPr>
              <w:ind w:left="780"/>
              <w:spacing w:after="0"/>
              <w:rPr>
                <w:sz w:val="20"/>
                <w:szCs w:val="20"/>
                <w:color w:val="auto"/>
              </w:rPr>
            </w:pPr>
            <w:r>
              <w:rPr>
                <w:rFonts w:ascii="Arial" w:cs="Arial" w:eastAsia="Arial" w:hAnsi="Arial"/>
                <w:sz w:val="20"/>
                <w:szCs w:val="20"/>
                <w:color w:val="0000FF"/>
              </w:rPr>
              <w:t>I</w:t>
            </w:r>
          </w:p>
        </w:tc>
        <w:tc>
          <w:tcPr>
            <w:tcW w:w="1920" w:type="dxa"/>
            <w:vAlign w:val="bottom"/>
            <w:tcBorders>
              <w:bottom w:val="single" w:sz="8" w:color="2C2C2C"/>
            </w:tcBorders>
            <w:gridSpan w:val="2"/>
          </w:tcPr>
          <w:p>
            <w:pPr>
              <w:ind w:left="62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(2)</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5"/>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10/31/2029</w:t>
            </w:r>
          </w:p>
        </w:tc>
        <w:tc>
          <w:tcPr>
            <w:tcW w:w="176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570,000</w:t>
            </w:r>
          </w:p>
        </w:tc>
        <w:tc>
          <w:tcPr>
            <w:tcW w:w="1000" w:type="dxa"/>
            <w:vAlign w:val="bottom"/>
            <w:vMerge w:val="restart"/>
          </w:tcPr>
          <w:p>
            <w:pPr>
              <w:jc w:val="right"/>
              <w:ind w:right="297"/>
              <w:spacing w:after="0"/>
              <w:rPr>
                <w:sz w:val="20"/>
                <w:szCs w:val="20"/>
                <w:color w:val="auto"/>
              </w:rPr>
            </w:pPr>
            <w:r>
              <w:rPr>
                <w:rFonts w:ascii="Arial" w:cs="Arial" w:eastAsia="Arial" w:hAnsi="Arial"/>
                <w:sz w:val="20"/>
                <w:szCs w:val="20"/>
                <w:color w:val="0000FF"/>
              </w:rPr>
              <w:t>3.3</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vMerge w:val="continue"/>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60" w:type="dxa"/>
            <w:vAlign w:val="bottom"/>
            <w:tcBorders>
              <w:bottom w:val="single" w:sz="8" w:color="2C2C2C"/>
            </w:tcBorders>
            <w:vMerge w:val="continue"/>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01/20/2031</w:t>
            </w:r>
          </w:p>
        </w:tc>
        <w:tc>
          <w:tcPr>
            <w:tcW w:w="176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450,000</w:t>
            </w:r>
          </w:p>
        </w:tc>
        <w:tc>
          <w:tcPr>
            <w:tcW w:w="1000" w:type="dxa"/>
            <w:vAlign w:val="bottom"/>
            <w:vMerge w:val="restart"/>
          </w:tcPr>
          <w:p>
            <w:pPr>
              <w:jc w:val="right"/>
              <w:ind w:right="237"/>
              <w:spacing w:after="0"/>
              <w:rPr>
                <w:sz w:val="20"/>
                <w:szCs w:val="20"/>
                <w:color w:val="auto"/>
              </w:rPr>
            </w:pPr>
            <w:r>
              <w:rPr>
                <w:rFonts w:ascii="Arial" w:cs="Arial" w:eastAsia="Arial" w:hAnsi="Arial"/>
                <w:sz w:val="20"/>
                <w:szCs w:val="20"/>
                <w:color w:val="0000FF"/>
              </w:rPr>
              <w:t>3.95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(1)</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Immediately prior to the closing of the initial public offering of the Issuer's Common Stock, each share of Class A Common Stock will be reclassified into one share of Voting Common Stock and each share of Class B Common Stock will be reclassified into one share of Non-Voting Common Stock.</w:t>
      </w:r>
    </w:p>
    <w:p>
      <w:pPr>
        <w:spacing w:after="0" w:line="26" w:lineRule="exact"/>
        <w:rPr>
          <w:rFonts w:ascii="Arial" w:cs="Arial" w:eastAsia="Arial" w:hAnsi="Arial"/>
          <w:sz w:val="15"/>
          <w:szCs w:val="15"/>
          <w:color w:val="008000"/>
        </w:rPr>
      </w:pPr>
    </w:p>
    <w:p>
      <w:pPr>
        <w:ind w:left="40" w:right="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5" w:lineRule="exact"/>
        <w:rPr>
          <w:rFonts w:ascii="Arial" w:cs="Arial" w:eastAsia="Arial" w:hAnsi="Arial"/>
          <w:sz w:val="15"/>
          <w:szCs w:val="15"/>
          <w:color w:val="008000"/>
        </w:rPr>
      </w:pPr>
    </w:p>
    <w:p>
      <w:pPr>
        <w:ind w:left="40" w:right="2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originally subject to this option vest over 4 years of service following November 1, 2019, with 25% vesting upon completion of 1 year of continuous service to the Issuer and the balance vesting in 36 equal monthly installments thereafter.</w:t>
      </w:r>
    </w:p>
    <w:p>
      <w:pPr>
        <w:spacing w:after="0" w:line="26"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Rob Orgel</w:t>
            </w:r>
          </w:p>
        </w:tc>
        <w:tc>
          <w:tcPr>
            <w:tcW w:w="900" w:type="dxa"/>
            <w:vAlign w:val="bottom"/>
          </w:tcPr>
          <w:p>
            <w:pPr>
              <w:spacing w:after="0"/>
              <w:rPr>
                <w:sz w:val="20"/>
                <w:szCs w:val="20"/>
                <w:color w:val="auto"/>
              </w:rPr>
            </w:pPr>
            <w:r>
              <w:rPr>
                <w:rFonts w:ascii="Arial" w:cs="Arial" w:eastAsia="Arial" w:hAnsi="Arial"/>
                <w:sz w:val="20"/>
                <w:szCs w:val="20"/>
                <w:color w:val="0000FF"/>
                <w:w w:val="87"/>
              </w:rPr>
              <w:t>05/25/2021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8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2049" TargetMode="External"/><Relationship Id="rId11"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2021-05-25T19:40:08Z</dcterms:created>
  <dcterms:modified xsi:type="dcterms:W3CDTF">2021-05-25T19:40:08Z</dcterms:modified>
</cp:coreProperties>
</file>