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Flywire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Voting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302492103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302492103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Cadian Capital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7,927,159.00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7,927,159.00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7,927,159.00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302492103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Cadian Capital Management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7,927,159.00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7,927,159.00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7,927,159.00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 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302492103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ERIC BANNASCH</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7,927,159.00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7,927,159.00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7,927,159.00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HC</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Flywire Corporation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419"/>
        <w:spacing w:after="0"/>
        <w:rPr>
          <w:sz w:val="20"/>
          <w:szCs w:val="20"/>
          <w:color w:val="auto"/>
        </w:rPr>
      </w:pPr>
      <w:r>
        <w:rPr>
          <w:rFonts w:ascii="Times New Roman" w:cs="Times New Roman" w:eastAsia="Times New Roman" w:hAnsi="Times New Roman"/>
          <w:sz w:val="22"/>
          <w:szCs w:val="22"/>
          <w:color w:val="auto"/>
        </w:rPr>
        <w:t>141 Tremont Street #10, Boston, Massachusetts, 02111</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120" w:firstLine="6"/>
        <w:spacing w:after="0" w:line="256" w:lineRule="auto"/>
        <w:tabs>
          <w:tab w:leader="none" w:pos="258"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Cadian Capital Management, LP, (ii) Cadian Capital Management GP, LLC, and (iii) Eric Bannasch (collectively, the "Reporting Persons")</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each of the Reporting Persons: 535 Madison Avenue, 36th Floor, New York, New York 10022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100" w:firstLine="6"/>
        <w:spacing w:after="0" w:line="256" w:lineRule="auto"/>
        <w:tabs>
          <w:tab w:leader="none" w:pos="258"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Cadian Capital Management, LP is a Delaware limited partnership, (ii) Cadian Capital Management GP, LLC is a Delaware limited liability company, and (iii) Eric Bannasch is a United States citizen.</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Voting Common Stock,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302492103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4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8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180"/>
          </w:cols>
          <w:pgMar w:left="360" w:top="112" w:right="439" w:bottom="0" w:gutter="0" w:footer="0" w:header="0"/>
        </w:sectPr>
      </w:pPr>
    </w:p>
    <w:p>
      <w:pPr>
        <w:spacing w:after="0" w:line="33" w:lineRule="exact"/>
        <w:rPr>
          <w:sz w:val="20"/>
          <w:szCs w:val="20"/>
          <w:color w:val="auto"/>
        </w:rPr>
      </w:pPr>
    </w:p>
    <w:p>
      <w:pPr>
        <w:ind w:left="920" w:right="580"/>
        <w:spacing w:after="0" w:line="253" w:lineRule="auto"/>
        <w:rPr>
          <w:sz w:val="20"/>
          <w:szCs w:val="20"/>
          <w:color w:val="auto"/>
        </w:rPr>
      </w:pPr>
      <w:r>
        <w:rPr>
          <w:rFonts w:ascii="Times New Roman" w:cs="Times New Roman" w:eastAsia="Times New Roman" w:hAnsi="Times New Roman"/>
          <w:sz w:val="21"/>
          <w:szCs w:val="21"/>
          <w:color w:val="auto"/>
        </w:rPr>
        <w:t>As of December 31, 2025, each of the Reporting Persons may have been deemed to have beneficially owned 7,927,159 shares of Voting Common Stock, par value $0.0001 per share ("Voting Common Stock"), of Flywire</w:t>
      </w:r>
    </w:p>
    <w:p>
      <w:pPr>
        <w:spacing w:after="0" w:line="1" w:lineRule="exact"/>
        <w:rPr>
          <w:sz w:val="20"/>
          <w:szCs w:val="20"/>
          <w:color w:val="auto"/>
        </w:rPr>
      </w:pPr>
    </w:p>
    <w:p>
      <w:pPr>
        <w:ind w:left="920" w:right="40" w:hanging="912"/>
        <w:spacing w:after="0" w:line="201"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Corporation (the "Issuer"). All securities reported in this Schedule 13G were directly held by Cadian Master Fund L.P. and Cadian Opportunities Master Fund LP (collectively, the "Advisory Clients"), advisory clients of Cadian Capital Management, LP (the "Adviser"). Pursuant to Investment Management Agreements between the Advisory Clients and the Adviser, the Adviser exercises exclusive voting and investment power over securities directly held by the Advisory Clients. Cadian Capital Management GP, LLC is the general partner of the Adviser. Eric Bannasch is the sole managing member of Cadian Capital Management GP, LLC.</w:t>
      </w:r>
    </w:p>
    <w:p>
      <w:pPr>
        <w:spacing w:after="0" w:line="14"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43"/>
          <w:szCs w:val="43"/>
          <w:color w:val="auto"/>
          <w:vertAlign w:val="subscript"/>
        </w:rPr>
      </w:pPr>
    </w:p>
    <w:p>
      <w:pPr>
        <w:ind w:left="920" w:hanging="912"/>
        <w:spacing w:after="0" w:line="193"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As of December 31, 2025, each of the Reporting Persons may have been deemed to have beneficially owned approximately 6.6% of the shares of Voting Common Stock of the Issuer outstanding, based on 120,253,612 shares of Voting Common Stock outstanding as of October 31, 2025, as disclosed in the Issuer's Form 10-Q filed with the Securities and Exchange Commission on November 10, 2025. %</w:t>
      </w:r>
    </w:p>
    <w:p>
      <w:pPr>
        <w:spacing w:after="0" w:line="18"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20"/>
        <w:spacing w:after="0" w:line="258" w:lineRule="auto"/>
        <w:rPr>
          <w:sz w:val="20"/>
          <w:szCs w:val="20"/>
          <w:color w:val="auto"/>
        </w:rPr>
      </w:pPr>
      <w:r>
        <w:rPr>
          <w:rFonts w:ascii="Times New Roman" w:cs="Times New Roman" w:eastAsia="Times New Roman" w:hAnsi="Times New Roman"/>
          <w:sz w:val="22"/>
          <w:szCs w:val="22"/>
          <w:color w:val="auto"/>
        </w:rPr>
        <w:t>As of December 31, 2025, each of the Reporting Persons may have been deemed to have had sole power to vote or to direct the vote of 0 shares of Voting Common Stock.</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20"/>
        <w:spacing w:after="0" w:line="258" w:lineRule="auto"/>
        <w:rPr>
          <w:sz w:val="20"/>
          <w:szCs w:val="20"/>
          <w:color w:val="auto"/>
        </w:rPr>
      </w:pPr>
      <w:r>
        <w:rPr>
          <w:rFonts w:ascii="Times New Roman" w:cs="Times New Roman" w:eastAsia="Times New Roman" w:hAnsi="Times New Roman"/>
          <w:sz w:val="22"/>
          <w:szCs w:val="22"/>
          <w:color w:val="auto"/>
        </w:rPr>
        <w:t>As of December 31, 2025, each of the Reporting Persons may have been deemed to have had shared power to vote or to direct the vote of 7,927,159 shares of Voting Common Stock.</w:t>
      </w:r>
    </w:p>
    <w:p>
      <w:pPr>
        <w:sectPr>
          <w:pgSz w:w="11900" w:h="16838" w:orient="portrait"/>
          <w:cols w:equalWidth="0" w:num="1">
            <w:col w:w="11100"/>
          </w:cols>
          <w:pgMar w:left="360" w:top="112" w:right="43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As of December 31, 2025, each of the Reporting Persons may have been deemed to have had sole power to dispose or to direct the disposition of 0 shares of Voting Common Stock.</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As of December 31, 2025, each of the Reporting Persons may have been deemed to have had shared power to dispose or to direct the disposition of 7,927,159 shares of Voting Common Stock.</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securities reported in this Schedule 13G were directly held by the Advisory Clients. Cadian Master Fund L.P.</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individually directly holds Voting Common Stock representing more than 5% of the Issuer's Voting Common Stock.</w:t>
      </w:r>
    </w:p>
    <w:p>
      <w:pPr>
        <w:spacing w:after="0" w:line="32"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disclosure regarding the relationships among the Reporting Persons in Item 4 is incorporated by reference herein.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Cadian Capital Management,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Eric Bannasch</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Eric Bannasch/Managing Member, Cadian Capital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Management GP, LLC, its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Cadian Capital Management GP, LLC</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Eric Bannasch</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Eric Bannasch/Managing Member</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ERIC BANNASCH</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Eric Bannasch</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Eric Bannasch/Self</w:t>
      </w:r>
    </w:p>
    <w:p>
      <w:pPr>
        <w:sectPr>
          <w:pgSz w:w="11900" w:h="16838" w:orient="portrait"/>
          <w:cols w:equalWidth="0" w:num="1">
            <w:col w:w="11140"/>
          </w:cols>
          <w:pgMar w:left="360" w:top="112" w:right="399" w:bottom="0" w:gutter="0" w:footer="0" w:header="0"/>
          <w:type w:val="continuous"/>
        </w:sectPr>
      </w:pPr>
    </w:p>
    <w:bookmarkStart w:id="5" w:name="page6"/>
    <w:bookmarkEnd w:id="5"/>
    <w:p>
      <w:pPr>
        <w:ind w:left="1880"/>
        <w:spacing w:after="0"/>
        <w:tabs>
          <w:tab w:leader="none" w:pos="294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02/17/2026</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Roman"/>
      <w:start w:val="1"/>
    </w:lvl>
  </w:abstractNum>
  <w:abstractNum w:abstractNumId="3">
    <w:nsid w:val="238E1F29"/>
    <w:multiLevelType w:val="hybridMultilevel"/>
    <w:lvl w:ilvl="0">
      <w:lvlJc w:val="left"/>
      <w:lvlText w:val="(%1)"/>
      <w:numFmt w:val="lowerRoman"/>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2026-02-17T14:36:02Z</dcterms:created>
  <dcterms:modified xsi:type="dcterms:W3CDTF">2026-02-17T14:36:02Z</dcterms:modified>
</cp:coreProperties>
</file>