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yw-20260630.htm"/>
      <w:bookmarkStart w:id="1" w:name="ksflyw20260630"/>
      <w:bookmarkEnd w:id="0"/>
      <w:bookmarkEnd w:id="1"/>
      <w:r>
        <w:rPr/>
        <w:t> </w:t>
      </w:r>
    </w:p>
    <w:p>
      <w:pPr>
        <w:pStyle w:val="TextBody"/>
        <w:pBdr>
          <w:top w:val="double" w:sz="6" w:space="1" w:color="000000"/>
        </w:pBdr>
        <w:bidi w:val="0"/>
        <w:jc w:val="left"/>
        <w:rPr/>
      </w:pPr>
      <w:r>
        <w:rPr/>
        <w:t> </w:t>
      </w:r>
    </w:p>
    <w:p>
      <w:pPr>
        <w:pStyle w:val="TextBody"/>
        <w:bidi w:val="0"/>
        <w:spacing w:before="60" w:after="283"/>
        <w:jc w:val="center"/>
        <w:rPr>
          <w:rFonts w:ascii="Times New Roman" w:hAnsi="Times New Roman"/>
          <w:sz w:val="20"/>
        </w:rPr>
      </w:pPr>
      <w:r>
        <w:rPr>
          <w:rFonts w:ascii="Arial" w:hAnsi="Arial"/>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34"/>
        </w:rPr>
        <w:t>FORM 10-Q</w:t>
      </w:r>
      <w:r>
        <w:rPr>
          <w:rFonts w:ascii="Times New Roman" w:hAnsi="Times New Roman"/>
          <w:color w:val="000000"/>
          <w:sz w:val="20"/>
        </w:rPr>
        <w:t xml:space="preserve"> </w:t>
      </w:r>
    </w:p>
    <w:p>
      <w:pPr>
        <w:pStyle w:val="TextBody"/>
        <w:bidi w:val="0"/>
        <w:spacing w:before="40" w:after="283"/>
        <w:jc w:val="left"/>
        <w:rPr>
          <w:rFonts w:ascii="Arial" w:hAnsi="Arial"/>
          <w:b/>
          <w:color w:val="000000"/>
          <w:sz w:val="18"/>
        </w:rPr>
      </w:pPr>
      <w:r>
        <w:rPr>
          <w:rFonts w:ascii="Arial" w:hAnsi="Arial"/>
          <w:b/>
          <w:color w:val="000000"/>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For the quarterly period ended June 30, 2026</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Commission File Number: 001-40430</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46"/>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(Exact Name of Registrant as Specified in its Charter)</w:t>
      </w:r>
      <w:r>
        <w:rPr>
          <w:rFonts w:ascii="Times New Roman" w:hAnsi="Times New Roman"/>
          <w:color w:val="000000"/>
          <w:sz w:val="20"/>
        </w:rPr>
        <w:t xml:space="preserve">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27-0690799</w:t>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0"/>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0"/>
              <w:jc w:val="center"/>
              <w:rPr>
                <w:rFonts w:ascii="Arial" w:hAnsi="Arial"/>
                <w:b/>
                <w:color w:val="000000"/>
                <w:sz w:val="16"/>
              </w:rPr>
            </w:pPr>
            <w:r>
              <w:rPr>
                <w:rFonts w:ascii="Arial" w:hAnsi="Arial"/>
                <w:b/>
                <w:color w:val="000000"/>
                <w:sz w:val="16"/>
              </w:rPr>
              <w:t>Identification No.)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141 Tremont St #10</w:t>
            </w:r>
          </w:p>
          <w:p>
            <w:pPr>
              <w:pStyle w:val="TableContents"/>
              <w:bidi w:val="0"/>
              <w:spacing w:before="0" w:after="20"/>
              <w:jc w:val="center"/>
              <w:rPr>
                <w:rFonts w:ascii="Arial" w:hAnsi="Arial"/>
                <w:b/>
                <w:color w:val="000000"/>
                <w:sz w:val="18"/>
              </w:rPr>
            </w:pPr>
            <w:r>
              <w:rPr>
                <w:rFonts w:ascii="Arial" w:hAnsi="Arial"/>
                <w:b/>
                <w:color w:val="000000"/>
                <w:sz w:val="18"/>
              </w:rPr>
              <w:t>Boston, MA</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02111</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120" w:after="283"/>
        <w:jc w:val="center"/>
        <w:rPr>
          <w:rFonts w:ascii="Times New Roman" w:hAnsi="Times New Roman"/>
          <w:sz w:val="20"/>
        </w:rPr>
      </w:pPr>
      <w:r>
        <w:rPr>
          <w:rFonts w:ascii="Arial" w:hAnsi="Arial"/>
          <w:b/>
          <w:color w:val="000000"/>
          <w:sz w:val="18"/>
        </w:rPr>
        <w:t>Registrant’s telephone number, including area code: (617) 329-4524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tbl>
      <w:tblPr>
        <w:tblW w:w="8118" w:type="dxa"/>
        <w:jc w:val="left"/>
        <w:tblInd w:w="0" w:type="dxa"/>
        <w:tblLayout w:type="fixed"/>
        <w:tblCellMar>
          <w:top w:w="28" w:type="dxa"/>
          <w:left w:w="28" w:type="dxa"/>
          <w:bottom w:w="28" w:type="dxa"/>
          <w:right w:w="28" w:type="dxa"/>
        </w:tblCellMar>
      </w:tblPr>
      <w:tblGrid>
        <w:gridCol w:w="4456"/>
        <w:gridCol w:w="916"/>
        <w:gridCol w:w="2746"/>
      </w:tblGrid>
      <w:tr>
        <w:trPr/>
        <w:tc>
          <w:tcPr>
            <w:tcW w:w="44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91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274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Name of each exchange</w:t>
            </w:r>
          </w:p>
          <w:p>
            <w:pPr>
              <w:pStyle w:val="TableContents"/>
              <w:bidi w:val="0"/>
              <w:spacing w:before="0" w:after="283"/>
              <w:jc w:val="center"/>
              <w:rPr>
                <w:rFonts w:ascii="Arial" w:hAnsi="Arial"/>
                <w:b/>
                <w:color w:val="000000"/>
                <w:sz w:val="16"/>
              </w:rPr>
            </w:pPr>
            <w:r>
              <w:rPr>
                <w:rFonts w:ascii="Arial" w:hAnsi="Arial"/>
                <w:b/>
                <w:color w:val="000000"/>
                <w:sz w:val="16"/>
              </w:rPr>
              <w:t>on which registered</w:t>
            </w:r>
          </w:p>
        </w:tc>
      </w:tr>
      <w:tr>
        <w:trPr/>
        <w:tc>
          <w:tcPr>
            <w:tcW w:w="44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Voting common stock, $0.0001 par value per share</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FLYW</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br/>
              <w:t>(Nasdaq Global Select Market)</w:t>
            </w:r>
          </w:p>
        </w:tc>
      </w:tr>
    </w:tbl>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As of July 31, 2026, the registrant had 121,667,674</w:t>
      </w:r>
      <w:r>
        <w:rPr>
          <w:rFonts w:ascii="Times New Roman" w:hAnsi="Times New Roman"/>
          <w:color w:val="000000"/>
          <w:sz w:val="20"/>
        </w:rPr>
        <w:t xml:space="preserve"> </w:t>
      </w:r>
      <w:r>
        <w:rPr>
          <w:rFonts w:ascii="Arial" w:hAnsi="Arial"/>
          <w:color w:val="000000"/>
          <w:sz w:val="18"/>
        </w:rPr>
        <w:t>shares of voting common stock, $0.0001 par value per share, outstanding and 0</w:t>
      </w:r>
      <w:r>
        <w:rPr>
          <w:rFonts w:ascii="Times New Roman" w:hAnsi="Times New Roman"/>
          <w:color w:val="000000"/>
          <w:sz w:val="20"/>
        </w:rPr>
        <w:t xml:space="preserve"> </w:t>
      </w:r>
      <w:r>
        <w:rPr>
          <w:rFonts w:ascii="Arial" w:hAnsi="Arial"/>
          <w:color w:val="000000"/>
          <w:sz w:val="18"/>
        </w:rPr>
        <w:t>shares of non-voting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Arial" w:hAnsi="Arial"/>
          <w:b/>
          <w:color w:val="000000"/>
          <w:sz w:val="20"/>
        </w:rPr>
      </w:pPr>
      <w:bookmarkStart w:id="2" w:name="toc_page"/>
      <w:bookmarkEnd w:id="2"/>
      <w:r>
        <w:rPr>
          <w:rFonts w:ascii="Arial" w:hAnsi="Arial"/>
          <w:b/>
          <w:color w:val="000000"/>
          <w:sz w:val="20"/>
        </w:rPr>
        <w:t>Table of Contents</w:t>
      </w:r>
    </w:p>
    <w:tbl>
      <w:tblPr>
        <w:tblW w:w="9732" w:type="dxa"/>
        <w:jc w:val="left"/>
        <w:tblInd w:w="0" w:type="dxa"/>
        <w:tblLayout w:type="fixed"/>
        <w:tblCellMar>
          <w:top w:w="28" w:type="dxa"/>
          <w:left w:w="28" w:type="dxa"/>
          <w:bottom w:w="28" w:type="dxa"/>
          <w:right w:w="28" w:type="dxa"/>
        </w:tblCellMar>
      </w:tblPr>
      <w:tblGrid>
        <w:gridCol w:w="1270"/>
        <w:gridCol w:w="7846"/>
        <w:gridCol w:w="616"/>
      </w:tblGrid>
      <w:tr>
        <w:trPr/>
        <w:tc>
          <w:tcPr>
            <w:tcW w:w="1270"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
              <w:r>
                <w:rPr>
                  <w:rStyle w:val="InternetLink"/>
                  <w:rFonts w:ascii="Arial" w:hAnsi="Arial"/>
                  <w:color w:val="0000FF"/>
                  <w:sz w:val="20"/>
                  <w:u w:val="single"/>
                </w:rPr>
                <w:t>Special Note Regarding Forward-Looking Statements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80"/>
                  <w:sz w:val="20"/>
                  <w:u w:val="single"/>
                </w:rPr>
                <w:t>PART I</w:t>
              </w:r>
            </w:hyperlink>
            <w:r>
              <w:rPr>
                <w:rFonts w:ascii="Arial" w:hAnsi="Arial"/>
                <w:b/>
                <w:color w:val="0000FF"/>
                <w:sz w:val="20"/>
                <w:u w:val="single"/>
              </w:rPr>
              <w:t>.</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Item 1.</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Arial" w:hAnsi="Arial"/>
                  <w:color w:val="0000FF"/>
                  <w:sz w:val="20"/>
                  <w:u w:val="single"/>
                </w:rPr>
                <w:t>Condensed Consolidated Balance Sheets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operations">
              <w:r>
                <w:rPr>
                  <w:rStyle w:val="InternetLink"/>
                  <w:rFonts w:ascii="Arial" w:hAnsi="Arial"/>
                  <w:color w:val="0000FF"/>
                  <w:sz w:val="20"/>
                  <w:u w:val="single"/>
                </w:rPr>
                <w:t>Condensed Consolidated Statements of Operations and Comprehensive (Loss) Income</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tockholders_deficit">
              <w:r>
                <w:rPr>
                  <w:rStyle w:val="InternetLink"/>
                  <w:rFonts w:ascii="Arial" w:hAnsi="Arial"/>
                  <w:color w:val="0000FF"/>
                  <w:sz w:val="20"/>
                  <w:u w:val="single"/>
                </w:rPr>
                <w:t>Condensed Consolidated Statements of Stockholders’ Equity</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ash_flows">
              <w:r>
                <w:rPr>
                  <w:rStyle w:val="InternetLink"/>
                  <w:rFonts w:ascii="Arial" w:hAnsi="Arial"/>
                  <w:color w:val="0000FF"/>
                  <w:sz w:val="20"/>
                  <w:u w:val="single"/>
                </w:rPr>
                <w:t>Condensed Consolidated Statements of Cash Flows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s_to_condensed">
              <w:r>
                <w:rPr>
                  <w:rStyle w:val="InternetLink"/>
                  <w:rFonts w:ascii="Arial" w:hAnsi="Arial"/>
                  <w:color w:val="0000FF"/>
                  <w:sz w:val="20"/>
                  <w:u w:val="single"/>
                </w:rPr>
                <w:t>Notes to Condensed Consolidated Financial Statements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
              <w:r>
                <w:rPr>
                  <w:rStyle w:val="InternetLink"/>
                  <w:rFonts w:ascii="Arial" w:hAnsi="Arial"/>
                  <w:color w:val="0000FF"/>
                  <w:sz w:val="20"/>
                  <w:u w:val="single"/>
                </w:rPr>
                <w:t>Note 1. Business Overview and Summary of Significant Accounting Policies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2">
              <w:r>
                <w:rPr>
                  <w:rStyle w:val="InternetLink"/>
                  <w:rFonts w:ascii="Arial" w:hAnsi="Arial"/>
                  <w:color w:val="0000FF"/>
                  <w:sz w:val="20"/>
                  <w:u w:val="single"/>
                </w:rPr>
                <w:t>Note 2. Revenue and Recognition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3_segmentinformation">
              <w:r>
                <w:rPr>
                  <w:rStyle w:val="InternetLink"/>
                  <w:rFonts w:ascii="Arial" w:hAnsi="Arial"/>
                  <w:color w:val="0000FF"/>
                  <w:sz w:val="20"/>
                  <w:u w:val="single"/>
                </w:rPr>
                <w:t>Note 3. Segment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3_investments">
              <w:r>
                <w:rPr>
                  <w:rStyle w:val="InternetLink"/>
                  <w:rFonts w:ascii="Arial" w:hAnsi="Arial"/>
                  <w:color w:val="0000FF"/>
                  <w:sz w:val="20"/>
                  <w:u w:val="single"/>
                </w:rPr>
                <w:t>Note 4. Investments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4">
              <w:r>
                <w:rPr>
                  <w:rStyle w:val="InternetLink"/>
                  <w:rFonts w:ascii="Arial" w:hAnsi="Arial"/>
                  <w:color w:val="0000FF"/>
                  <w:sz w:val="20"/>
                  <w:u w:val="single"/>
                </w:rPr>
                <w:t>Note 5. Fair Value Measurements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hyperlink w:anchor="note_5">
              <w:r>
                <w:rPr>
                  <w:rStyle w:val="InternetLink"/>
                  <w:rFonts w:ascii="Arial" w:hAnsi="Arial"/>
                  <w:color w:val="0000FF"/>
                  <w:sz w:val="20"/>
                  <w:u w:val="single"/>
                </w:rPr>
                <w:t>Note 6. Derivative Instruments</w:t>
              </w:r>
            </w:hyperlink>
            <w:hyperlink w:anchor="note_5">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6">
              <w:r>
                <w:rPr>
                  <w:rStyle w:val="InternetLink"/>
                  <w:rFonts w:ascii="Arial" w:hAnsi="Arial"/>
                  <w:color w:val="0000FF"/>
                  <w:sz w:val="20"/>
                  <w:u w:val="single"/>
                </w:rPr>
                <w:t>Note 7. Accrued Expenses and Other Current Liabilities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7">
              <w:r>
                <w:rPr>
                  <w:rStyle w:val="InternetLink"/>
                  <w:rFonts w:ascii="Arial" w:hAnsi="Arial"/>
                  <w:color w:val="0000FF"/>
                  <w:sz w:val="20"/>
                  <w:u w:val="single"/>
                </w:rPr>
                <w:t>Note 8. Property and Equipment, net</w:t>
              </w:r>
            </w:hyperlink>
            <w:hyperlink w:anchor="note_7">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9_restructuring">
              <w:r>
                <w:rPr>
                  <w:rStyle w:val="InternetLink"/>
                  <w:rFonts w:ascii="Arial" w:hAnsi="Arial"/>
                  <w:color w:val="0000FF"/>
                  <w:sz w:val="20"/>
                  <w:u w:val="single"/>
                </w:rPr>
                <w:t>Note 9. Restructuring</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8">
              <w:r>
                <w:rPr>
                  <w:rStyle w:val="InternetLink"/>
                  <w:rFonts w:ascii="Arial" w:hAnsi="Arial"/>
                  <w:color w:val="0000FF"/>
                  <w:sz w:val="20"/>
                  <w:u w:val="single"/>
                </w:rPr>
                <w:t>Note 10. Business Combinations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9">
              <w:r>
                <w:rPr>
                  <w:rStyle w:val="InternetLink"/>
                  <w:rFonts w:ascii="Arial" w:hAnsi="Arial"/>
                  <w:color w:val="0000FF"/>
                  <w:sz w:val="20"/>
                  <w:u w:val="single"/>
                </w:rPr>
                <w:t>Note 11. Goodwill and Acquired Intangible Assets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0">
              <w:r>
                <w:rPr>
                  <w:rStyle w:val="InternetLink"/>
                  <w:rFonts w:ascii="Arial" w:hAnsi="Arial"/>
                  <w:color w:val="0000FF"/>
                  <w:sz w:val="20"/>
                  <w:u w:val="single"/>
                </w:rPr>
                <w:t>Note 12. Debt</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note_11">
              <w:r>
                <w:rPr>
                  <w:rStyle w:val="InternetLink"/>
                  <w:rFonts w:ascii="Arial" w:hAnsi="Arial"/>
                  <w:color w:val="0000FF"/>
                  <w:sz w:val="20"/>
                  <w:u w:val="single"/>
                </w:rPr>
                <w:t>Note 13. Stockholders’ Equity</w:t>
              </w:r>
            </w:hyperlink>
            <w:hyperlink w:anchor="note_11">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20</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2">
              <w:r>
                <w:rPr>
                  <w:rStyle w:val="InternetLink"/>
                  <w:rFonts w:ascii="Arial" w:hAnsi="Arial"/>
                  <w:color w:val="0000FF"/>
                  <w:sz w:val="20"/>
                  <w:u w:val="single"/>
                </w:rPr>
                <w:t>Note 14. Stock-Based Compensation</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note_13">
              <w:r>
                <w:rPr>
                  <w:rStyle w:val="InternetLink"/>
                  <w:rFonts w:ascii="Arial" w:hAnsi="Arial"/>
                  <w:color w:val="0000FF"/>
                  <w:sz w:val="20"/>
                  <w:u w:val="single"/>
                </w:rPr>
                <w:t>Note 15. Net (Loss) Income per Share</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hyperlink w:anchor="note_14">
              <w:r>
                <w:rPr>
                  <w:rStyle w:val="InternetLink"/>
                  <w:rFonts w:ascii="Arial" w:hAnsi="Arial"/>
                  <w:color w:val="0000FF"/>
                  <w:sz w:val="20"/>
                  <w:u w:val="single"/>
                </w:rPr>
                <w:t>Note 16. Income Taxes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6">
              <w:r>
                <w:rPr>
                  <w:rStyle w:val="InternetLink"/>
                  <w:rFonts w:ascii="Arial" w:hAnsi="Arial"/>
                  <w:color w:val="0000FF"/>
                  <w:sz w:val="20"/>
                  <w:u w:val="single"/>
                </w:rPr>
                <w:t>Note 17. Commitments and Contingencies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Arial" w:hAnsi="Arial"/>
                  <w:color w:val="0000FF"/>
                  <w:sz w:val="20"/>
                  <w:u w:val="single"/>
                </w:rPr>
                <w:t>Item 2.</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Arial" w:hAnsi="Arial"/>
                  <w:color w:val="0000FF"/>
                  <w:sz w:val="20"/>
                  <w:u w:val="single"/>
                </w:rPr>
                <w:t>Management’s Discussion and Analysis of Financial Condition and Results of Operations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Arial" w:hAnsi="Arial"/>
                  <w:color w:val="0000FF"/>
                  <w:sz w:val="20"/>
                  <w:u w:val="single"/>
                </w:rPr>
                <w:t>Item 3.</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Arial" w:hAnsi="Arial"/>
                  <w:color w:val="0000FF"/>
                  <w:sz w:val="20"/>
                  <w:u w:val="single"/>
                </w:rPr>
                <w:t>Quantitative and Qualitative Disclosures About Market Risk</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FF"/>
                  <w:sz w:val="20"/>
                  <w:u w:val="single"/>
                </w:rPr>
                <w:t>Item 4.</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FF"/>
                  <w:sz w:val="20"/>
                  <w:u w:val="single"/>
                </w:rPr>
                <w:t>Controls and Procedures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
              <w:r>
                <w:rPr>
                  <w:rStyle w:val="InternetLink"/>
                  <w:rFonts w:ascii="Arial" w:hAnsi="Arial"/>
                  <w:color w:val="0000FF"/>
                  <w:sz w:val="20"/>
                  <w:u w:val="single"/>
                </w:rPr>
                <w:t>PART II.</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
              <w:r>
                <w:rPr>
                  <w:rStyle w:val="InternetLink"/>
                  <w:rFonts w:ascii="Arial" w:hAnsi="Arial"/>
                  <w:color w:val="0000FF"/>
                  <w:sz w:val="20"/>
                  <w:u w:val="single"/>
                </w:rPr>
                <w:t>OTHER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Arial" w:hAnsi="Arial"/>
                  <w:color w:val="0000FF"/>
                  <w:sz w:val="20"/>
                  <w:u w:val="single"/>
                </w:rPr>
                <w:t>Item 1.</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Arial" w:hAnsi="Arial"/>
                  <w:color w:val="0000FF"/>
                  <w:sz w:val="20"/>
                  <w:u w:val="single"/>
                </w:rPr>
                <w:t>Legal Proceedings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FF"/>
                  <w:sz w:val="20"/>
                  <w:u w:val="single"/>
                </w:rPr>
                <w:t>Item 1A.</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FF"/>
                  <w:sz w:val="20"/>
                  <w:u w:val="single"/>
                </w:rPr>
                <w:t>Risk Factors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Arial" w:hAnsi="Arial"/>
                  <w:color w:val="0000FF"/>
                  <w:sz w:val="20"/>
                  <w:u w:val="single"/>
                </w:rPr>
                <w:t>Item 2.</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Arial" w:hAnsi="Arial"/>
                  <w:color w:val="0000FF"/>
                  <w:sz w:val="20"/>
                  <w:u w:val="single"/>
                </w:rPr>
                <w:t>Unregistered Sales of Equity Securities and Use of Proceeds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FF"/>
                  <w:sz w:val="20"/>
                  <w:u w:val="single"/>
                </w:rPr>
                <w:t>Item 3.</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FF"/>
                  <w:sz w:val="20"/>
                  <w:u w:val="single"/>
                </w:rPr>
                <w:t>Defaults Upon Senior Securities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Arial" w:hAnsi="Arial"/>
                  <w:color w:val="0000FF"/>
                  <w:sz w:val="20"/>
                  <w:u w:val="single"/>
                </w:rPr>
                <w:t>Item 4.</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Arial" w:hAnsi="Arial"/>
                  <w:color w:val="0000FF"/>
                  <w:sz w:val="20"/>
                  <w:u w:val="single"/>
                </w:rPr>
                <w:t>Mine Safety Disclosures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FF"/>
                  <w:sz w:val="20"/>
                  <w:u w:val="single"/>
                </w:rPr>
                <w:t>Item 5.</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FF"/>
                  <w:sz w:val="20"/>
                  <w:u w:val="single"/>
                </w:rPr>
                <w:t>Other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Item 6</w:t>
              </w:r>
            </w:hyperlink>
            <w:r>
              <w:rPr>
                <w:rFonts w:ascii="Arial" w:hAnsi="Arial"/>
                <w:color w:val="000000"/>
                <w:sz w:val="20"/>
              </w:rPr>
              <w:t>.</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9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r>
    </w:tbl>
    <w:p>
      <w:pPr>
        <w:pStyle w:val="TextBody"/>
        <w:bidi w:val="0"/>
        <w:jc w:val="left"/>
        <w:rPr/>
      </w:pPr>
      <w:r>
        <w:rPr/>
        <w:t> </w:t>
      </w:r>
    </w:p>
    <w:p>
      <w:pPr>
        <w:pStyle w:val="TextBody"/>
        <w:bidi w:val="0"/>
        <w:spacing w:before="0" w:after="20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center"/>
        <w:rPr>
          <w:rFonts w:ascii="Arial" w:hAnsi="Arial"/>
          <w:b/>
          <w:color w:val="000000"/>
          <w:sz w:val="20"/>
        </w:rPr>
      </w:pPr>
      <w:bookmarkStart w:id="3" w:name="special_note_regarding"/>
      <w:bookmarkEnd w:id="3"/>
      <w:r>
        <w:rPr>
          <w:rFonts w:ascii="Arial" w:hAnsi="Arial"/>
          <w:b/>
          <w:color w:val="000000"/>
          <w:sz w:val="20"/>
        </w:rPr>
        <w:t>SPECIAL NOTE REGARDING FORWARD-LOOKING STATEMENTS</w:t>
      </w:r>
    </w:p>
    <w:p>
      <w:pPr>
        <w:pStyle w:val="TextBody"/>
        <w:bidi w:val="0"/>
        <w:spacing w:before="0" w:after="200"/>
        <w:jc w:val="left"/>
        <w:rPr>
          <w:rFonts w:ascii="Arial" w:hAnsi="Arial"/>
          <w:color w:val="000000"/>
          <w:sz w:val="20"/>
        </w:rPr>
      </w:pPr>
      <w:r>
        <w:rPr>
          <w:rFonts w:ascii="Arial" w:hAnsi="Arial"/>
          <w:color w:val="000000"/>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plan and 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cross-border expansion plans and ability to expand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anticipated trends, growth rates, and challenges in our business and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and ability to access, our cash and cash equivalents to meet our liquidity needs;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economic, foreign currency exchange rate, inflation, tariffs and international trade conflict, banking,</w:t>
        <w:br/>
        <w:t>legal, immigration and visa, social and health risks and public health measures that may affect cross-border commerce, education and travel, our business or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beliefs and objectives for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enhance and protect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and grow the payment volume that we process;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further attract, retain, and expand our client base;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develop new solutions and services and bring them to market in a timely and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concerning relationships with third parties, including financial institutions and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effects of increased competition in our markets and our ability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recent and future acquisitions or investments in complementary companies, products, services, or technologies, including the expected benefits and synergies of the acquisition of Sertifi LLC (Sertifi), including the potential benefits of Sertifi’s platform, financial results and margins;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enter new client verticals and sub-verticals, including our relatively new business-to-business (B2B) sector;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anticipated technology needs and developments and our ability to address those needs and developments with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litigation and legal and regulatory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our ability to meet existing performance obligations and maintain the operability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and industry trends, projected growth, or trend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effects of global events and geopolitical conflict, including without limitation the hostilities in Ukraine and involving Israel, Hamas, the U.S. and Iran;</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changes in U.S. federal income or other tax laws or the interpretation of tax laws, including without limitation the Inflation Reduction Act of 2022 and The One Big Beautiful Bill Act of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and retain qualified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protect, and enhance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the security and availability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successfully execute initiatives intended to improve our internal systems and processes to allow us to scale for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increased expenses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future market price of our common stock.</w:t>
      </w:r>
    </w:p>
    <w:p>
      <w:pPr>
        <w:pStyle w:val="TextBody"/>
        <w:bidi w:val="0"/>
        <w:spacing w:before="200" w:after="200"/>
        <w:jc w:val="left"/>
        <w:rPr>
          <w:rFonts w:ascii="Arial" w:hAnsi="Arial"/>
          <w:color w:val="000000"/>
          <w:sz w:val="20"/>
        </w:rPr>
      </w:pPr>
      <w:r>
        <w:rPr>
          <w:rFonts w:ascii="Arial" w:hAnsi="Arial"/>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0" w:after="200"/>
        <w:jc w:val="left"/>
        <w:rPr>
          <w:rFonts w:ascii="Arial" w:hAnsi="Arial"/>
          <w:color w:val="000000"/>
          <w:sz w:val="20"/>
        </w:rPr>
      </w:pPr>
      <w:r>
        <w:rPr>
          <w:rFonts w:ascii="Arial" w:hAnsi="Arial"/>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jc w:val="left"/>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00" w:after="283"/>
        <w:jc w:val="left"/>
        <w:rPr>
          <w:rFonts w:ascii="Arial" w:hAnsi="Arial"/>
          <w:color w:val="000000"/>
          <w:sz w:val="20"/>
        </w:rPr>
      </w:pPr>
      <w:r>
        <w:rPr>
          <w:rFonts w:ascii="Arial" w:hAnsi="Arial"/>
          <w:color w:val="000000"/>
          <w:sz w:val="20"/>
        </w:rPr>
        <w:t>Unless otherwise noted or unless the context provides otherwise, all references in this Quarterly Report on Form 10-Q to our “common stock” refer to our voting common stock.</w:t>
      </w:r>
    </w:p>
    <w:p>
      <w:pPr>
        <w:pStyle w:val="TextBody"/>
        <w:bidi w:val="0"/>
        <w:spacing w:before="200" w:after="200"/>
        <w:jc w:val="left"/>
        <w:rPr>
          <w:rFonts w:ascii="Arial" w:hAnsi="Arial"/>
          <w:color w:val="000000"/>
          <w:sz w:val="20"/>
        </w:rPr>
      </w:pPr>
      <w:r>
        <w:rPr>
          <w:rFonts w:ascii="Arial" w:hAnsi="Arial"/>
          <w:color w:val="000000"/>
          <w:sz w:val="20"/>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4" w:name="part_i_financial_information"/>
      <w:bookmarkEnd w:id="4"/>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5" w:name="item_1_financial_statements"/>
      <w:bookmarkEnd w:id="5"/>
      <w:r>
        <w:rPr>
          <w:rFonts w:ascii="Arial" w:hAnsi="Arial"/>
          <w:b/>
          <w:color w:val="000000"/>
          <w:sz w:val="20"/>
        </w:rPr>
        <w:t>Item 1. Financial Statements</w:t>
      </w:r>
    </w:p>
    <w:p>
      <w:pPr>
        <w:pStyle w:val="TextBody"/>
        <w:bidi w:val="0"/>
        <w:spacing w:before="120" w:after="283"/>
        <w:jc w:val="center"/>
        <w:rPr>
          <w:rFonts w:ascii="Arial" w:hAnsi="Arial"/>
          <w:b/>
          <w:color w:val="000000"/>
          <w:sz w:val="20"/>
        </w:rPr>
      </w:pPr>
      <w:r>
        <w:rPr>
          <w:rFonts w:ascii="Arial" w:hAnsi="Arial"/>
          <w:b/>
          <w:color w:val="000000"/>
          <w:sz w:val="20"/>
        </w:rPr>
        <w:t>FLYWIRE CORPORATION</w:t>
      </w:r>
    </w:p>
    <w:p>
      <w:pPr>
        <w:pStyle w:val="TextBody"/>
        <w:bidi w:val="0"/>
        <w:jc w:val="center"/>
        <w:rPr>
          <w:rFonts w:ascii="Arial" w:hAnsi="Arial"/>
          <w:b/>
          <w:color w:val="000000"/>
          <w:sz w:val="20"/>
        </w:rPr>
      </w:pPr>
      <w:bookmarkStart w:id="6" w:name="condensed_balance_sheets"/>
      <w:bookmarkEnd w:id="6"/>
      <w:r>
        <w:rPr>
          <w:rFonts w:ascii="Arial" w:hAnsi="Arial"/>
          <w:b/>
          <w:color w:val="000000"/>
          <w:sz w:val="20"/>
        </w:rPr>
        <w:t>CONDENSED CONSOLIDATED BALANCE SHEETS</w:t>
      </w:r>
    </w:p>
    <w:p>
      <w:pPr>
        <w:pStyle w:val="TextBody"/>
        <w:bidi w:val="0"/>
        <w:spacing w:before="0" w:after="200"/>
        <w:jc w:val="center"/>
        <w:rPr>
          <w:rFonts w:ascii="Arial" w:hAnsi="Arial"/>
          <w:color w:val="000000"/>
          <w:sz w:val="20"/>
        </w:rPr>
      </w:pPr>
      <w:r>
        <w:rPr>
          <w:rFonts w:ascii="Arial" w:hAnsi="Arial"/>
          <w:color w:val="000000"/>
          <w:sz w:val="20"/>
        </w:rPr>
        <w:t>(Unaudited) (Amounts in thousands, except par value per share and share amounts)</w:t>
      </w:r>
    </w:p>
    <w:tbl>
      <w:tblPr>
        <w:tblW w:w="10205" w:type="dxa"/>
        <w:jc w:val="left"/>
        <w:tblInd w:w="0" w:type="dxa"/>
        <w:tblLayout w:type="fixed"/>
        <w:tblCellMar>
          <w:top w:w="28" w:type="dxa"/>
          <w:left w:w="28" w:type="dxa"/>
          <w:bottom w:w="28" w:type="dxa"/>
          <w:right w:w="28" w:type="dxa"/>
        </w:tblCellMar>
      </w:tblPr>
      <w:tblGrid>
        <w:gridCol w:w="7268"/>
        <w:gridCol w:w="346"/>
        <w:gridCol w:w="933"/>
        <w:gridCol w:w="146"/>
        <w:gridCol w:w="229"/>
        <w:gridCol w:w="1283"/>
      </w:tblGrid>
      <w:tr>
        <w:trPr/>
        <w:tc>
          <w:tcPr>
            <w:tcW w:w="72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330,303</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24,692</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Accounts receivable, net of allowance of $1,316</w:t>
            </w:r>
            <w:r>
              <w:rPr>
                <w:rFonts w:ascii="Times New Roman" w:hAnsi="Times New Roman"/>
                <w:color w:val="000000"/>
                <w:sz w:val="20"/>
              </w:rPr>
              <w:t> </w:t>
            </w:r>
            <w:r>
              <w:rPr>
                <w:rFonts w:ascii="Arial" w:hAnsi="Arial"/>
                <w:color w:val="000000"/>
                <w:sz w:val="18"/>
              </w:rPr>
              <w:t>and $834,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34,776</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Unbilled receivables, net of allowance of $45</w:t>
            </w:r>
            <w:r>
              <w:rPr>
                <w:rFonts w:ascii="Times New Roman" w:hAnsi="Times New Roman"/>
                <w:color w:val="000000"/>
                <w:sz w:val="20"/>
              </w:rPr>
              <w:t> </w:t>
            </w:r>
            <w:r>
              <w:rPr>
                <w:rFonts w:ascii="Arial" w:hAnsi="Arial"/>
                <w:color w:val="000000"/>
                <w:sz w:val="18"/>
              </w:rPr>
              <w:t>and $45,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20,522</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receivable from payment partners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155,455</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36,540</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602,288</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22,125</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189,050</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406,507</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33,343</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assets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1,253,313</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15,298</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Funds payable to clients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310,799</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55,715</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19,951</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401,763</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12,900</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418,142</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10,000,000</w:t>
            </w:r>
            <w:r>
              <w:rPr>
                <w:rFonts w:ascii="Times New Roman" w:hAnsi="Times New Roman"/>
                <w:color w:val="000000"/>
                <w:sz w:val="20"/>
              </w:rPr>
              <w:t> </w:t>
            </w:r>
            <w:r>
              <w:rPr>
                <w:rFonts w:ascii="Arial" w:hAnsi="Arial"/>
                <w:color w:val="000000"/>
                <w:sz w:val="18"/>
              </w:rPr>
              <w:t>shares authorized, none</w:t>
            </w:r>
            <w:r>
              <w:rPr>
                <w:rFonts w:ascii="Times New Roman" w:hAnsi="Times New Roman"/>
                <w:color w:val="000000"/>
                <w:sz w:val="20"/>
              </w:rPr>
              <w:t> </w:t>
            </w:r>
            <w:r>
              <w:rPr>
                <w:rFonts w:ascii="Arial" w:hAnsi="Arial"/>
                <w:color w:val="000000"/>
                <w:sz w:val="18"/>
              </w:rPr>
              <w:t>issued and outstanding as of June 30, 2026 and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Voting common stock, $0.0001</w:t>
            </w:r>
            <w:r>
              <w:rPr>
                <w:rFonts w:ascii="Times New Roman" w:hAnsi="Times New Roman"/>
                <w:color w:val="000000"/>
                <w:sz w:val="20"/>
              </w:rPr>
              <w:t> </w:t>
            </w:r>
            <w:r>
              <w:rPr>
                <w:rFonts w:ascii="Arial" w:hAnsi="Arial"/>
                <w:color w:val="000000"/>
                <w:sz w:val="18"/>
              </w:rPr>
              <w:t>par value; 2,000,000,000</w:t>
            </w:r>
            <w:r>
              <w:rPr>
                <w:rFonts w:ascii="Times New Roman" w:hAnsi="Times New Roman"/>
                <w:color w:val="000000"/>
                <w:sz w:val="20"/>
              </w:rPr>
              <w:t> </w:t>
            </w:r>
            <w:r>
              <w:rPr>
                <w:rFonts w:ascii="Arial" w:hAnsi="Arial"/>
                <w:color w:val="000000"/>
                <w:sz w:val="18"/>
              </w:rPr>
              <w:t>shares authorized, 133,968,610</w:t>
            </w:r>
            <w:r>
              <w:rPr>
                <w:rFonts w:ascii="Times New Roman" w:hAnsi="Times New Roman"/>
                <w:color w:val="000000"/>
                <w:sz w:val="20"/>
              </w:rPr>
              <w:t> </w:t>
            </w:r>
            <w:r>
              <w:rPr>
                <w:rFonts w:ascii="Arial" w:hAnsi="Arial"/>
                <w:color w:val="000000"/>
                <w:sz w:val="18"/>
              </w:rPr>
              <w:t>shares issued and 121,609,147</w:t>
            </w:r>
            <w:r>
              <w:rPr>
                <w:rFonts w:ascii="Times New Roman" w:hAnsi="Times New Roman"/>
                <w:color w:val="000000"/>
                <w:sz w:val="20"/>
              </w:rPr>
              <w:t> </w:t>
            </w:r>
            <w:r>
              <w:rPr>
                <w:rFonts w:ascii="Arial" w:hAnsi="Arial"/>
                <w:color w:val="000000"/>
                <w:sz w:val="18"/>
              </w:rPr>
              <w:t>shares outstanding as of June 30, 2026; 130,335,519</w:t>
            </w:r>
            <w:r>
              <w:rPr>
                <w:rFonts w:ascii="Times New Roman" w:hAnsi="Times New Roman"/>
                <w:color w:val="000000"/>
                <w:sz w:val="20"/>
              </w:rPr>
              <w:t> </w:t>
            </w:r>
            <w:r>
              <w:rPr>
                <w:rFonts w:ascii="Arial" w:hAnsi="Arial"/>
                <w:color w:val="000000"/>
                <w:sz w:val="18"/>
              </w:rPr>
              <w:t>shares issued and 120,086,090</w:t>
            </w:r>
            <w:r>
              <w:rPr>
                <w:rFonts w:ascii="Times New Roman" w:hAnsi="Times New Roman"/>
                <w:color w:val="000000"/>
                <w:sz w:val="20"/>
              </w:rPr>
              <w:t> </w:t>
            </w:r>
            <w:r>
              <w:rPr>
                <w:rFonts w:ascii="Arial" w:hAnsi="Arial"/>
                <w:color w:val="000000"/>
                <w:sz w:val="18"/>
              </w:rPr>
              <w:t>shares outstanding as of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Non-voting common stock, $0.0001</w:t>
            </w:r>
            <w:r>
              <w:rPr>
                <w:rFonts w:ascii="Times New Roman" w:hAnsi="Times New Roman"/>
                <w:color w:val="000000"/>
                <w:sz w:val="20"/>
              </w:rPr>
              <w:t> </w:t>
            </w:r>
            <w:r>
              <w:rPr>
                <w:rFonts w:ascii="Arial" w:hAnsi="Arial"/>
                <w:color w:val="000000"/>
                <w:sz w:val="18"/>
              </w:rPr>
              <w:t>par value; 10,000,000</w:t>
            </w:r>
            <w:r>
              <w:rPr>
                <w:rFonts w:ascii="Times New Roman" w:hAnsi="Times New Roman"/>
                <w:color w:val="000000"/>
                <w:sz w:val="20"/>
              </w:rPr>
              <w:t> </w:t>
            </w:r>
            <w:r>
              <w:rPr>
                <w:rFonts w:ascii="Arial" w:hAnsi="Arial"/>
                <w:color w:val="000000"/>
                <w:sz w:val="18"/>
              </w:rPr>
              <w:t>shares authorized, none</w:t>
            </w:r>
            <w:r>
              <w:rPr>
                <w:rFonts w:ascii="Times New Roman" w:hAnsi="Times New Roman"/>
                <w:color w:val="000000"/>
                <w:sz w:val="20"/>
              </w:rPr>
              <w:t> </w:t>
            </w:r>
            <w:r>
              <w:rPr>
                <w:rFonts w:ascii="Arial" w:hAnsi="Arial"/>
                <w:color w:val="000000"/>
                <w:sz w:val="18"/>
              </w:rPr>
              <w:t>issued and outstanding as of June 30, 2026, and 1,873,320</w:t>
            </w:r>
            <w:r>
              <w:rPr>
                <w:rFonts w:ascii="Times New Roman" w:hAnsi="Times New Roman"/>
                <w:color w:val="000000"/>
                <w:sz w:val="20"/>
              </w:rPr>
              <w:t> </w:t>
            </w:r>
            <w:r>
              <w:rPr>
                <w:rFonts w:ascii="Arial" w:hAnsi="Arial"/>
                <w:color w:val="000000"/>
                <w:sz w:val="18"/>
              </w:rPr>
              <w:t>shares issued and outstanding as of December 31, 2025,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Treasury voting common stock, at cost; 12,359,463</w:t>
            </w:r>
            <w:r>
              <w:rPr>
                <w:rFonts w:ascii="Times New Roman" w:hAnsi="Times New Roman"/>
                <w:color w:val="000000"/>
                <w:sz w:val="20"/>
              </w:rPr>
              <w:t> </w:t>
            </w:r>
            <w:r>
              <w:rPr>
                <w:rFonts w:ascii="Arial" w:hAnsi="Arial"/>
                <w:color w:val="000000"/>
                <w:sz w:val="18"/>
              </w:rPr>
              <w:t>and 10,249,429</w:t>
            </w:r>
            <w:r>
              <w:rPr>
                <w:rFonts w:ascii="Times New Roman" w:hAnsi="Times New Roman"/>
                <w:color w:val="000000"/>
                <w:sz w:val="20"/>
              </w:rPr>
              <w:t> </w:t>
            </w:r>
            <w:r>
              <w:rPr>
                <w:rFonts w:ascii="Arial" w:hAnsi="Arial"/>
                <w:color w:val="000000"/>
                <w:sz w:val="18"/>
              </w:rPr>
              <w:t>shares as of June 30, 2026 and December 31, 2025,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(118,636)</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Additional paid-in capital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1,108,679</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2,488</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deficit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(157,373)</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stockholders’ equity</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835,171</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liabilities and stockholders’ equity</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1,253,313</w:t>
            </w:r>
          </w:p>
        </w:tc>
      </w:tr>
    </w:tbl>
    <w:p>
      <w:pPr>
        <w:pStyle w:val="TextBody"/>
        <w:bidi w:val="0"/>
        <w:spacing w:before="200" w:after="200"/>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7" w:name="fin469729_52"/>
      <w:bookmarkEnd w:id="7"/>
      <w:r>
        <w:rPr>
          <w:rFonts w:ascii="Arial" w:hAnsi="Arial"/>
          <w:b/>
          <w:color w:val="000000"/>
          <w:sz w:val="20"/>
        </w:rPr>
        <w:t>FLYWIRE CORPORATION</w:t>
      </w:r>
    </w:p>
    <w:p>
      <w:pPr>
        <w:pStyle w:val="TextBody"/>
        <w:bidi w:val="0"/>
        <w:jc w:val="center"/>
        <w:rPr>
          <w:rFonts w:ascii="Arial" w:hAnsi="Arial"/>
          <w:b/>
          <w:color w:val="000000"/>
          <w:sz w:val="20"/>
        </w:rPr>
      </w:pPr>
      <w:bookmarkStart w:id="8" w:name="condensed_consolidated_operations"/>
      <w:bookmarkEnd w:id="8"/>
      <w:r>
        <w:rPr>
          <w:rFonts w:ascii="Arial" w:hAnsi="Arial"/>
          <w:b/>
          <w:color w:val="000000"/>
          <w:sz w:val="20"/>
        </w:rPr>
        <w:t>CONDENSED CONSOLIDATED STATEMENTS OF OPERATIONS AND COMPREHENSIVE (LOSS) INCOME</w:t>
      </w:r>
    </w:p>
    <w:p>
      <w:pPr>
        <w:pStyle w:val="TextBody"/>
        <w:bidi w:val="0"/>
        <w:spacing w:before="0" w:after="200"/>
        <w:jc w:val="center"/>
        <w:rPr>
          <w:rFonts w:ascii="Arial" w:hAnsi="Arial"/>
          <w:color w:val="000000"/>
          <w:sz w:val="20"/>
        </w:rPr>
      </w:pPr>
      <w:r>
        <w:rPr>
          <w:rFonts w:ascii="Arial" w:hAnsi="Arial"/>
          <w:color w:val="000000"/>
          <w:sz w:val="20"/>
        </w:rPr>
        <w:t>(Unaudited) (Amounts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314"/>
        <w:gridCol w:w="211"/>
        <w:gridCol w:w="1141"/>
        <w:gridCol w:w="146"/>
        <w:gridCol w:w="211"/>
        <w:gridCol w:w="1141"/>
        <w:gridCol w:w="146"/>
        <w:gridCol w:w="211"/>
        <w:gridCol w:w="1141"/>
        <w:gridCol w:w="146"/>
        <w:gridCol w:w="211"/>
        <w:gridCol w:w="1186"/>
      </w:tblGrid>
      <w:tr>
        <w:trPr/>
        <w:tc>
          <w:tcPr>
            <w:tcW w:w="4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265,343</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 processing services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104,450</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Technology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34,017</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74,946</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63,233</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Restructuring</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8,690</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285,336</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(Loss) income from operations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(19,993)</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(1,789)</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4,023</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from remeasurement of foreign currency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7,523</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available-for-sale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166</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9,923</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(10,070)</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6,097</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(loss)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 adjustment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9,332</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losses on available-for-sale debt securities, net of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(165)</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comprehensive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9,167</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Comprehensive (loss)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(7,000)</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common stockholders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per share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(0.13)</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per share attributable to common stockholders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(0.13)</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122,404,404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121,852,349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122,290,676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122,539,986</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122,404,404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121,852,349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128,361,845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122,539,986</w:t>
            </w:r>
          </w:p>
        </w:tc>
      </w:tr>
    </w:tbl>
    <w:p>
      <w:pPr>
        <w:pStyle w:val="TextBody"/>
        <w:bidi w:val="0"/>
        <w:spacing w:before="200" w:after="200"/>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9"/>
        </w:rPr>
      </w:pPr>
      <w:r>
        <w:rPr>
          <w:rFonts w:ascii="Arial" w:hAnsi="Arial"/>
          <w:b/>
          <w:color w:val="000000"/>
          <w:sz w:val="19"/>
        </w:rPr>
        <w:t>FLYWIRE CORPORATION</w:t>
      </w:r>
    </w:p>
    <w:p>
      <w:pPr>
        <w:pStyle w:val="TextBody"/>
        <w:bidi w:val="0"/>
        <w:jc w:val="center"/>
        <w:rPr>
          <w:rFonts w:ascii="Arial" w:hAnsi="Arial"/>
          <w:b/>
          <w:color w:val="000000"/>
          <w:sz w:val="19"/>
        </w:rPr>
      </w:pPr>
      <w:bookmarkStart w:id="9" w:name="statements_stockholders_deficit"/>
      <w:bookmarkEnd w:id="9"/>
      <w:r>
        <w:rPr>
          <w:rFonts w:ascii="Arial" w:hAnsi="Arial"/>
          <w:b/>
          <w:color w:val="000000"/>
          <w:sz w:val="19"/>
        </w:rPr>
        <w:t>CONDENSED CONSOLIDATED STATEMENTS OF STOCKHOLDERS’ EQUITY</w:t>
      </w:r>
    </w:p>
    <w:p>
      <w:pPr>
        <w:pStyle w:val="TextBody"/>
        <w:bidi w:val="0"/>
        <w:jc w:val="center"/>
        <w:rPr>
          <w:rFonts w:ascii="Arial" w:hAnsi="Arial"/>
          <w:color w:val="000000"/>
          <w:sz w:val="19"/>
        </w:rPr>
      </w:pPr>
      <w:r>
        <w:rPr>
          <w:rFonts w:ascii="Arial" w:hAnsi="Arial"/>
          <w:color w:val="000000"/>
          <w:sz w:val="19"/>
        </w:rPr>
        <w:t>(Unaudited) (Amounts in thousands, except share amounts)</w:t>
      </w:r>
    </w:p>
    <w:p>
      <w:pPr>
        <w:pStyle w:val="TextBody"/>
        <w:bidi w:val="0"/>
        <w:jc w:val="center"/>
        <w:rPr/>
      </w:pPr>
      <w:r>
        <w:rPr/>
        <w:t> </w:t>
      </w:r>
    </w:p>
    <w:tbl>
      <w:tblPr>
        <w:tblW w:w="10882" w:type="dxa"/>
        <w:jc w:val="left"/>
        <w:tblInd w:w="0" w:type="dxa"/>
        <w:tblLayout w:type="fixed"/>
        <w:tblCellMar>
          <w:top w:w="28" w:type="dxa"/>
          <w:left w:w="28" w:type="dxa"/>
          <w:bottom w:w="28" w:type="dxa"/>
          <w:right w:w="28" w:type="dxa"/>
        </w:tblCellMar>
      </w:tblPr>
      <w:tblGrid>
        <w:gridCol w:w="1171"/>
        <w:gridCol w:w="871"/>
        <w:gridCol w:w="146"/>
        <w:gridCol w:w="201"/>
        <w:gridCol w:w="385"/>
        <w:gridCol w:w="146"/>
        <w:gridCol w:w="766"/>
        <w:gridCol w:w="146"/>
        <w:gridCol w:w="201"/>
        <w:gridCol w:w="385"/>
        <w:gridCol w:w="146"/>
        <w:gridCol w:w="841"/>
        <w:gridCol w:w="146"/>
        <w:gridCol w:w="181"/>
        <w:gridCol w:w="646"/>
        <w:gridCol w:w="146"/>
        <w:gridCol w:w="181"/>
        <w:gridCol w:w="721"/>
        <w:gridCol w:w="146"/>
        <w:gridCol w:w="313"/>
        <w:gridCol w:w="783"/>
        <w:gridCol w:w="146"/>
        <w:gridCol w:w="203"/>
        <w:gridCol w:w="728"/>
        <w:gridCol w:w="146"/>
        <w:gridCol w:w="216"/>
        <w:gridCol w:w="775"/>
      </w:tblGrid>
      <w:tr>
        <w:trPr/>
        <w:tc>
          <w:tcPr>
            <w:tcW w:w="11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 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Stockholders’</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March 31, 2026</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132,560,689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(11,109,657)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1,123,642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852,228</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311,324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1,226</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960,607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(1,891)</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employee stock purchase plan</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1,592</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Common stock repurchases, including related costs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(1,266,898)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(20,447)</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Retirement of common stock</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(29,036)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2,877</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losses on available-for-sale debt securities, net of taxes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18,201</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(8,147)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June 30, 2026</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133,968,610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(12,359,463)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(177,411)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816,590</w:t>
            </w:r>
          </w:p>
        </w:tc>
      </w:tr>
    </w:tbl>
    <w:p>
      <w:pPr>
        <w:pStyle w:val="TextBody"/>
        <w:bidi w:val="0"/>
        <w:spacing w:before="60" w:after="283"/>
        <w:jc w:val="center"/>
        <w:rPr/>
      </w:pPr>
      <w:r>
        <w:rPr/>
        <w:t> </w:t>
      </w:r>
    </w:p>
    <w:tbl>
      <w:tblPr>
        <w:tblW w:w="10687" w:type="dxa"/>
        <w:jc w:val="left"/>
        <w:tblInd w:w="0" w:type="dxa"/>
        <w:tblLayout w:type="fixed"/>
        <w:tblCellMar>
          <w:top w:w="28" w:type="dxa"/>
          <w:left w:w="28" w:type="dxa"/>
          <w:bottom w:w="28" w:type="dxa"/>
          <w:right w:w="28" w:type="dxa"/>
        </w:tblCellMar>
      </w:tblPr>
      <w:tblGrid>
        <w:gridCol w:w="1171"/>
        <w:gridCol w:w="871"/>
        <w:gridCol w:w="146"/>
        <w:gridCol w:w="201"/>
        <w:gridCol w:w="385"/>
        <w:gridCol w:w="146"/>
        <w:gridCol w:w="721"/>
        <w:gridCol w:w="146"/>
        <w:gridCol w:w="201"/>
        <w:gridCol w:w="385"/>
        <w:gridCol w:w="146"/>
        <w:gridCol w:w="766"/>
        <w:gridCol w:w="146"/>
        <w:gridCol w:w="181"/>
        <w:gridCol w:w="571"/>
        <w:gridCol w:w="146"/>
        <w:gridCol w:w="181"/>
        <w:gridCol w:w="721"/>
        <w:gridCol w:w="146"/>
        <w:gridCol w:w="313"/>
        <w:gridCol w:w="783"/>
        <w:gridCol w:w="146"/>
        <w:gridCol w:w="203"/>
        <w:gridCol w:w="728"/>
        <w:gridCol w:w="146"/>
        <w:gridCol w:w="216"/>
        <w:gridCol w:w="775"/>
      </w:tblGrid>
      <w:tr>
        <w:trPr/>
        <w:tc>
          <w:tcPr>
            <w:tcW w:w="11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 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Stockholders’</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March 31, 2025</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128,419,082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(8,214,435)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1,053,289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784,265</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376</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(688)</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Common stock repurchases, including related costs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(4,357)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6,655</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losses on available-for-sale debt securities, net of taxes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18,215</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(12,007)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June 30, 2025</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129,076,628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(8,769,147)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1,071,085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792,423</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882" w:type="dxa"/>
        <w:jc w:val="left"/>
        <w:tblInd w:w="0" w:type="dxa"/>
        <w:tblLayout w:type="fixed"/>
        <w:tblCellMar>
          <w:top w:w="28" w:type="dxa"/>
          <w:left w:w="28" w:type="dxa"/>
          <w:bottom w:w="28" w:type="dxa"/>
          <w:right w:w="28" w:type="dxa"/>
        </w:tblCellMar>
      </w:tblPr>
      <w:tblGrid>
        <w:gridCol w:w="1171"/>
        <w:gridCol w:w="871"/>
        <w:gridCol w:w="146"/>
        <w:gridCol w:w="201"/>
        <w:gridCol w:w="385"/>
        <w:gridCol w:w="146"/>
        <w:gridCol w:w="766"/>
        <w:gridCol w:w="146"/>
        <w:gridCol w:w="201"/>
        <w:gridCol w:w="385"/>
        <w:gridCol w:w="146"/>
        <w:gridCol w:w="841"/>
        <w:gridCol w:w="146"/>
        <w:gridCol w:w="181"/>
        <w:gridCol w:w="646"/>
        <w:gridCol w:w="146"/>
        <w:gridCol w:w="181"/>
        <w:gridCol w:w="721"/>
        <w:gridCol w:w="146"/>
        <w:gridCol w:w="313"/>
        <w:gridCol w:w="783"/>
        <w:gridCol w:w="146"/>
        <w:gridCol w:w="203"/>
        <w:gridCol w:w="728"/>
        <w:gridCol w:w="146"/>
        <w:gridCol w:w="216"/>
        <w:gridCol w:w="775"/>
      </w:tblGrid>
      <w:tr>
        <w:trPr/>
        <w:tc>
          <w:tcPr>
            <w:tcW w:w="11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 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Stockholders’</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2025</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130,335,519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(10,249,429)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1,108,679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835,171</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712,550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2,157</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2,784,551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(5,351)</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employee stock purchase plan</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1,592</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Common stock repurchases, including related costs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(2,173,927)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(30,478)</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Retirement of common stock</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(29,036)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1,976</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losses on available-for-sale debt securities, net of taxes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36,235</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4,371</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June 30, 2026</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133,968,610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(12,359,463)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(177,411)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816,590</w:t>
            </w:r>
          </w:p>
        </w:tc>
      </w:tr>
    </w:tbl>
    <w:p>
      <w:pPr>
        <w:pStyle w:val="TextBody"/>
        <w:bidi w:val="0"/>
        <w:spacing w:before="60" w:after="283"/>
        <w:jc w:val="left"/>
        <w:rPr/>
      </w:pPr>
      <w:r>
        <w:rPr/>
        <w:t> </w:t>
      </w:r>
    </w:p>
    <w:tbl>
      <w:tblPr>
        <w:tblW w:w="10687" w:type="dxa"/>
        <w:jc w:val="left"/>
        <w:tblInd w:w="0" w:type="dxa"/>
        <w:tblLayout w:type="fixed"/>
        <w:tblCellMar>
          <w:top w:w="28" w:type="dxa"/>
          <w:left w:w="28" w:type="dxa"/>
          <w:bottom w:w="28" w:type="dxa"/>
          <w:right w:w="28" w:type="dxa"/>
        </w:tblCellMar>
      </w:tblPr>
      <w:tblGrid>
        <w:gridCol w:w="1171"/>
        <w:gridCol w:w="871"/>
        <w:gridCol w:w="146"/>
        <w:gridCol w:w="201"/>
        <w:gridCol w:w="385"/>
        <w:gridCol w:w="146"/>
        <w:gridCol w:w="721"/>
        <w:gridCol w:w="146"/>
        <w:gridCol w:w="201"/>
        <w:gridCol w:w="385"/>
        <w:gridCol w:w="146"/>
        <w:gridCol w:w="766"/>
        <w:gridCol w:w="146"/>
        <w:gridCol w:w="181"/>
        <w:gridCol w:w="571"/>
        <w:gridCol w:w="146"/>
        <w:gridCol w:w="181"/>
        <w:gridCol w:w="721"/>
        <w:gridCol w:w="146"/>
        <w:gridCol w:w="291"/>
        <w:gridCol w:w="805"/>
        <w:gridCol w:w="146"/>
        <w:gridCol w:w="203"/>
        <w:gridCol w:w="728"/>
        <w:gridCol w:w="146"/>
        <w:gridCol w:w="216"/>
        <w:gridCol w:w="775"/>
      </w:tblGrid>
      <w:tr>
        <w:trPr/>
        <w:tc>
          <w:tcPr>
            <w:tcW w:w="11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2025</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 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Stockholders’</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2024</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126,853,852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(4,670,974)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814,767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1,753</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1,429,513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(2,364)</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employee stock purchase plan</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88,798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1,242</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for retention bonus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Common stock repurchases, including related costs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(4,126,685)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(52,768)</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9,332</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losses on available-for-sale debt securities, net of taxes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(165)</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36,793</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(16,167)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June 30, 2025</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129,076,628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(8,769,147)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1,071,085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792,423</w:t>
            </w:r>
          </w:p>
        </w:tc>
      </w:tr>
    </w:tbl>
    <w:p>
      <w:pPr>
        <w:pStyle w:val="TextBody"/>
        <w:bidi w:val="0"/>
        <w:spacing w:before="200" w:after="283"/>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FLYWIRE CORPORATION</w:t>
      </w:r>
    </w:p>
    <w:p>
      <w:pPr>
        <w:pStyle w:val="TextBody"/>
        <w:bidi w:val="0"/>
        <w:jc w:val="center"/>
        <w:rPr>
          <w:rFonts w:ascii="Arial" w:hAnsi="Arial"/>
          <w:b/>
          <w:color w:val="000000"/>
          <w:sz w:val="20"/>
        </w:rPr>
      </w:pPr>
      <w:bookmarkStart w:id="10" w:name="condensed_cash_flows"/>
      <w:bookmarkEnd w:id="10"/>
      <w:r>
        <w:rPr>
          <w:rFonts w:ascii="Arial" w:hAnsi="Arial"/>
          <w:b/>
          <w:color w:val="000000"/>
          <w:sz w:val="20"/>
        </w:rPr>
        <w:t>CONDENSED CONSOLIDATED STATEMENT OF CASH FLOWS</w:t>
      </w:r>
    </w:p>
    <w:p>
      <w:pPr>
        <w:pStyle w:val="TextBody"/>
        <w:bidi w:val="0"/>
        <w:spacing w:before="0" w:after="200"/>
        <w:jc w:val="center"/>
        <w:rPr>
          <w:rFonts w:ascii="Arial" w:hAnsi="Arial"/>
          <w:color w:val="000000"/>
          <w:sz w:val="20"/>
        </w:rPr>
      </w:pPr>
      <w:r>
        <w:rPr>
          <w:rFonts w:ascii="Arial" w:hAnsi="Arial"/>
          <w:color w:val="000000"/>
          <w:sz w:val="20"/>
        </w:rPr>
        <w:t>(Unaudited) (Amounts in thousands)</w:t>
      </w:r>
    </w:p>
    <w:tbl>
      <w:tblPr>
        <w:tblW w:w="10205" w:type="dxa"/>
        <w:jc w:val="left"/>
        <w:tblInd w:w="0" w:type="dxa"/>
        <w:tblLayout w:type="fixed"/>
        <w:tblCellMar>
          <w:top w:w="28" w:type="dxa"/>
          <w:left w:w="28" w:type="dxa"/>
          <w:bottom w:w="28" w:type="dxa"/>
          <w:right w:w="28" w:type="dxa"/>
        </w:tblCellMar>
      </w:tblPr>
      <w:tblGrid>
        <w:gridCol w:w="7371"/>
        <w:gridCol w:w="446"/>
        <w:gridCol w:w="794"/>
        <w:gridCol w:w="146"/>
        <w:gridCol w:w="211"/>
        <w:gridCol w:w="1237"/>
      </w:tblGrid>
      <w:tr>
        <w:trPr/>
        <w:tc>
          <w:tcPr>
            <w:tcW w:w="73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(loss) to net cash provided by (used in)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gain from remeasurement of foreign currency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(9,747)</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12,270</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35,740</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deferred contract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768</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fair value of contingent consideration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(502)</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tax provision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1,003</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provision for uncollectible accounts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252</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debt issuance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92</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accretion of discounts and amortization of premiums on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(595)</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(166)</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Changes in operating assets and liabilities, net of acquisitions: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94</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Unbilled receivables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(1,518)</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receivable from payment partners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2,090</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other current assets and other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(16,247)</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payable to clients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(62,572)</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accrued expenses and other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(2,138)</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(622)</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(2,914)</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provided by (used in) operating activities</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(60,879)</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Acquisitions of businesses, net of cash acquired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(319,835)</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short-term and long-term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(14,802)</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maturity and sale of short-term and long-term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142,334</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Capitalization of internally developed software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(3,392)</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(734)</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provided by (used in) investing activities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(196,429)</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revolving credit facility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125,000</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revolving credit facility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Contingent consideration paid for acquisitions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(2,710)</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of tax withholdings for net settled equity awards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(2,364)</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repurchased including related costs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(54,304)</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Non-voting common stock repurchased and retired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issuance of stock under Employee Stock Purchase Plan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stock options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1,753</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(used in) provided by financing activities</w:t>
            </w:r>
          </w:p>
        </w:tc>
        <w:tc>
          <w:tcPr>
            <w:tcW w:w="4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300"/>
              <w:jc w:val="left"/>
              <w:rPr/>
            </w:pPr>
            <w:r>
              <w:rPr/>
              <w:t> </w:t>
            </w:r>
          </w:p>
        </w:tc>
        <w:tc>
          <w:tcPr>
            <w:tcW w:w="7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3,617</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8,135</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(245,556)</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beginning of period</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495,242</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249,686</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disclosures of cash flow and noncash information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property and equipment in 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excise tax related to common stock repurchased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r>
      <w:tr>
        <w:trPr/>
        <w:tc>
          <w:tcPr>
            <w:tcW w:w="7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Capitalized 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1,053</w:t>
            </w:r>
          </w:p>
        </w:tc>
      </w:tr>
      <w:tr>
        <w:trPr/>
        <w:tc>
          <w:tcPr>
            <w:tcW w:w="7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interest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1,174</w:t>
            </w:r>
          </w:p>
        </w:tc>
      </w:tr>
    </w:tbl>
    <w:p>
      <w:pPr>
        <w:pStyle w:val="TextBody"/>
        <w:bidi w:val="0"/>
        <w:spacing w:before="200" w:after="200"/>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FLYWIRE CORPORATION</w:t>
      </w:r>
    </w:p>
    <w:p>
      <w:pPr>
        <w:pStyle w:val="TextBody"/>
        <w:bidi w:val="0"/>
        <w:jc w:val="center"/>
        <w:rPr>
          <w:rFonts w:ascii="Times New Roman" w:hAnsi="Times New Roman"/>
          <w:sz w:val="20"/>
        </w:rPr>
      </w:pPr>
      <w:bookmarkStart w:id="11" w:name="nots_to_condensed"/>
      <w:bookmarkEnd w:id="11"/>
      <w:r>
        <w:rPr>
          <w:rFonts w:ascii="Arial" w:hAnsi="Arial"/>
          <w:b/>
          <w:color w:val="000000"/>
          <w:sz w:val="20"/>
        </w:rPr>
        <w:t>NOTES TO CONDENSED CONSOLID</w:t>
      </w:r>
      <w:bookmarkStart w:id="12" w:name="notes_to_condensed_consolidated_financia"/>
      <w:bookmarkEnd w:id="12"/>
      <w:r>
        <w:rPr>
          <w:rFonts w:ascii="Arial" w:hAnsi="Arial"/>
          <w:b/>
          <w:color w:val="000000"/>
          <w:sz w:val="20"/>
        </w:rPr>
        <w:t>ATED FINANCIAL STATEMENTS</w:t>
      </w:r>
    </w:p>
    <w:p>
      <w:pPr>
        <w:pStyle w:val="TextBody"/>
        <w:bidi w:val="0"/>
        <w:spacing w:before="0" w:after="240"/>
        <w:jc w:val="center"/>
        <w:rPr>
          <w:rFonts w:ascii="Arial" w:hAnsi="Arial"/>
          <w:color w:val="000000"/>
          <w:sz w:val="20"/>
        </w:rPr>
      </w:pPr>
      <w:r>
        <w:rPr>
          <w:rFonts w:ascii="Arial" w:hAnsi="Arial"/>
          <w:color w:val="000000"/>
          <w:sz w:val="20"/>
        </w:rPr>
        <w:t>(Unaudited)</w:t>
      </w:r>
    </w:p>
    <w:p>
      <w:pPr>
        <w:pStyle w:val="TextBody"/>
        <w:bidi w:val="0"/>
        <w:jc w:val="left"/>
        <w:rPr>
          <w:rFonts w:ascii="Arial" w:hAnsi="Arial"/>
          <w:b/>
          <w:color w:val="000000"/>
          <w:sz w:val="20"/>
        </w:rPr>
      </w:pPr>
      <w:bookmarkStart w:id="13" w:name="note_1"/>
      <w:bookmarkEnd w:id="13"/>
      <w:r>
        <w:rPr>
          <w:rFonts w:ascii="Arial" w:hAnsi="Arial"/>
          <w:b/>
          <w:color w:val="000000"/>
          <w:sz w:val="20"/>
        </w:rPr>
        <w:t>Note 1. Business Overview and Summary of Significant Accounting Policies</w:t>
      </w:r>
    </w:p>
    <w:p>
      <w:pPr>
        <w:pStyle w:val="TextBody"/>
        <w:bidi w:val="0"/>
        <w:spacing w:before="200" w:after="200"/>
        <w:jc w:val="left"/>
        <w:rPr>
          <w:rFonts w:ascii="Arial" w:hAnsi="Arial"/>
          <w:color w:val="000000"/>
          <w:sz w:val="20"/>
        </w:rPr>
      </w:pPr>
      <w:r>
        <w:rPr>
          <w:rFonts w:ascii="Arial" w:hAnsi="Arial"/>
          <w:color w:val="000000"/>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presence in 16 countries across 5 continents.</w:t>
      </w:r>
    </w:p>
    <w:p>
      <w:pPr>
        <w:pStyle w:val="TextBody"/>
        <w:bidi w:val="0"/>
        <w:spacing w:before="0" w:after="200"/>
        <w:jc w:val="left"/>
        <w:rPr>
          <w:rFonts w:ascii="Arial" w:hAnsi="Arial"/>
          <w:color w:val="000000"/>
          <w:sz w:val="20"/>
        </w:rPr>
      </w:pPr>
      <w:r>
        <w:rPr>
          <w:rFonts w:ascii="Arial" w:hAnsi="Arial"/>
          <w:color w:val="000000"/>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pStyle w:val="TextBody"/>
        <w:bidi w:val="0"/>
        <w:spacing w:before="0" w:after="200"/>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0" w:after="200"/>
        <w:jc w:val="left"/>
        <w:rPr>
          <w:rFonts w:ascii="Arial" w:hAnsi="Arial"/>
          <w:color w:val="000000"/>
          <w:sz w:val="20"/>
        </w:rPr>
      </w:pPr>
      <w:r>
        <w:rPr>
          <w:rFonts w:ascii="Arial" w:hAnsi="Arial"/>
          <w:color w:val="000000"/>
          <w:sz w:val="20"/>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income, changes in stockholders’ equity, and its cash flows for the periods presented.</w:t>
      </w:r>
    </w:p>
    <w:p>
      <w:pPr>
        <w:pStyle w:val="TextBody"/>
        <w:bidi w:val="0"/>
        <w:spacing w:before="0" w:after="200"/>
        <w:jc w:val="left"/>
        <w:rPr>
          <w:rFonts w:ascii="Arial" w:hAnsi="Arial"/>
          <w:color w:val="000000"/>
          <w:sz w:val="20"/>
        </w:rPr>
      </w:pPr>
      <w:r>
        <w:rPr>
          <w:rFonts w:ascii="Arial" w:hAnsi="Arial"/>
          <w:color w:val="000000"/>
          <w:sz w:val="20"/>
        </w:rPr>
        <w:t>The results of operations for the three and six months ended June 30, 2026, are not necessarily indicative of results to be expected for the year ended December 31, 2026, any other interim periods or any future year or period. The accompanying consolidated balance sheet as of December 31, 2025, was derived from the Company’s audited consolidated financial statements for the year ended December 31, 2025. Certain information and note disclosures normally included in the annual consolidated financial statements prepared in accordance with GAAP have been condensed or omitted from the interim unaudited condensed consolidated financial statements.</w:t>
      </w:r>
    </w:p>
    <w:p>
      <w:pPr>
        <w:pStyle w:val="TextBody"/>
        <w:bidi w:val="0"/>
        <w:spacing w:before="0" w:after="200"/>
        <w:jc w:val="left"/>
        <w:rPr>
          <w:rFonts w:ascii="Arial" w:hAnsi="Arial"/>
          <w:color w:val="000000"/>
          <w:sz w:val="20"/>
        </w:rPr>
      </w:pPr>
      <w:r>
        <w:rPr>
          <w:rFonts w:ascii="Arial" w:hAnsi="Arial"/>
          <w:color w:val="000000"/>
          <w:sz w:val="20"/>
        </w:rPr>
        <w:t>These condensed consolidated financial statements should be read in conjunction with the audited consolidated financial statements and notes included in the Company’s Annual Report on Form 10-K for the year ended December 31, 2025.</w:t>
      </w:r>
    </w:p>
    <w:p>
      <w:pPr>
        <w:pStyle w:val="TextBody"/>
        <w:bidi w:val="0"/>
        <w:spacing w:before="0" w:after="200"/>
        <w:jc w:val="left"/>
        <w:rPr>
          <w:rFonts w:ascii="Arial" w:hAnsi="Arial"/>
          <w:color w:val="000000"/>
          <w:sz w:val="20"/>
        </w:rPr>
      </w:pPr>
      <w:r>
        <w:rPr>
          <w:rFonts w:ascii="Arial" w:hAnsi="Arial"/>
          <w:color w:val="000000"/>
          <w:sz w:val="20"/>
        </w:rPr>
        <w:t>The condensed consolidated financial statements include the accounts of Flywire and its wholly owned subsidiaries. All intercompany accounts and transactions have been eliminated upon consolidation.</w:t>
      </w:r>
    </w:p>
    <w:p>
      <w:pPr>
        <w:pStyle w:val="TextBody"/>
        <w:bidi w:val="0"/>
        <w:spacing w:before="0" w:after="200"/>
        <w:jc w:val="left"/>
        <w:rPr>
          <w:rFonts w:ascii="Times New Roman" w:hAnsi="Times New Roman"/>
          <w:sz w:val="20"/>
        </w:rPr>
      </w:pPr>
      <w:r>
        <w:rPr>
          <w:rFonts w:ascii="Arial" w:hAnsi="Arial"/>
          <w:b/>
          <w:i/>
          <w:color w:val="000000"/>
          <w:sz w:val="20"/>
        </w:rPr>
        <w:t>Segment Information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 xml:space="preserve">operating and reportable segment. See </w:t>
      </w:r>
      <w:r>
        <w:rPr>
          <w:rFonts w:ascii="Arial" w:hAnsi="Arial"/>
          <w:i/>
          <w:color w:val="000000"/>
          <w:sz w:val="20"/>
        </w:rPr>
        <w:t>Note 3 - Segment Information</w:t>
      </w:r>
      <w:r>
        <w:rPr>
          <w:rFonts w:ascii="Times New Roman" w:hAnsi="Times New Roman"/>
          <w:color w:val="000000"/>
          <w:sz w:val="20"/>
        </w:rPr>
        <w:t xml:space="preserve"> </w:t>
      </w:r>
      <w:r>
        <w:rPr>
          <w:rFonts w:ascii="Arial" w:hAnsi="Arial"/>
          <w:color w:val="000000"/>
          <w:sz w:val="20"/>
        </w:rPr>
        <w:t>for additional details regarding the Company's significant segment expenses.</w:t>
      </w:r>
    </w:p>
    <w:p>
      <w:pPr>
        <w:pStyle w:val="TextBody"/>
        <w:bidi w:val="0"/>
        <w:spacing w:before="0" w:after="20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preparation of condensed consolidated financial statements in conformity with GAAP requires management to make estimates and assumptions that affect the reported amounts of assets and liabilities, the valuation of acquired</w:t>
        <w:br/>
        <w:t>intangible assets and other long-lived assets and their useful lives, and the reported amounts of revenues and expenses in the condensed consolidated financial statements and the accompanying notes. Actual results may differ from those estimates or assumptions.</w:t>
      </w:r>
    </w:p>
    <w:p>
      <w:pPr>
        <w:pStyle w:val="TextBody"/>
        <w:bidi w:val="0"/>
        <w:spacing w:before="0" w:after="200"/>
        <w:jc w:val="left"/>
        <w:rPr>
          <w:rFonts w:ascii="Times New Roman" w:hAnsi="Times New Roman"/>
          <w:sz w:val="20"/>
        </w:rPr>
      </w:pPr>
      <w:r>
        <w:rPr>
          <w:rFonts w:ascii="Arial" w:hAnsi="Arial"/>
          <w:b/>
          <w:i/>
          <w:color w:val="000000"/>
          <w:sz w:val="20"/>
        </w:rPr>
        <w:t>Concentrations of Credit Risk, Financial Instruments and Significant Clients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Financial instruments that potentially subject the Company to concentration of credit risk consist principally of cash, cash equivalents, investments in available-for-sale debt securities, accounts receivable, unbilled receivables, and funds receivable from payment partners.</w:t>
      </w:r>
    </w:p>
    <w:p>
      <w:pPr>
        <w:pStyle w:val="TextBody"/>
        <w:bidi w:val="0"/>
        <w:spacing w:before="0" w:after="200"/>
        <w:jc w:val="left"/>
        <w:rPr>
          <w:rFonts w:ascii="Times New Roman" w:hAnsi="Times New Roman"/>
          <w:sz w:val="20"/>
        </w:rPr>
      </w:pPr>
      <w:r>
        <w:rPr>
          <w:rFonts w:ascii="Arial" w:hAnsi="Arial"/>
          <w:color w:val="000000"/>
          <w:sz w:val="20"/>
        </w:rPr>
        <w:t>The Company maintains its cash and cash equivalents with financial institutions that management believes are of high credit quality. The Company's cash equivalents include money market funds, which are AAA-rated and comprised of liquid, high quality debt securities issued by the U.S. government. The Company's cash and cash equivalents deposited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with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its concentration in government money market funds.</w:t>
      </w:r>
    </w:p>
    <w:p>
      <w:pPr>
        <w:pStyle w:val="TextBody"/>
        <w:bidi w:val="0"/>
        <w:spacing w:before="0" w:after="200"/>
        <w:jc w:val="left"/>
        <w:rPr>
          <w:rFonts w:ascii="Arial" w:hAnsi="Arial"/>
          <w:color w:val="000000"/>
          <w:sz w:val="20"/>
        </w:rPr>
      </w:pPr>
      <w:r>
        <w:rPr>
          <w:rFonts w:ascii="Arial" w:hAnsi="Arial"/>
          <w:color w:val="000000"/>
          <w:sz w:val="20"/>
        </w:rPr>
        <w:t>To manage credit risk associated with investments in available-for-sale debt securities, the Company monitors credit ratings of the issuers of the securities and diversifies its investments by limiting its holding in any one security or issuer.</w:t>
      </w:r>
    </w:p>
    <w:p>
      <w:pPr>
        <w:pStyle w:val="TextBody"/>
        <w:bidi w:val="0"/>
        <w:spacing w:before="0" w:after="200"/>
        <w:jc w:val="left"/>
        <w:rPr>
          <w:rFonts w:ascii="Arial" w:hAnsi="Arial"/>
          <w:color w:val="000000"/>
          <w:sz w:val="20"/>
        </w:rPr>
      </w:pPr>
      <w:r>
        <w:rPr>
          <w:rFonts w:ascii="Arial" w:hAnsi="Arial"/>
          <w:color w:val="000000"/>
          <w:sz w:val="20"/>
        </w:rPr>
        <w:t>To reflect the estimated realizable value of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information in determining its estimated loss rates, such as external forecasts, macroeconomic trends, or other factors that are associated with the credit quality of the Company’s customer base. The Company did not experience any material credit losses for the three and six months ended June 30, 2026 and 2025.</w:t>
      </w:r>
    </w:p>
    <w:p>
      <w:pPr>
        <w:pStyle w:val="TextBody"/>
        <w:bidi w:val="0"/>
        <w:spacing w:before="0" w:after="200"/>
        <w:jc w:val="left"/>
        <w:rPr>
          <w:rFonts w:ascii="Times New Roman" w:hAnsi="Times New Roman"/>
          <w:sz w:val="20"/>
        </w:rPr>
      </w:pPr>
      <w:r>
        <w:rPr>
          <w:rFonts w:ascii="Arial" w:hAnsi="Arial"/>
          <w:color w:val="000000"/>
          <w:sz w:val="20"/>
        </w:rPr>
        <w:t>Accounts receivable are derived from revenue earned from clients located in the U.S. and internationally. There were no</w:t>
      </w:r>
      <w:r>
        <w:rPr>
          <w:rFonts w:ascii="Times New Roman" w:hAnsi="Times New Roman"/>
          <w:color w:val="000000"/>
          <w:sz w:val="20"/>
        </w:rPr>
        <w:t xml:space="preserve"> </w:t>
      </w:r>
      <w:r>
        <w:rPr>
          <w:rFonts w:ascii="Arial" w:hAnsi="Arial"/>
          <w:color w:val="000000"/>
          <w:sz w:val="20"/>
        </w:rPr>
        <w:t>clients that represented 10% or more of the accounts receivable balance as of June 30, 2026 or December 31, 2025.</w:t>
      </w:r>
    </w:p>
    <w:p>
      <w:pPr>
        <w:pStyle w:val="TextBody"/>
        <w:bidi w:val="0"/>
        <w:spacing w:before="0" w:after="200"/>
        <w:jc w:val="left"/>
        <w:rPr>
          <w:rFonts w:ascii="Arial" w:hAnsi="Arial"/>
          <w:color w:val="000000"/>
          <w:sz w:val="20"/>
        </w:rPr>
      </w:pPr>
      <w:r>
        <w:rPr>
          <w:rFonts w:ascii="Arial" w:hAnsi="Arial"/>
          <w:color w:val="000000"/>
          <w:sz w:val="20"/>
        </w:rPr>
        <w:t>Funds receivable from payment partners consists primarily of cash held by the Company’s global payment processing partners that have not yet been remitted to the Company. The following table shows payment partners that represent 10% or more of funds receivable from payment partners:</w:t>
      </w:r>
    </w:p>
    <w:tbl>
      <w:tblPr>
        <w:tblW w:w="3208" w:type="dxa"/>
        <w:jc w:val="left"/>
        <w:tblInd w:w="0" w:type="dxa"/>
        <w:tblLayout w:type="fixed"/>
        <w:tblCellMar>
          <w:top w:w="28" w:type="dxa"/>
          <w:left w:w="28" w:type="dxa"/>
          <w:bottom w:w="28" w:type="dxa"/>
          <w:right w:w="28" w:type="dxa"/>
        </w:tblCellMar>
      </w:tblPr>
      <w:tblGrid>
        <w:gridCol w:w="886"/>
        <w:gridCol w:w="633"/>
        <w:gridCol w:w="192"/>
        <w:gridCol w:w="146"/>
        <w:gridCol w:w="1351"/>
      </w:tblGrid>
      <w:tr>
        <w:trPr/>
        <w:tc>
          <w:tcPr>
            <w:tcW w:w="8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Partner A</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Partner B</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bl>
    <w:p>
      <w:pPr>
        <w:pStyle w:val="TextBody"/>
        <w:bidi w:val="0"/>
        <w:jc w:val="left"/>
        <w:rPr>
          <w:rFonts w:ascii="Arial" w:hAnsi="Arial"/>
          <w:color w:val="000000"/>
          <w:sz w:val="16"/>
        </w:rPr>
      </w:pPr>
      <w:r>
        <w:rPr>
          <w:rFonts w:ascii="Arial" w:hAnsi="Arial"/>
          <w:color w:val="000000"/>
          <w:sz w:val="16"/>
        </w:rPr>
        <w:t>______________________</w:t>
      </w:r>
    </w:p>
    <w:p>
      <w:pPr>
        <w:pStyle w:val="TextBody"/>
        <w:bidi w:val="0"/>
        <w:jc w:val="left"/>
        <w:rPr>
          <w:rFonts w:ascii="Times New Roman" w:hAnsi="Times New Roman"/>
          <w:sz w:val="20"/>
        </w:rPr>
      </w:pPr>
      <w:r>
        <w:rPr>
          <w:rFonts w:ascii="Arial" w:hAnsi="Arial"/>
          <w:color w:val="000000"/>
          <w:sz w:val="16"/>
        </w:rPr>
        <w:t>* Less than 10% of total balance.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During the three and six months ended June 30, 2026 and 2025, no</w:t>
      </w:r>
      <w:r>
        <w:rPr>
          <w:rFonts w:ascii="Times New Roman" w:hAnsi="Times New Roman"/>
          <w:color w:val="000000"/>
          <w:sz w:val="20"/>
        </w:rPr>
        <w:t xml:space="preserve"> </w:t>
      </w:r>
      <w:r>
        <w:rPr>
          <w:rFonts w:ascii="Arial" w:hAnsi="Arial"/>
          <w:color w:val="000000"/>
          <w:sz w:val="20"/>
        </w:rPr>
        <w:t>client accounted for 10% or more of total revenue.</w:t>
      </w:r>
    </w:p>
    <w:p>
      <w:pPr>
        <w:pStyle w:val="TextBody"/>
        <w:bidi w:val="0"/>
        <w:spacing w:before="0" w:after="200"/>
        <w:jc w:val="left"/>
        <w:rPr>
          <w:rFonts w:ascii="Times New Roman" w:hAnsi="Times New Roman"/>
          <w:sz w:val="20"/>
        </w:rPr>
      </w:pPr>
      <w:r>
        <w:rPr>
          <w:rFonts w:ascii="Arial" w:hAnsi="Arial"/>
          <w:b/>
          <w:i/>
          <w:color w:val="000000"/>
          <w:sz w:val="20"/>
        </w:rPr>
        <w:t>Summary of Significant Accounting Policies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 xml:space="preserve">The Company’s significant accounting policies are discussed in </w:t>
      </w:r>
      <w:r>
        <w:rPr>
          <w:rFonts w:ascii="Arial" w:hAnsi="Arial"/>
          <w:i/>
          <w:color w:val="000000"/>
          <w:sz w:val="20"/>
        </w:rPr>
        <w:t>Note 1 - Business Overview and Summary of Significant Accounting Policies</w:t>
      </w:r>
      <w:r>
        <w:rPr>
          <w:rFonts w:ascii="Times New Roman" w:hAnsi="Times New Roman"/>
          <w:color w:val="000000"/>
          <w:sz w:val="20"/>
        </w:rPr>
        <w:t xml:space="preserve"> </w:t>
      </w:r>
      <w:r>
        <w:rPr>
          <w:rFonts w:ascii="Arial" w:hAnsi="Arial"/>
          <w:color w:val="000000"/>
          <w:sz w:val="20"/>
        </w:rPr>
        <w:t>in the notes to the audited consolidated financial statements in the Company’s Annual Report on Form 10-K for the year ended December 31, 2025.</w:t>
      </w:r>
    </w:p>
    <w:p>
      <w:pPr>
        <w:pStyle w:val="TextBody"/>
        <w:bidi w:val="0"/>
        <w:spacing w:before="0" w:after="200"/>
        <w:jc w:val="left"/>
        <w:rPr>
          <w:rFonts w:ascii="Times New Roman" w:hAnsi="Times New Roman"/>
          <w:sz w:val="20"/>
        </w:rPr>
      </w:pPr>
      <w:r>
        <w:rPr>
          <w:rFonts w:ascii="Arial" w:hAnsi="Arial"/>
          <w:b/>
          <w:i/>
          <w:color w:val="000000"/>
          <w:sz w:val="20"/>
        </w:rPr>
        <w:t>Advertising Costs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Advertising costs are expensed as incurred and are included in selling and marketing expenses in the condensed consolidated statements of operations and comprehensive (loss) income. Advertising expenses were $1.7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three months ended June 30, 2026 and 2025, respectively. Advertising expenses were $3.5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six months ended June 30, 2026 and 2025, respectively.</w:t>
      </w:r>
    </w:p>
    <w:p>
      <w:pPr>
        <w:pStyle w:val="TextBody"/>
        <w:bidi w:val="0"/>
        <w:spacing w:before="0" w:after="200"/>
        <w:jc w:val="left"/>
        <w:rPr>
          <w:rFonts w:ascii="Times New Roman" w:hAnsi="Times New Roman"/>
          <w:sz w:val="20"/>
        </w:rPr>
      </w:pPr>
      <w:r>
        <w:rPr>
          <w:rFonts w:ascii="Arial" w:hAnsi="Arial"/>
          <w:b/>
          <w:i/>
          <w:color w:val="000000"/>
          <w:sz w:val="20"/>
        </w:rPr>
        <w:t>Revisions to Previously Issued Financial Statements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As previously identified during the preparation of the Company's condensed consolidated financial statements for the nine months ended September 30, 2025, the Company determined there were classification errors in its historical Consolidated Statements of Cash Flows. Accordingly, the accompanying Condensed Consolidated Statement of Cash Flows for the six months ended June 30, 2025, presented herein for comparative purposes, has been revised from the amounts originally reported.</w:t>
      </w:r>
    </w:p>
    <w:p>
      <w:pPr>
        <w:pStyle w:val="TextBody"/>
        <w:bidi w:val="0"/>
        <w:spacing w:before="0" w:after="200"/>
        <w:jc w:val="left"/>
        <w:rPr>
          <w:rFonts w:ascii="Arial" w:hAnsi="Arial"/>
          <w:color w:val="000000"/>
          <w:sz w:val="20"/>
        </w:rPr>
      </w:pPr>
      <w:r>
        <w:rPr>
          <w:rFonts w:ascii="Arial" w:hAnsi="Arial"/>
          <w:color w:val="000000"/>
          <w:sz w:val="20"/>
        </w:rPr>
        <w:t>Specifically, the Company’s historical classification of the effects of exchange rate changes on the Company’s foreign denominated cash and cash equivalent balances was misclassified between the effects of exchange rate changes on cash and cash equivalents and cash flows from operating activities in its Condensed Consolidated Statement of Cash Flows for the six months ended June 30, 2025.</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The Company assessed the effect of these errors on prior periods under the guidance of Securities and Exchange Commission (“SEC”) Staff Accounting Bulletin No. 99, “Materiality,” codified in ASC 250, Accounting Changes and Error Corrections (“ASC 250”). Based on its assessment, the Company determined the errors were not material to any previously issued financial statements. The correction has no impact on the Company's previously reported consolidated net income (loss), financial position, net change in cash, cash equivalents, and restricted cash, or total cash, cash equivalents, and restricted cash as previously reported on the Company's Consolidated Statements of Cash Flows for the applicable periods.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following table shows the impact of the revision on the Condensed Consolidated Statement of Cash Flows for the six months ended June 30, 2025 (in thousands):</w:t>
      </w:r>
    </w:p>
    <w:tbl>
      <w:tblPr>
        <w:tblW w:w="10205" w:type="dxa"/>
        <w:jc w:val="left"/>
        <w:tblInd w:w="0" w:type="dxa"/>
        <w:tblLayout w:type="fixed"/>
        <w:tblCellMar>
          <w:top w:w="28" w:type="dxa"/>
          <w:left w:w="28" w:type="dxa"/>
          <w:bottom w:w="28" w:type="dxa"/>
          <w:right w:w="28" w:type="dxa"/>
        </w:tblCellMar>
      </w:tblPr>
      <w:tblGrid>
        <w:gridCol w:w="5260"/>
        <w:gridCol w:w="445"/>
        <w:gridCol w:w="1561"/>
        <w:gridCol w:w="146"/>
        <w:gridCol w:w="300"/>
        <w:gridCol w:w="901"/>
        <w:gridCol w:w="146"/>
        <w:gridCol w:w="211"/>
        <w:gridCol w:w="1235"/>
      </w:tblGrid>
      <w:tr>
        <w:trPr/>
        <w:tc>
          <w:tcPr>
            <w:tcW w:w="5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2025</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Previously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Revised</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gain on remeasurement of foreign currency</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(9,747)</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 net of acquisitions: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receivable</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94</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Unbilled receivables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(1,518)</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Funds receivable from payment partners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2,090</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other current assets and other assets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(16,247)</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Funds payable to clients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(62,572)</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 accrued expenses and other current liabilities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(2,138)</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liabilities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(622)</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Deferred revenue</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(2,914)</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used in operating activities</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(60,879)</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8,135</w:t>
            </w:r>
          </w:p>
        </w:tc>
      </w:tr>
    </w:tbl>
    <w:p>
      <w:pPr>
        <w:pStyle w:val="TextBody"/>
        <w:bidi w:val="0"/>
        <w:spacing w:before="200" w:after="283"/>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200" w:after="283"/>
        <w:jc w:val="left"/>
        <w:rPr>
          <w:rFonts w:ascii="Times New Roman" w:hAnsi="Times New Roman"/>
          <w:sz w:val="20"/>
        </w:rPr>
      </w:pPr>
      <w:r>
        <w:rPr>
          <w:rFonts w:ascii="Arial" w:hAnsi="Arial"/>
          <w:color w:val="000000"/>
          <w:sz w:val="20"/>
        </w:rPr>
        <w:t>Effective January 1, 2026, the Company adopted ASU 2025-05,</w:t>
      </w:r>
      <w:r>
        <w:rPr>
          <w:rFonts w:ascii="Times New Roman" w:hAnsi="Times New Roman"/>
          <w:color w:val="000000"/>
          <w:sz w:val="20"/>
        </w:rPr>
        <w:t xml:space="preserve"> </w:t>
      </w:r>
      <w:r>
        <w:rPr>
          <w:rFonts w:ascii="Arial" w:hAnsi="Arial"/>
          <w:i/>
          <w:color w:val="000000"/>
          <w:sz w:val="20"/>
        </w:rPr>
        <w:t>Financial Instruments - Credit Losses (Topic 326): Measurement of Credit Losses for Accounts Receivable and Contract Assets.</w:t>
      </w:r>
      <w:r>
        <w:rPr>
          <w:rFonts w:ascii="Times New Roman" w:hAnsi="Times New Roman"/>
          <w:color w:val="000000"/>
          <w:sz w:val="20"/>
        </w:rPr>
        <w:t xml:space="preserve"> </w:t>
      </w:r>
      <w:r>
        <w:rPr>
          <w:rFonts w:ascii="Arial" w:hAnsi="Arial"/>
          <w:color w:val="000000"/>
          <w:sz w:val="20"/>
        </w:rPr>
        <w:t>ASU 2025-05 provides a practical expedient and an accounting policy election related to the estimation of expected credit losses for current accounts receivable and current contract assets that arise from transactions accounted for under ASC 606, "</w:t>
      </w:r>
      <w:r>
        <w:rPr>
          <w:rFonts w:ascii="Arial" w:hAnsi="Arial"/>
          <w:i/>
          <w:color w:val="000000"/>
          <w:sz w:val="20"/>
        </w:rPr>
        <w:t>Revenue from Contracts with Customers</w:t>
      </w:r>
      <w:r>
        <w:rPr>
          <w:rFonts w:ascii="Arial" w:hAnsi="Arial"/>
          <w:color w:val="000000"/>
          <w:sz w:val="20"/>
        </w:rPr>
        <w:t>." Upon adoption, the Company elected the practical expedient that allows entities to assume that current conditions as of the balance sheet date do not change for the remaining life of the asset. The standard was applied on a prospective basis. The Company's adoption of ASU 2025-05 did not have a material impact on its condensed consolidated financial statements and disclosures.</w:t>
      </w:r>
    </w:p>
    <w:p>
      <w:pPr>
        <w:pStyle w:val="TextBody"/>
        <w:bidi w:val="0"/>
        <w:spacing w:before="200" w:after="200"/>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0" w:after="200"/>
        <w:jc w:val="left"/>
        <w:rPr>
          <w:rFonts w:ascii="Times New Roman" w:hAnsi="Times New Roman"/>
          <w:sz w:val="20"/>
        </w:rPr>
      </w:pPr>
      <w:r>
        <w:rPr>
          <w:rFonts w:ascii="Arial" w:hAnsi="Arial"/>
          <w:color w:val="000000"/>
          <w:sz w:val="20"/>
        </w:rPr>
        <w:t>The following Accounting Standards Updates (ASUs)</w:t>
      </w:r>
      <w:r>
        <w:rPr>
          <w:rFonts w:ascii="Times New Roman" w:hAnsi="Times New Roman"/>
          <w:color w:val="000000"/>
          <w:sz w:val="20"/>
        </w:rPr>
        <w:t xml:space="preserve"> </w:t>
      </w:r>
      <w:r>
        <w:rPr>
          <w:rFonts w:ascii="Arial" w:hAnsi="Arial"/>
          <w:color w:val="000000"/>
          <w:sz w:val="20"/>
        </w:rPr>
        <w:t>were issued by the Financial Accounting Standards Board (FASB) but not yet adopted by Flywire as of June 30, 2026:</w:t>
      </w:r>
    </w:p>
    <w:p>
      <w:pPr>
        <w:pStyle w:val="TextBody"/>
        <w:bidi w:val="0"/>
        <w:jc w:val="left"/>
        <w:rPr>
          <w:rFonts w:ascii="Times New Roman" w:hAnsi="Times New Roman"/>
          <w:sz w:val="20"/>
        </w:rPr>
      </w:pPr>
      <w:r>
        <w:rPr>
          <w:rFonts w:ascii="Arial" w:hAnsi="Arial"/>
          <w:color w:val="000000"/>
          <w:sz w:val="20"/>
        </w:rPr>
        <w:t xml:space="preserve">ASU 2024-03, </w:t>
      </w:r>
      <w:r>
        <w:rPr>
          <w:rFonts w:ascii="Arial" w:hAnsi="Arial"/>
          <w:i/>
          <w:color w:val="000000"/>
          <w:sz w:val="20"/>
        </w:rPr>
        <w:t xml:space="preserve">Income Statement - Reporting Comprehensive Income - Expense Disaggregation Disclosures (Subtopic 220-40): Disaggregation of Income Statement Expenses: </w:t>
      </w:r>
      <w:r>
        <w:rPr>
          <w:rFonts w:ascii="Arial" w:hAnsi="Arial"/>
          <w:color w:val="000000"/>
          <w:sz w:val="20"/>
        </w:rPr>
        <w:t xml:space="preserve">ASU 2024-03 is intended to improve the disclosures of expenses by providing more detailed 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2025-01, </w:t>
      </w:r>
      <w:r>
        <w:rPr>
          <w:rFonts w:ascii="Arial" w:hAnsi="Arial"/>
          <w:i/>
          <w:color w:val="000000"/>
          <w:sz w:val="20"/>
        </w:rPr>
        <w:t>Income Statement - Reporting Comprehensive Income - Expense Disaggregation Disclosures (Subtopic 220-40): Clarifying the Effective Date,</w:t>
      </w:r>
      <w:r>
        <w:rPr>
          <w:rFonts w:ascii="Times New Roman" w:hAnsi="Times New Roman"/>
          <w:color w:val="000000"/>
          <w:sz w:val="20"/>
        </w:rPr>
        <w:t xml:space="preserve"> </w:t>
      </w:r>
      <w:r>
        <w:rPr>
          <w:rFonts w:ascii="Arial" w:hAnsi="Arial"/>
          <w:color w:val="000000"/>
          <w:sz w:val="20"/>
        </w:rPr>
        <w:t>clarifies the amendments in ASU 2024-03 are effective for the Company for the annual period beginning on January 1, 2027, and interim reporting periods within annual reporting periods beginning January 1, 2028. The Company is currently evaluating the impact of this standard on its consolidated financial statements and disclosures.</w:t>
      </w:r>
    </w:p>
    <w:p>
      <w:pPr>
        <w:pStyle w:val="TextBody"/>
        <w:bidi w:val="0"/>
        <w:spacing w:before="200" w:after="283"/>
        <w:jc w:val="left"/>
        <w:rPr>
          <w:rFonts w:ascii="Times New Roman" w:hAnsi="Times New Roman"/>
          <w:sz w:val="20"/>
        </w:rPr>
      </w:pPr>
      <w:r>
        <w:rPr>
          <w:rFonts w:ascii="Arial" w:hAnsi="Arial"/>
          <w:color w:val="000000"/>
          <w:sz w:val="20"/>
        </w:rPr>
        <w:t xml:space="preserve">ASU 2025-06, </w:t>
      </w:r>
      <w:r>
        <w:rPr>
          <w:rFonts w:ascii="Arial" w:hAnsi="Arial"/>
          <w:i/>
          <w:color w:val="000000"/>
          <w:sz w:val="20"/>
        </w:rPr>
        <w:t>Intangibles - Goodwill and Other - Internal-Use Software (Subtopic 350-40): Targeted Improvements to the Accounting for Internal-Use Software</w:t>
      </w:r>
      <w:r>
        <w:rPr>
          <w:rFonts w:ascii="Arial" w:hAnsi="Arial"/>
          <w:color w:val="000000"/>
          <w:sz w:val="20"/>
        </w:rPr>
        <w:t>: ASU 2025-06 amends certain aspects of the accounting for and disclosure of software costs. Rather than identifying stages, ASC 350-40-25-12 clarifies the following must be met to begin capitalizing</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software costs: (i) management, with the relevant authority, implicitly or explicitly authorizes and commits to funding a computer software project; and (ii) it is probable that the project will be completed and the software will be used to perform the function intended (probable-to-complete recognition threshold). ASU 2025-06 is effective for the Company for the annual period beginning on January 1, 2028, and interim reporting periods within those annual reporting periods beginning on January 1, 2028. ASU 2025-06 should be applied on a prospective basis with early adoption permitted. The Company is currently evaluating the impact of this standard on its consolidated financial statements and disclosures.</w:t>
      </w:r>
    </w:p>
    <w:p>
      <w:pPr>
        <w:pStyle w:val="TextBody"/>
        <w:bidi w:val="0"/>
        <w:spacing w:before="200" w:after="283"/>
        <w:jc w:val="left"/>
        <w:rPr>
          <w:rFonts w:ascii="Times New Roman" w:hAnsi="Times New Roman"/>
          <w:sz w:val="20"/>
        </w:rPr>
      </w:pPr>
      <w:bookmarkStart w:id="14" w:name="note_2"/>
      <w:bookmarkEnd w:id="14"/>
      <w:r>
        <w:rPr>
          <w:rFonts w:ascii="Arial" w:hAnsi="Arial"/>
          <w:b/>
          <w:color w:val="000000"/>
          <w:sz w:val="20"/>
        </w:rPr>
        <w:t>Note 2. Revenue and Recognition</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following table presents revenue disaggregated by geographical area and major solutions. The categorization of revenue by geographical location is determined based on the location where the client resides.</w:t>
      </w:r>
    </w:p>
    <w:tbl>
      <w:tblPr>
        <w:tblW w:w="8090" w:type="dxa"/>
        <w:jc w:val="left"/>
        <w:tblInd w:w="0" w:type="dxa"/>
        <w:tblLayout w:type="fixed"/>
        <w:tblCellMar>
          <w:top w:w="28" w:type="dxa"/>
          <w:left w:w="28" w:type="dxa"/>
          <w:bottom w:w="28" w:type="dxa"/>
          <w:right w:w="28" w:type="dxa"/>
        </w:tblCellMar>
      </w:tblPr>
      <w:tblGrid>
        <w:gridCol w:w="2731"/>
        <w:gridCol w:w="146"/>
        <w:gridCol w:w="260"/>
        <w:gridCol w:w="962"/>
        <w:gridCol w:w="179"/>
        <w:gridCol w:w="260"/>
        <w:gridCol w:w="962"/>
        <w:gridCol w:w="146"/>
        <w:gridCol w:w="217"/>
        <w:gridCol w:w="804"/>
        <w:gridCol w:w="150"/>
        <w:gridCol w:w="217"/>
        <w:gridCol w:w="105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Primary geographical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171,122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119,218</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129,248</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102,225</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25,530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55,486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43,900</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167,744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355,856</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265,343</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Major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135,898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291,103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209,064</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31,846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64,753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56,279</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167,744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355,856</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265,343</w:t>
            </w:r>
          </w:p>
        </w:tc>
      </w:tr>
    </w:tbl>
    <w:p>
      <w:pPr>
        <w:pStyle w:val="TextBody"/>
        <w:bidi w:val="0"/>
        <w:spacing w:before="200" w:after="200"/>
        <w:jc w:val="left"/>
        <w:rPr>
          <w:rFonts w:ascii="Times New Roman" w:hAnsi="Times New Roman"/>
          <w:sz w:val="20"/>
        </w:rPr>
      </w:pPr>
      <w:r>
        <w:rPr>
          <w:rFonts w:ascii="Arial" w:hAnsi="Arial"/>
          <w:color w:val="000000"/>
          <w:sz w:val="20"/>
        </w:rPr>
        <w:t>For the three months ended June 30, 2026 and 2025, the Company recognized $5.5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revenue from amounts that were included in deferred revenue as of December 31, 2025 and 2024, respectively. For the six months ended June 30, 2026 and 2025, the Company recognized $15.6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$5.7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revenue from amounts that were included in deferred revenue as of December 31, 2025 and 2024, respectively.</w:t>
      </w:r>
    </w:p>
    <w:p>
      <w:pPr>
        <w:pStyle w:val="TextBody"/>
        <w:bidi w:val="0"/>
        <w:spacing w:before="0" w:after="200"/>
        <w:jc w:val="left"/>
        <w:rPr>
          <w:rFonts w:ascii="Arial" w:hAnsi="Arial"/>
          <w:b/>
          <w:i/>
          <w:color w:val="000000"/>
          <w:sz w:val="20"/>
        </w:rPr>
      </w:pPr>
      <w:r>
        <w:rPr>
          <w:rFonts w:ascii="Arial" w:hAnsi="Arial"/>
          <w:b/>
          <w:i/>
          <w:color w:val="000000"/>
          <w:sz w:val="20"/>
        </w:rPr>
        <w:t>Remaining Performance Obligations</w:t>
      </w:r>
    </w:p>
    <w:p>
      <w:pPr>
        <w:pStyle w:val="TextBody"/>
        <w:bidi w:val="0"/>
        <w:jc w:val="left"/>
        <w:rPr>
          <w:rFonts w:ascii="Times New Roman" w:hAnsi="Times New Roman"/>
          <w:sz w:val="20"/>
        </w:rPr>
      </w:pPr>
      <w:r>
        <w:rPr>
          <w:rFonts w:ascii="Arial" w:hAnsi="Arial"/>
          <w:color w:val="000000"/>
          <w:sz w:val="20"/>
        </w:rPr>
        <w:t>The Company has performance obligations associated with certain clients' contracts for future services that have not yet been recognized as revenue. As of June 30, 2026, the aggregate amount of transaction price allocated to performance obligations that are unsatisfied or partially unsatisfied, including deferred revenue, was approximately $16.3</w:t>
      </w:r>
      <w:r>
        <w:rPr>
          <w:rFonts w:ascii="Times New Roman" w:hAnsi="Times New Roman"/>
          <w:color w:val="000000"/>
          <w:sz w:val="20"/>
        </w:rPr>
        <w:t xml:space="preserve"> </w:t>
      </w:r>
      <w:r>
        <w:rPr>
          <w:rFonts w:ascii="Arial" w:hAnsi="Arial"/>
          <w:color w:val="000000"/>
          <w:sz w:val="20"/>
        </w:rPr>
        <w:t>million. Of the total remaining performance obligations, the Company expects to recognize approximately 41.1%</w:t>
      </w:r>
      <w:r>
        <w:rPr>
          <w:rFonts w:ascii="Times New Roman" w:hAnsi="Times New Roman"/>
          <w:color w:val="000000"/>
          <w:sz w:val="20"/>
        </w:rPr>
        <w:t xml:space="preserve"> </w:t>
      </w:r>
      <w:r>
        <w:rPr>
          <w:rFonts w:ascii="Arial" w:hAnsi="Arial"/>
          <w:color w:val="000000"/>
          <w:sz w:val="20"/>
        </w:rPr>
        <w:t>within the next year, 25.5%</w:t>
      </w:r>
      <w:r>
        <w:rPr>
          <w:rFonts w:ascii="Times New Roman" w:hAnsi="Times New Roman"/>
          <w:color w:val="000000"/>
          <w:sz w:val="20"/>
        </w:rPr>
        <w:t xml:space="preserve"> </w:t>
      </w:r>
      <w:r>
        <w:rPr>
          <w:rFonts w:ascii="Arial" w:hAnsi="Arial"/>
          <w:color w:val="000000"/>
          <w:sz w:val="20"/>
        </w:rPr>
        <w:t>after one year through year two, and 33.4%</w:t>
      </w:r>
      <w:r>
        <w:rPr>
          <w:rFonts w:ascii="Times New Roman" w:hAnsi="Times New Roman"/>
          <w:color w:val="000000"/>
          <w:sz w:val="20"/>
        </w:rPr>
        <w:t xml:space="preserve"> </w:t>
      </w:r>
      <w:r>
        <w:rPr>
          <w:rFonts w:ascii="Arial" w:hAnsi="Arial"/>
          <w:color w:val="000000"/>
          <w:sz w:val="20"/>
        </w:rPr>
        <w:t>over the next three to five years thereafter. Actual amounts and timing of revenue recognized may differ due to subsequent contract modifications, renewals and/or terminations.</w:t>
      </w:r>
    </w:p>
    <w:p>
      <w:pPr>
        <w:pStyle w:val="TextBody"/>
        <w:bidi w:val="0"/>
        <w:spacing w:before="200" w:after="283"/>
        <w:jc w:val="left"/>
        <w:rPr>
          <w:rFonts w:ascii="Arial" w:hAnsi="Arial"/>
          <w:b/>
          <w:color w:val="000000"/>
          <w:sz w:val="20"/>
        </w:rPr>
      </w:pPr>
      <w:bookmarkStart w:id="15" w:name="note_3_segmentinformation"/>
      <w:bookmarkEnd w:id="15"/>
      <w:r>
        <w:rPr>
          <w:rFonts w:ascii="Arial" w:hAnsi="Arial"/>
          <w:b/>
          <w:color w:val="000000"/>
          <w:sz w:val="20"/>
        </w:rPr>
        <w:t>Note 3. Segment Information</w:t>
      </w:r>
    </w:p>
    <w:p>
      <w:pPr>
        <w:pStyle w:val="TextBody"/>
        <w:bidi w:val="0"/>
        <w:spacing w:before="200" w:after="200"/>
        <w:jc w:val="left"/>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including allocation of resources and assessing profitability, based on multiple performance measures, including, but not limited to net income (loss).</w:t>
      </w:r>
    </w:p>
    <w:p>
      <w:pPr>
        <w:pStyle w:val="TextBody"/>
        <w:bidi w:val="0"/>
        <w:spacing w:before="0" w:after="200"/>
        <w:jc w:val="left"/>
        <w:rPr>
          <w:rFonts w:ascii="Arial" w:hAnsi="Arial"/>
          <w:color w:val="000000"/>
          <w:sz w:val="20"/>
        </w:rPr>
      </w:pPr>
      <w:r>
        <w:rPr>
          <w:rFonts w:ascii="Arial" w:hAnsi="Arial"/>
          <w:color w:val="000000"/>
          <w:sz w:val="20"/>
        </w:rPr>
        <w:t>The following table presents the Company's significant segment expenses and other segment items for the three and six months ended June 30, 2026 and 2025. The CODM does not regularly review segment asset information, which is total assets, for the purpose of assessing performance and making resource allocation decisions; therefore, such information is not presented.</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137" w:type="dxa"/>
        <w:jc w:val="left"/>
        <w:tblInd w:w="0" w:type="dxa"/>
        <w:tblLayout w:type="fixed"/>
        <w:tblCellMar>
          <w:top w:w="28" w:type="dxa"/>
          <w:left w:w="28" w:type="dxa"/>
          <w:bottom w:w="28" w:type="dxa"/>
          <w:right w:w="28" w:type="dxa"/>
        </w:tblCellMar>
      </w:tblPr>
      <w:tblGrid>
        <w:gridCol w:w="4736"/>
        <w:gridCol w:w="146"/>
        <w:gridCol w:w="258"/>
        <w:gridCol w:w="956"/>
        <w:gridCol w:w="178"/>
        <w:gridCol w:w="258"/>
        <w:gridCol w:w="974"/>
        <w:gridCol w:w="146"/>
        <w:gridCol w:w="211"/>
        <w:gridCol w:w="781"/>
        <w:gridCol w:w="146"/>
        <w:gridCol w:w="211"/>
        <w:gridCol w:w="1136"/>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167,744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265,343</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Payment processing services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71,064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95,778</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Personnel expense </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82,422</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28,405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52,157</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13,038</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Stock-based compensation expense </w:t>
            </w:r>
            <w:r>
              <w:rPr>
                <w:rFonts w:ascii="Arial" w:hAnsi="Arial"/>
                <w:color w:val="000000"/>
                <w:sz w:val="12"/>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17,753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33,251</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8,690</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1,789</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(4,023)</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Loss (gain)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(7,523)</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(166)</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6,097</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Segment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bl>
    <w:p>
      <w:pPr>
        <w:pStyle w:val="TextBody"/>
        <w:bidi w:val="0"/>
        <w:jc w:val="left"/>
        <w:rPr>
          <w:rFonts w:ascii="Arial" w:hAnsi="Arial"/>
          <w:color w:val="000000"/>
          <w:sz w:val="16"/>
        </w:rPr>
      </w:pPr>
      <w:r>
        <w:rPr>
          <w:rFonts w:ascii="Arial" w:hAnsi="Arial"/>
          <w:color w:val="000000"/>
          <w:sz w:val="16"/>
        </w:rPr>
        <w:t>____________________________</w:t>
      </w:r>
    </w:p>
    <w:p>
      <w:pPr>
        <w:pStyle w:val="TextBody"/>
        <w:bidi w:val="0"/>
        <w:spacing w:before="0" w:after="60"/>
        <w:jc w:val="left"/>
        <w:rPr>
          <w:rFonts w:ascii="Times New Roman" w:hAnsi="Times New Roman"/>
          <w:sz w:val="20"/>
        </w:rPr>
      </w:pPr>
      <w:r>
        <w:rPr>
          <w:rFonts w:ascii="Arial" w:hAnsi="Arial"/>
          <w:color w:val="1F1F1F"/>
          <w:sz w:val="11"/>
        </w:rPr>
        <w:t>(a)</w:t>
      </w:r>
      <w:r>
        <w:rPr>
          <w:rFonts w:ascii="Times New Roman" w:hAnsi="Times New Roman"/>
          <w:color w:val="1F1F1F"/>
          <w:sz w:val="20"/>
        </w:rPr>
        <w:t xml:space="preserve"> </w:t>
      </w:r>
      <w:r>
        <w:rPr>
          <w:rFonts w:ascii="Arial" w:hAnsi="Arial"/>
          <w:color w:val="1F1F1F"/>
          <w:sz w:val="16"/>
        </w:rPr>
        <w:t>Personnel expense includes employees' and contractors' compensation in technology and development, selling and marketing, and general and administrative operating expenses.</w:t>
      </w:r>
    </w:p>
    <w:p>
      <w:pPr>
        <w:pStyle w:val="TextBody"/>
        <w:bidi w:val="0"/>
        <w:spacing w:before="0" w:after="60"/>
        <w:jc w:val="left"/>
        <w:rPr>
          <w:rFonts w:ascii="Times New Roman" w:hAnsi="Times New Roman"/>
          <w:sz w:val="20"/>
        </w:rPr>
      </w:pPr>
      <w:r>
        <w:rPr>
          <w:rFonts w:ascii="Arial" w:hAnsi="Arial"/>
          <w:color w:val="1F1F1F"/>
          <w:sz w:val="11"/>
        </w:rPr>
        <w:t>(b)</w:t>
      </w:r>
      <w:r>
        <w:rPr>
          <w:rFonts w:ascii="Times New Roman" w:hAnsi="Times New Roman"/>
          <w:color w:val="1F1F1F"/>
          <w:sz w:val="20"/>
        </w:rPr>
        <w:t xml:space="preserve"> </w:t>
      </w:r>
      <w:r>
        <w:rPr>
          <w:rFonts w:ascii="Arial" w:hAnsi="Arial"/>
          <w:color w:val="1F1F1F"/>
          <w:sz w:val="16"/>
        </w:rPr>
        <w:t>Other segment items in segment income include the following expenses: professional fees, marketing, travel, facilities, software, ancillary services, acquisition-related transaction costs, and other general and administrative costs.</w:t>
      </w:r>
    </w:p>
    <w:p>
      <w:pPr>
        <w:pStyle w:val="TextBody"/>
        <w:bidi w:val="0"/>
        <w:spacing w:before="0" w:after="60"/>
        <w:jc w:val="left"/>
        <w:rPr>
          <w:rFonts w:ascii="Times New Roman" w:hAnsi="Times New Roman"/>
          <w:sz w:val="20"/>
        </w:rPr>
      </w:pPr>
      <w:r>
        <w:rPr>
          <w:rFonts w:ascii="Arial" w:hAnsi="Arial"/>
          <w:color w:val="1F1F1F"/>
          <w:sz w:val="11"/>
        </w:rPr>
        <w:t xml:space="preserve">(c) </w:t>
      </w:r>
      <w:r>
        <w:rPr>
          <w:rFonts w:ascii="Arial" w:hAnsi="Arial"/>
          <w:color w:val="1F1F1F"/>
          <w:sz w:val="16"/>
        </w:rPr>
        <w:t>Stock-based compensation expense includes employer payroll taxes and excludes stock-based compensation relating to restructuring.</w:t>
      </w:r>
    </w:p>
    <w:p>
      <w:pPr>
        <w:pStyle w:val="TextBody"/>
        <w:bidi w:val="0"/>
        <w:spacing w:before="140" w:after="283"/>
        <w:jc w:val="left"/>
        <w:rPr>
          <w:rFonts w:ascii="Times New Roman" w:hAnsi="Times New Roman"/>
          <w:sz w:val="20"/>
        </w:rPr>
      </w:pPr>
      <w:r>
        <w:rPr>
          <w:rFonts w:ascii="Arial" w:hAnsi="Arial"/>
          <w:color w:val="1F1F1F"/>
          <w:sz w:val="20"/>
        </w:rPr>
        <w:t xml:space="preserve">See </w:t>
      </w:r>
      <w:r>
        <w:rPr>
          <w:rFonts w:ascii="Arial" w:hAnsi="Arial"/>
          <w:i/>
          <w:color w:val="1F1F1F"/>
          <w:sz w:val="20"/>
        </w:rPr>
        <w:t>Note 2 - Revenue and Recognition</w:t>
      </w:r>
      <w:r>
        <w:rPr>
          <w:rFonts w:ascii="Times New Roman" w:hAnsi="Times New Roman"/>
          <w:color w:val="1F1F1F"/>
          <w:sz w:val="20"/>
        </w:rPr>
        <w:t xml:space="preserve"> </w:t>
      </w:r>
      <w:r>
        <w:rPr>
          <w:rFonts w:ascii="Arial" w:hAnsi="Arial"/>
          <w:color w:val="1F1F1F"/>
          <w:sz w:val="20"/>
        </w:rPr>
        <w:t>for information regarding the Company's revenue by geographic area.</w:t>
      </w:r>
    </w:p>
    <w:p>
      <w:pPr>
        <w:pStyle w:val="TextBody"/>
        <w:bidi w:val="0"/>
        <w:spacing w:before="200" w:after="283"/>
        <w:jc w:val="left"/>
        <w:rPr>
          <w:rFonts w:ascii="Arial" w:hAnsi="Arial"/>
          <w:b/>
          <w:color w:val="000000"/>
          <w:sz w:val="20"/>
        </w:rPr>
      </w:pPr>
      <w:bookmarkStart w:id="16" w:name="note3_investments"/>
      <w:bookmarkEnd w:id="16"/>
      <w:r>
        <w:rPr>
          <w:rFonts w:ascii="Arial" w:hAnsi="Arial"/>
          <w:b/>
          <w:color w:val="000000"/>
          <w:sz w:val="20"/>
        </w:rPr>
        <w:t>Note 4. Investments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investments as of June 30, 2026 (in thousands):</w:t>
      </w:r>
    </w:p>
    <w:tbl>
      <w:tblPr>
        <w:tblW w:w="10205" w:type="dxa"/>
        <w:jc w:val="left"/>
        <w:tblInd w:w="0" w:type="dxa"/>
        <w:tblLayout w:type="fixed"/>
        <w:tblCellMar>
          <w:top w:w="28" w:type="dxa"/>
          <w:left w:w="28" w:type="dxa"/>
          <w:bottom w:w="28" w:type="dxa"/>
          <w:right w:w="28" w:type="dxa"/>
        </w:tblCellMar>
      </w:tblPr>
      <w:tblGrid>
        <w:gridCol w:w="2128"/>
        <w:gridCol w:w="379"/>
        <w:gridCol w:w="1223"/>
        <w:gridCol w:w="146"/>
        <w:gridCol w:w="637"/>
        <w:gridCol w:w="1049"/>
        <w:gridCol w:w="146"/>
        <w:gridCol w:w="668"/>
        <w:gridCol w:w="1100"/>
        <w:gridCol w:w="146"/>
        <w:gridCol w:w="551"/>
        <w:gridCol w:w="829"/>
        <w:gridCol w:w="146"/>
        <w:gridCol w:w="237"/>
        <w:gridCol w:w="820"/>
      </w:tblGrid>
      <w:tr>
        <w:trPr/>
        <w:tc>
          <w:tcPr>
            <w:tcW w:w="212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w:t>
              <w:br/>
              <w:t>Fair Value</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714</w:t>
            </w:r>
          </w:p>
        </w:tc>
      </w:tr>
      <w:tr>
        <w:trPr/>
        <w:tc>
          <w:tcPr>
            <w:tcW w:w="21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obligations</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11,078</w:t>
            </w:r>
          </w:p>
        </w:tc>
      </w:tr>
      <w:tr>
        <w:trPr/>
        <w:tc>
          <w:tcPr>
            <w:tcW w:w="21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3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11,691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11,792</w:t>
            </w:r>
          </w:p>
        </w:tc>
      </w:tr>
    </w:tbl>
    <w:p>
      <w:pPr>
        <w:pStyle w:val="TextBody"/>
        <w:bidi w:val="0"/>
        <w:spacing w:before="20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investments as of December 31, 2025 (in thousands):</w:t>
      </w:r>
    </w:p>
    <w:tbl>
      <w:tblPr>
        <w:tblW w:w="10205" w:type="dxa"/>
        <w:jc w:val="left"/>
        <w:tblInd w:w="0" w:type="dxa"/>
        <w:tblLayout w:type="fixed"/>
        <w:tblCellMar>
          <w:top w:w="28" w:type="dxa"/>
          <w:left w:w="28" w:type="dxa"/>
          <w:bottom w:w="28" w:type="dxa"/>
          <w:right w:w="28" w:type="dxa"/>
        </w:tblCellMar>
      </w:tblPr>
      <w:tblGrid>
        <w:gridCol w:w="2077"/>
        <w:gridCol w:w="430"/>
        <w:gridCol w:w="1186"/>
        <w:gridCol w:w="146"/>
        <w:gridCol w:w="680"/>
        <w:gridCol w:w="1022"/>
        <w:gridCol w:w="146"/>
        <w:gridCol w:w="674"/>
        <w:gridCol w:w="1110"/>
        <w:gridCol w:w="146"/>
        <w:gridCol w:w="461"/>
        <w:gridCol w:w="926"/>
        <w:gridCol w:w="146"/>
        <w:gridCol w:w="215"/>
        <w:gridCol w:w="840"/>
      </w:tblGrid>
      <w:tr>
        <w:trPr/>
        <w:tc>
          <w:tcPr>
            <w:tcW w:w="207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w:t>
              <w:br/>
              <w:t>Fair Value</w:t>
            </w:r>
          </w:p>
        </w:tc>
      </w:tr>
      <w:tr>
        <w:trPr/>
        <w:tc>
          <w:tcPr>
            <w:tcW w:w="20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4,850</w:t>
            </w:r>
          </w:p>
        </w:tc>
      </w:tr>
      <w:tr>
        <w:trPr/>
        <w:tc>
          <w:tcPr>
            <w:tcW w:w="20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4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r>
      <w:tr>
        <w:trPr/>
        <w:tc>
          <w:tcPr>
            <w:tcW w:w="20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4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24,381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r>
    </w:tbl>
    <w:p>
      <w:pPr>
        <w:pStyle w:val="TextBody"/>
        <w:bidi w:val="0"/>
        <w:spacing w:before="200" w:after="200"/>
        <w:jc w:val="left"/>
        <w:rPr>
          <w:rFonts w:ascii="Arial" w:hAnsi="Arial"/>
          <w:color w:val="000000"/>
          <w:sz w:val="20"/>
        </w:rPr>
      </w:pPr>
      <w:r>
        <w:rPr>
          <w:rFonts w:ascii="Arial" w:hAnsi="Arial"/>
          <w:color w:val="000000"/>
          <w:sz w:val="20"/>
        </w:rPr>
        <w:t>As of June 30, 2026 and December 31, 2025, all of the Company's available-for-sale debt securities are due within one year.</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As of June 30, 2026 and December 31, 2025, none of the investments in available-for-sale debt securities were in an unrealized loss position.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For the three and six months ended June 30, 2026, the Company received proceeds of $1.4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$12.7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from the maturity and sale of short-term investments, respectively. For the three and six months ended June 30, 2025, the Company received proceeds of $43.6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$142.3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from the maturity and sale of short-term and long-term investments, respectively, primarily used to partially pay down the outstanding debt under the Company's revolving credit facility used for the Sertifi acquisition.</w:t>
      </w:r>
    </w:p>
    <w:p>
      <w:pPr>
        <w:pStyle w:val="TextBody"/>
        <w:bidi w:val="0"/>
        <w:spacing w:before="200" w:after="283"/>
        <w:jc w:val="left"/>
        <w:rPr>
          <w:rFonts w:ascii="Times New Roman" w:hAnsi="Times New Roman"/>
          <w:sz w:val="20"/>
        </w:rPr>
      </w:pPr>
      <w:r>
        <w:rPr>
          <w:rFonts w:ascii="Arial" w:hAnsi="Arial"/>
          <w:color w:val="000000"/>
          <w:sz w:val="20"/>
        </w:rPr>
        <w:t>Realized gains and losses on investments are calculated on the basis of specific identification. During the three and six months ended June 30, 2026, there were no</w:t>
      </w:r>
      <w:r>
        <w:rPr>
          <w:rFonts w:ascii="Times New Roman" w:hAnsi="Times New Roman"/>
          <w:color w:val="000000"/>
          <w:sz w:val="20"/>
        </w:rPr>
        <w:t xml:space="preserve"> </w:t>
      </w:r>
      <w:r>
        <w:rPr>
          <w:rFonts w:ascii="Arial" w:hAnsi="Arial"/>
          <w:color w:val="000000"/>
          <w:sz w:val="20"/>
        </w:rPr>
        <w:t>realized gains or losses on the sale of the available-for-sale debt securities. During the three months ended June 30, 2025, realized gains were less than $0.1</w:t>
      </w:r>
      <w:r>
        <w:rPr>
          <w:rFonts w:ascii="Times New Roman" w:hAnsi="Times New Roman"/>
          <w:color w:val="000000"/>
          <w:sz w:val="20"/>
        </w:rPr>
        <w:t xml:space="preserve"> </w:t>
      </w:r>
      <w:r>
        <w:rPr>
          <w:rFonts w:ascii="Arial" w:hAnsi="Arial"/>
          <w:color w:val="000000"/>
          <w:sz w:val="20"/>
        </w:rPr>
        <w:t>million and there were no</w:t>
      </w:r>
      <w:r>
        <w:rPr>
          <w:rFonts w:ascii="Times New Roman" w:hAnsi="Times New Roman"/>
          <w:color w:val="000000"/>
          <w:sz w:val="20"/>
        </w:rPr>
        <w:t xml:space="preserve"> </w:t>
      </w:r>
      <w:r>
        <w:rPr>
          <w:rFonts w:ascii="Arial" w:hAnsi="Arial"/>
          <w:color w:val="000000"/>
          <w:sz w:val="20"/>
        </w:rPr>
        <w:t>realized losses on the sale of the available-for-sale debt securities. During the six months ended June 30, 2025, realized gains were $0.2</w:t>
      </w:r>
      <w:r>
        <w:rPr>
          <w:rFonts w:ascii="Times New Roman" w:hAnsi="Times New Roman"/>
          <w:color w:val="000000"/>
          <w:sz w:val="20"/>
        </w:rPr>
        <w:t xml:space="preserve"> </w:t>
      </w:r>
      <w:r>
        <w:rPr>
          <w:rFonts w:ascii="Arial" w:hAnsi="Arial"/>
          <w:color w:val="000000"/>
          <w:sz w:val="20"/>
        </w:rPr>
        <w:t>million and realized losses were less than $0.1</w:t>
      </w:r>
      <w:r>
        <w:rPr>
          <w:rFonts w:ascii="Times New Roman" w:hAnsi="Times New Roman"/>
          <w:color w:val="000000"/>
          <w:sz w:val="20"/>
        </w:rPr>
        <w:t xml:space="preserve"> </w:t>
      </w:r>
      <w:r>
        <w:rPr>
          <w:rFonts w:ascii="Arial" w:hAnsi="Arial"/>
          <w:color w:val="000000"/>
          <w:sz w:val="20"/>
        </w:rPr>
        <w:t>million on the sale of available-for-sale debt securities.</w:t>
      </w:r>
    </w:p>
    <w:p>
      <w:pPr>
        <w:pStyle w:val="TextBody"/>
        <w:bidi w:val="0"/>
        <w:spacing w:before="200" w:after="283"/>
        <w:jc w:val="left"/>
        <w:rPr>
          <w:rFonts w:ascii="Times New Roman" w:hAnsi="Times New Roman"/>
          <w:sz w:val="20"/>
        </w:rPr>
      </w:pPr>
      <w:bookmarkStart w:id="17" w:name="note_4"/>
      <w:bookmarkEnd w:id="17"/>
      <w:r>
        <w:rPr>
          <w:rFonts w:ascii="Arial" w:hAnsi="Arial"/>
          <w:b/>
          <w:color w:val="000000"/>
          <w:sz w:val="20"/>
        </w:rPr>
        <w:t>Note 5. Fair Value Measurements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spacing w:before="0" w:after="200"/>
        <w:jc w:val="left"/>
        <w:rPr>
          <w:rFonts w:ascii="Arial" w:hAnsi="Arial"/>
          <w:color w:val="000000"/>
          <w:sz w:val="20"/>
        </w:rPr>
      </w:pPr>
      <w:r>
        <w:rPr>
          <w:rFonts w:ascii="Arial" w:hAnsi="Arial"/>
          <w:color w:val="000000"/>
          <w:sz w:val="20"/>
        </w:rPr>
        <w:t>Level 1 - Quoted prices in active markets for identical assets or liabilities.</w:t>
      </w:r>
    </w:p>
    <w:p>
      <w:pPr>
        <w:pStyle w:val="TextBody"/>
        <w:bidi w:val="0"/>
        <w:spacing w:before="0" w:after="200"/>
        <w:jc w:val="left"/>
        <w:rPr>
          <w:rFonts w:ascii="Arial" w:hAnsi="Arial"/>
          <w:color w:val="000000"/>
          <w:sz w:val="20"/>
        </w:rPr>
      </w:pPr>
      <w:r>
        <w:rPr>
          <w:rFonts w:ascii="Arial" w:hAnsi="Arial"/>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200"/>
        <w:jc w:val="left"/>
        <w:rPr>
          <w:rFonts w:ascii="Arial" w:hAnsi="Arial"/>
          <w:color w:val="000000"/>
          <w:sz w:val="20"/>
        </w:rPr>
      </w:pPr>
      <w:r>
        <w:rPr>
          <w:rFonts w:ascii="Arial" w:hAnsi="Arial"/>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0" w:after="200"/>
        <w:jc w:val="left"/>
        <w:rPr>
          <w:rFonts w:ascii="Arial" w:hAnsi="Arial"/>
          <w:color w:val="000000"/>
          <w:sz w:val="20"/>
        </w:rPr>
      </w:pPr>
      <w:r>
        <w:rPr>
          <w:rFonts w:ascii="Arial" w:hAnsi="Arial"/>
          <w:color w:val="000000"/>
          <w:sz w:val="20"/>
        </w:rPr>
        <w:t>The Company’s cash equivalents are carried at fair value (Level 1) as determined according to the fair value hierarchy described above. The money market funds, which are AAA-rated, are comprised of liquid, high-quality debt securities issued by the U.S. government. Shares in money market funds are purchased and redeemed at the net asset value (NAV) at the time of the purchase or sale, which may be purchased or redeemed on demand, as may be required by the Company, which represents Level 1 fair value. The Company's investments in available-for-sale debt securities and the foreign exchange contracts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pStyle w:val="TextBody"/>
        <w:bidi w:val="0"/>
        <w:spacing w:before="0" w:after="200"/>
        <w:jc w:val="left"/>
        <w:rPr>
          <w:rFonts w:ascii="Arial" w:hAnsi="Arial"/>
          <w:color w:val="000000"/>
          <w:sz w:val="20"/>
        </w:rPr>
      </w:pPr>
      <w:r>
        <w:rPr>
          <w:rFonts w:ascii="Arial" w:hAnsi="Arial"/>
          <w:color w:val="000000"/>
          <w:sz w:val="20"/>
        </w:rPr>
        <w:t>The following tables present the Company’s fair value hierarchy for its financial assets and liabilities that are measured at fair value on a recurring basis as of June 30, 2026 and December 31, 2025 (in thousands):</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787" w:type="dxa"/>
        <w:jc w:val="left"/>
        <w:tblInd w:w="0" w:type="dxa"/>
        <w:tblLayout w:type="fixed"/>
        <w:tblCellMar>
          <w:top w:w="28" w:type="dxa"/>
          <w:left w:w="28" w:type="dxa"/>
          <w:bottom w:w="28" w:type="dxa"/>
          <w:right w:w="28" w:type="dxa"/>
        </w:tblCellMar>
      </w:tblPr>
      <w:tblGrid>
        <w:gridCol w:w="2661"/>
        <w:gridCol w:w="211"/>
        <w:gridCol w:w="676"/>
        <w:gridCol w:w="146"/>
        <w:gridCol w:w="211"/>
        <w:gridCol w:w="676"/>
        <w:gridCol w:w="146"/>
        <w:gridCol w:w="211"/>
        <w:gridCol w:w="571"/>
        <w:gridCol w:w="146"/>
        <w:gridCol w:w="211"/>
        <w:gridCol w:w="921"/>
      </w:tblGrid>
      <w:tr>
        <w:trPr/>
        <w:tc>
          <w:tcPr>
            <w:tcW w:w="2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Measured at Fair Value as of June 30, 2026</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40,470</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exchange contracts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714</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obligations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11,078</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11,792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11,792</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52,314</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exchange contracts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78</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3,773</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3,851</w:t>
            </w:r>
          </w:p>
        </w:tc>
      </w:tr>
    </w:tbl>
    <w:p>
      <w:pPr>
        <w:pStyle w:val="TextBody"/>
        <w:bidi w:val="0"/>
        <w:jc w:val="left"/>
        <w:rPr/>
      </w:pPr>
      <w:r>
        <w:rPr/>
        <w:t> </w:t>
      </w:r>
    </w:p>
    <w:tbl>
      <w:tblPr>
        <w:tblW w:w="8077" w:type="dxa"/>
        <w:jc w:val="left"/>
        <w:tblInd w:w="0" w:type="dxa"/>
        <w:tblLayout w:type="fixed"/>
        <w:tblCellMar>
          <w:top w:w="28" w:type="dxa"/>
          <w:left w:w="28" w:type="dxa"/>
          <w:bottom w:w="28" w:type="dxa"/>
          <w:right w:w="28" w:type="dxa"/>
        </w:tblCellMar>
      </w:tblPr>
      <w:tblGrid>
        <w:gridCol w:w="2811"/>
        <w:gridCol w:w="346"/>
        <w:gridCol w:w="676"/>
        <w:gridCol w:w="346"/>
        <w:gridCol w:w="346"/>
        <w:gridCol w:w="676"/>
        <w:gridCol w:w="346"/>
        <w:gridCol w:w="346"/>
        <w:gridCol w:w="571"/>
        <w:gridCol w:w="346"/>
        <w:gridCol w:w="346"/>
        <w:gridCol w:w="921"/>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Measured at Fair Value as of December 31, 2025</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34,857</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exchange contracts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4,850</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short-term investments</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c>
          <w:tcPr>
            <w:tcW w:w="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assets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25,034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59,891</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exchange contracts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425</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Contingent consideration</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liabilities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w:t>
            </w:r>
          </w:p>
        </w:tc>
      </w:tr>
    </w:tbl>
    <w:p>
      <w:pPr>
        <w:pStyle w:val="TextBody"/>
        <w:bidi w:val="0"/>
        <w:spacing w:before="200" w:after="200"/>
        <w:jc w:val="left"/>
        <w:rPr>
          <w:rFonts w:ascii="Arial" w:hAnsi="Arial"/>
          <w:color w:val="000000"/>
          <w:sz w:val="20"/>
        </w:rPr>
      </w:pPr>
      <w:r>
        <w:rPr>
          <w:rFonts w:ascii="Arial" w:hAnsi="Arial"/>
          <w:color w:val="000000"/>
          <w:sz w:val="20"/>
        </w:rPr>
        <w:t>During the six months ended June 30, 2026, and the year ended December 31, 2025, there were no transfers between Level 1, Level 2, or Level 3.</w:t>
      </w:r>
    </w:p>
    <w:p>
      <w:pPr>
        <w:pStyle w:val="TextBody"/>
        <w:bidi w:val="0"/>
        <w:spacing w:before="0" w:after="200"/>
        <w:jc w:val="left"/>
        <w:rPr>
          <w:rFonts w:ascii="Arial" w:hAnsi="Arial"/>
          <w:b/>
          <w:i/>
          <w:color w:val="000000"/>
          <w:sz w:val="20"/>
        </w:rPr>
      </w:pPr>
      <w:r>
        <w:rPr>
          <w:rFonts w:ascii="Arial" w:hAnsi="Arial"/>
          <w:b/>
          <w:i/>
          <w:color w:val="000000"/>
          <w:sz w:val="20"/>
        </w:rPr>
        <w:t>Contingent consideration</w:t>
      </w:r>
    </w:p>
    <w:p>
      <w:pPr>
        <w:pStyle w:val="TextBody"/>
        <w:bidi w:val="0"/>
        <w:spacing w:before="0" w:after="200"/>
        <w:jc w:val="left"/>
        <w:rPr>
          <w:rFonts w:ascii="Arial" w:hAnsi="Arial"/>
          <w:b/>
          <w:i/>
          <w:color w:val="000000"/>
          <w:sz w:val="20"/>
        </w:rPr>
      </w:pPr>
      <w:r>
        <w:rPr>
          <w:rFonts w:ascii="Arial" w:hAnsi="Arial"/>
          <w:b/>
          <w:i/>
          <w:color w:val="000000"/>
          <w:sz w:val="20"/>
        </w:rPr>
        <w:t>Sertifi LLC (Sertifi)</w:t>
      </w:r>
    </w:p>
    <w:p>
      <w:pPr>
        <w:pStyle w:val="TextBody"/>
        <w:bidi w:val="0"/>
        <w:spacing w:before="0" w:after="200"/>
        <w:jc w:val="left"/>
        <w:rPr>
          <w:rFonts w:ascii="Times New Roman" w:hAnsi="Times New Roman"/>
          <w:sz w:val="20"/>
        </w:rPr>
      </w:pPr>
      <w:r>
        <w:rPr>
          <w:rFonts w:ascii="Arial" w:hAnsi="Arial"/>
          <w:color w:val="000000"/>
          <w:sz w:val="20"/>
        </w:rPr>
        <w:t>The fair value of the contingent consideration related to the gross profit milestone from the Company’s acquisition of Sertifi in February 2025 was determined using an option pricing model and the fair value of the contingent consideration related to the technology and security integration milestones was determined using a scenario-based method. Refer to Note 10 - Business Combinations</w:t>
      </w:r>
      <w:r>
        <w:rPr>
          <w:rFonts w:ascii="Times New Roman" w:hAnsi="Times New Roman"/>
          <w:color w:val="000000"/>
          <w:sz w:val="20"/>
        </w:rPr>
        <w:t xml:space="preserve"> </w:t>
      </w:r>
      <w:r>
        <w:rPr>
          <w:rFonts w:ascii="Arial" w:hAnsi="Arial"/>
          <w:color w:val="000000"/>
          <w:sz w:val="20"/>
        </w:rPr>
        <w:t>for additional details on the Sertifi acquisition. The following table presents the unobservable inputs incorporated into the fair value of the contingent consideration liability as of June 30, 2026.</w:t>
      </w:r>
    </w:p>
    <w:tbl>
      <w:tblPr>
        <w:tblW w:w="6625" w:type="dxa"/>
        <w:jc w:val="left"/>
        <w:tblInd w:w="0" w:type="dxa"/>
        <w:tblLayout w:type="fixed"/>
        <w:tblCellMar>
          <w:top w:w="28" w:type="dxa"/>
          <w:left w:w="28" w:type="dxa"/>
          <w:bottom w:w="28" w:type="dxa"/>
          <w:right w:w="28" w:type="dxa"/>
        </w:tblCellMar>
      </w:tblPr>
      <w:tblGrid>
        <w:gridCol w:w="3376"/>
        <w:gridCol w:w="550"/>
        <w:gridCol w:w="189"/>
        <w:gridCol w:w="550"/>
        <w:gridCol w:w="146"/>
        <w:gridCol w:w="744"/>
        <w:gridCol w:w="256"/>
        <w:gridCol w:w="814"/>
      </w:tblGrid>
      <w:tr>
        <w:trPr/>
        <w:tc>
          <w:tcPr>
            <w:tcW w:w="337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Discount rate</w:t>
            </w:r>
          </w:p>
        </w:tc>
        <w:tc>
          <w:tcPr>
            <w:tcW w:w="1289" w:type="dxa"/>
            <w:gridSpan w:val="3"/>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3"/>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6.6%</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Probability of successful achievement </w:t>
            </w:r>
            <w:r>
              <w:rPr>
                <w:rFonts w:ascii="Arial" w:hAnsi="Arial"/>
                <w:color w:val="000000"/>
                <w:sz w:val="12"/>
              </w:rPr>
              <w:t>(a)</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37%</w:t>
            </w:r>
          </w:p>
        </w:tc>
      </w:tr>
    </w:tbl>
    <w:p>
      <w:pPr>
        <w:pStyle w:val="TextBody"/>
        <w:bidi w:val="0"/>
        <w:spacing w:before="0" w:after="60"/>
        <w:jc w:val="left"/>
        <w:rPr>
          <w:rFonts w:ascii="Arial" w:hAnsi="Arial"/>
          <w:color w:val="000000"/>
          <w:sz w:val="16"/>
        </w:rPr>
      </w:pPr>
      <w:r>
        <w:rPr>
          <w:rFonts w:ascii="Arial" w:hAnsi="Arial"/>
          <w:color w:val="000000"/>
          <w:sz w:val="16"/>
        </w:rPr>
        <w:t>_____________________________</w:t>
      </w:r>
    </w:p>
    <w:p>
      <w:pPr>
        <w:pStyle w:val="TextBody"/>
        <w:bidi w:val="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Probability of successful</w:t>
      </w:r>
      <w:r>
        <w:rPr>
          <w:rFonts w:ascii="Times New Roman" w:hAnsi="Times New Roman"/>
          <w:color w:val="000000"/>
          <w:sz w:val="20"/>
        </w:rPr>
        <w:t xml:space="preserve"> </w:t>
      </w:r>
      <w:r>
        <w:rPr>
          <w:rFonts w:ascii="Arial" w:hAnsi="Arial"/>
          <w:color w:val="000000"/>
          <w:sz w:val="16"/>
        </w:rPr>
        <w:t>achievement was set at different targets based on the Company’s estimates on achieving them. The weighted average probability of successful achievement was 38.4%</w:t>
      </w:r>
      <w:r>
        <w:rPr>
          <w:rFonts w:ascii="Times New Roman" w:hAnsi="Times New Roman"/>
          <w:color w:val="000000"/>
          <w:sz w:val="20"/>
        </w:rPr>
        <w:t xml:space="preserve"> </w:t>
      </w:r>
      <w:r>
        <w:rPr>
          <w:rFonts w:ascii="Arial" w:hAnsi="Arial"/>
          <w:color w:val="000000"/>
          <w:sz w:val="16"/>
        </w:rPr>
        <w:t>as of June 30, 2026.</w:t>
      </w:r>
    </w:p>
    <w:p>
      <w:pPr>
        <w:pStyle w:val="TextBody"/>
        <w:bidi w:val="0"/>
        <w:spacing w:before="200" w:after="200"/>
        <w:jc w:val="left"/>
        <w:rPr>
          <w:rFonts w:ascii="Arial" w:hAnsi="Arial"/>
          <w:color w:val="000000"/>
          <w:sz w:val="20"/>
        </w:rPr>
      </w:pPr>
      <w:r>
        <w:rPr>
          <w:rFonts w:ascii="Arial" w:hAnsi="Arial"/>
          <w:color w:val="000000"/>
          <w:sz w:val="20"/>
        </w:rPr>
        <w:t>Increases or decreases in the discount rate would result in a lower or higher fair value measurement, respectively. Increases or decreases in any of the probabilities of success in which the gross profit and technology and security milestones are expected to be achieved would result in higher or lower fair value measurement, respectively.</w:t>
      </w:r>
    </w:p>
    <w:p>
      <w:pPr>
        <w:pStyle w:val="TextBody"/>
        <w:bidi w:val="0"/>
        <w:spacing w:before="0" w:after="200"/>
        <w:jc w:val="left"/>
        <w:rPr>
          <w:rFonts w:ascii="Times New Roman" w:hAnsi="Times New Roman"/>
          <w:sz w:val="20"/>
        </w:rPr>
      </w:pPr>
      <w:r>
        <w:rPr>
          <w:rFonts w:ascii="Arial" w:hAnsi="Arial"/>
          <w:color w:val="000000"/>
          <w:sz w:val="20"/>
        </w:rPr>
        <w:t>Changes in the fair value of contingent consideration are included as a component of general and administrative expense within the condensed consolidated statements of operations and comprehensive (loss) income. At June 30, 2026 and December 31, 2025, $3.8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$2.0</w:t>
      </w:r>
      <w:r>
        <w:rPr>
          <w:rFonts w:ascii="Times New Roman" w:hAnsi="Times New Roman"/>
          <w:color w:val="000000"/>
          <w:sz w:val="20"/>
        </w:rPr>
        <w:t xml:space="preserve"> </w:t>
      </w:r>
      <w:r>
        <w:rPr>
          <w:rFonts w:ascii="Arial" w:hAnsi="Arial"/>
          <w:color w:val="000000"/>
          <w:sz w:val="20"/>
        </w:rPr>
        <w:t>million, respectively, of contingent consideration was reflected in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Company's balance sheet in accrued expenses and other current liabilities. The following table summarizes the changes in the carrying value of the contingent consideration for the periods presented (in thousands):</w:t>
      </w:r>
    </w:p>
    <w:tbl>
      <w:tblPr>
        <w:tblW w:w="5790" w:type="dxa"/>
        <w:jc w:val="left"/>
        <w:tblInd w:w="0" w:type="dxa"/>
        <w:tblLayout w:type="fixed"/>
        <w:tblCellMar>
          <w:top w:w="28" w:type="dxa"/>
          <w:left w:w="28" w:type="dxa"/>
          <w:bottom w:w="28" w:type="dxa"/>
          <w:right w:w="28" w:type="dxa"/>
        </w:tblCellMar>
      </w:tblPr>
      <w:tblGrid>
        <w:gridCol w:w="3346"/>
        <w:gridCol w:w="275"/>
        <w:gridCol w:w="744"/>
        <w:gridCol w:w="190"/>
        <w:gridCol w:w="275"/>
        <w:gridCol w:w="960"/>
      </w:tblGrid>
      <w:tr>
        <w:trPr/>
        <w:tc>
          <w:tcPr>
            <w:tcW w:w="3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Beginning balance</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Contingent consideration paid </w:t>
            </w:r>
            <w:r>
              <w:rPr>
                <w:rFonts w:ascii="Arial" w:hAnsi="Arial"/>
                <w:color w:val="000000"/>
                <w:sz w:val="12"/>
              </w:rPr>
              <w:t>(a)</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(2,710)</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translation adjustment</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Ending balance</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3,773</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4,946</w:t>
            </w:r>
          </w:p>
        </w:tc>
      </w:tr>
    </w:tbl>
    <w:p>
      <w:pPr>
        <w:pStyle w:val="TextBody"/>
        <w:bidi w:val="0"/>
        <w:spacing w:before="0" w:after="60"/>
        <w:jc w:val="left"/>
        <w:rPr>
          <w:rFonts w:ascii="Arial" w:hAnsi="Arial"/>
          <w:color w:val="000000"/>
          <w:sz w:val="16"/>
        </w:rPr>
      </w:pPr>
      <w:r>
        <w:rPr>
          <w:rFonts w:ascii="Arial" w:hAnsi="Arial"/>
          <w:color w:val="000000"/>
          <w:sz w:val="16"/>
        </w:rPr>
        <w:t>_____________________________</w:t>
      </w:r>
    </w:p>
    <w:p>
      <w:pPr>
        <w:pStyle w:val="TextBody"/>
        <w:bidi w:val="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4"/>
        </w:rPr>
        <w:t>Contingent consideration when paid is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pStyle w:val="TextBody"/>
        <w:bidi w:val="0"/>
        <w:spacing w:before="200" w:after="283"/>
        <w:jc w:val="left"/>
        <w:rPr>
          <w:rFonts w:ascii="Arial" w:hAnsi="Arial"/>
          <w:b/>
          <w:color w:val="000000"/>
          <w:sz w:val="20"/>
        </w:rPr>
      </w:pPr>
      <w:bookmarkStart w:id="18" w:name="note_5"/>
      <w:bookmarkEnd w:id="18"/>
      <w:r>
        <w:rPr>
          <w:rFonts w:ascii="Arial" w:hAnsi="Arial"/>
          <w:b/>
          <w:color w:val="000000"/>
          <w:sz w:val="20"/>
        </w:rPr>
        <w:t>Note 6. Derivative Instruments</w:t>
      </w:r>
    </w:p>
    <w:p>
      <w:pPr>
        <w:pStyle w:val="TextBody"/>
        <w:bidi w:val="0"/>
        <w:spacing w:before="200" w:after="200"/>
        <w:jc w:val="left"/>
        <w:rPr>
          <w:rFonts w:ascii="Arial" w:hAnsi="Arial"/>
          <w:color w:val="000000"/>
          <w:sz w:val="20"/>
        </w:rPr>
      </w:pPr>
      <w:r>
        <w:rPr>
          <w:rFonts w:ascii="Arial" w:hAnsi="Arial"/>
          <w:color w:val="000000"/>
          <w:sz w:val="20"/>
        </w:rPr>
        <w:t>As part of the Company’s foreign currency risk management program, the Company uses derivative instruments to mitigate the volatility related to fluctuations in foreign exchange rates. The Company entered into foreign currency forward contracts used to mitigate the currency exchange risk associated with clients and their customers' payments and intercompany loans. The Company's foreign currency forward contracts are not designated as hedging instruments.</w:t>
      </w:r>
    </w:p>
    <w:p>
      <w:pPr>
        <w:pStyle w:val="TextBody"/>
        <w:bidi w:val="0"/>
        <w:spacing w:before="0" w:after="200"/>
        <w:jc w:val="left"/>
        <w:rPr>
          <w:rFonts w:ascii="Times New Roman" w:hAnsi="Times New Roman"/>
          <w:sz w:val="20"/>
        </w:rPr>
      </w:pPr>
      <w:r>
        <w:rPr>
          <w:rFonts w:ascii="Arial" w:hAnsi="Arial"/>
          <w:color w:val="000000"/>
          <w:sz w:val="20"/>
        </w:rPr>
        <w:t>The notional amounts are generally not exchanged, but are used only as the underlying basis on which the value of foreign exchange payments under these contracts is determined. The notional amounts are not recorded on the condensed consolidated balance sheets and are not, when viewed in isolation, a meaningful measure of the risk profile of the derivative instruments.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As of June 30, 2026 and December 31, 2025, the Company had 19,778</w:t>
      </w:r>
      <w:r>
        <w:rPr>
          <w:rFonts w:ascii="Times New Roman" w:hAnsi="Times New Roman"/>
          <w:color w:val="000000"/>
          <w:sz w:val="20"/>
        </w:rPr>
        <w:t xml:space="preserve"> </w:t>
      </w:r>
      <w:r>
        <w:rPr>
          <w:rFonts w:ascii="Arial" w:hAnsi="Arial"/>
          <w:color w:val="000000"/>
          <w:sz w:val="20"/>
        </w:rPr>
        <w:t>and 18,355</w:t>
      </w:r>
      <w:r>
        <w:rPr>
          <w:rFonts w:ascii="Times New Roman" w:hAnsi="Times New Roman"/>
          <w:color w:val="000000"/>
          <w:sz w:val="20"/>
        </w:rPr>
        <w:t xml:space="preserve"> </w:t>
      </w:r>
      <w:r>
        <w:rPr>
          <w:rFonts w:ascii="Arial" w:hAnsi="Arial"/>
          <w:color w:val="000000"/>
          <w:sz w:val="20"/>
        </w:rPr>
        <w:t>open foreign exchange contracts related to clients and their customers' payments, respectively. As of June 30, 2026 and December 31, 2025, the Company had foreign currency forward contracts related to clients and their customers' payments outstanding with notional amounts of $62.2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$66.5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0" w:after="200"/>
        <w:jc w:val="left"/>
        <w:rPr>
          <w:rFonts w:ascii="Times New Roman" w:hAnsi="Times New Roman"/>
          <w:sz w:val="20"/>
        </w:rPr>
      </w:pPr>
      <w:r>
        <w:rPr>
          <w:rFonts w:ascii="Arial" w:hAnsi="Arial"/>
          <w:color w:val="000000"/>
          <w:sz w:val="20"/>
        </w:rPr>
        <w:t>As of June 30, 2026 and December 31, 2025, the Company had one and two open foreign exchange contracts related to intercompany loans, respectively. As of June 30, 2026 and December 31, 2025, the Company had foreign exchange contracts related to intercompany loans outstanding with notional amounts of $24.8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$83.7</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rFonts w:ascii="Times New Roman" w:hAnsi="Times New Roman"/>
          <w:sz w:val="20"/>
        </w:rPr>
      </w:pPr>
      <w:r>
        <w:rPr>
          <w:rFonts w:ascii="Arial" w:hAnsi="Arial"/>
          <w:color w:val="000000"/>
          <w:sz w:val="20"/>
        </w:rPr>
        <w:t>The Company records all derivative instruments in the condensed consolidated balance sheets at their fair values. The Company recorded an asset of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a liability of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outstanding foreign exchange contracts as of June 30, 2026, respectively. The Company recorded an asset $0.3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a liability of $0.4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outstanding foreign exchange contracts as of December 31, 2025, respectively. Assets and liabilities associated with outstanding foreign exchange contracts are recorded within prepaid expenses and other current assets and accrued expenses and other current liabilities, respectively, on the condensed consolidated balance sheets.</w:t>
      </w:r>
    </w:p>
    <w:p>
      <w:pPr>
        <w:pStyle w:val="TextBody"/>
        <w:bidi w:val="0"/>
        <w:spacing w:before="200" w:after="283"/>
        <w:jc w:val="left"/>
        <w:rPr>
          <w:rFonts w:ascii="Times New Roman" w:hAnsi="Times New Roman"/>
          <w:sz w:val="20"/>
        </w:rPr>
      </w:pPr>
      <w:r>
        <w:rPr>
          <w:rFonts w:ascii="Arial" w:hAnsi="Arial"/>
          <w:color w:val="000000"/>
          <w:sz w:val="20"/>
        </w:rPr>
        <w:t>The Company recognized a gain of less than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a loss of $0.9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on the intercompany loan derivatives during the three and six months ended June 30, 2026, respectively. There were no</w:t>
      </w:r>
      <w:r>
        <w:rPr>
          <w:rFonts w:ascii="Times New Roman" w:hAnsi="Times New Roman"/>
          <w:color w:val="000000"/>
          <w:sz w:val="20"/>
        </w:rPr>
        <w:t xml:space="preserve"> </w:t>
      </w:r>
      <w:r>
        <w:rPr>
          <w:rFonts w:ascii="Arial" w:hAnsi="Arial"/>
          <w:color w:val="000000"/>
          <w:sz w:val="20"/>
        </w:rPr>
        <w:t>unrealized gains or losses on the intercompany loan derivatives during the three and six months ended June 30, 2025. The Company recognized losses on derivatives related to clients and their customers' payments of $1.0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three and six months ended June 30, 2026, respectively. The Company recognized gains on derivatives related to clients and their customers' payments of $0.6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three and six months ended June 30, 2025.</w:t>
      </w:r>
    </w:p>
    <w:p>
      <w:pPr>
        <w:pStyle w:val="TextBody"/>
        <w:bidi w:val="0"/>
        <w:spacing w:before="200" w:after="283"/>
        <w:jc w:val="left"/>
        <w:rPr>
          <w:rFonts w:ascii="Times New Roman" w:hAnsi="Times New Roman"/>
          <w:sz w:val="20"/>
        </w:rPr>
      </w:pPr>
      <w:r>
        <w:rPr>
          <w:rFonts w:ascii="Arial" w:hAnsi="Arial"/>
          <w:color w:val="000000"/>
          <w:sz w:val="20"/>
        </w:rPr>
        <w:t>Gains and losses on the intercompany loans derivatives are included as a component of other income (expense) in the condensed consolidated statements of operations and comprehensive (loss) income. Gains and losses on the derivatives related to clients and their customers' payments are included as a component of general and administrative expense within the condensed consolidated statements of operations and comprehensive (loss) income</w:t>
      </w:r>
      <w:r>
        <w:rPr>
          <w:rFonts w:ascii="Times New Roman" w:hAnsi="Times New Roman"/>
          <w:color w:val="000000"/>
          <w:sz w:val="20"/>
        </w:rPr>
        <w:t xml:space="preserve"> </w:t>
      </w:r>
      <w:r>
        <w:rPr>
          <w:rFonts w:ascii="Arial" w:hAnsi="Arial"/>
          <w:color w:val="000000"/>
          <w:sz w:val="20"/>
        </w:rPr>
        <w:t>due to the nature of the transactions.</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19" w:name="note_6"/>
      <w:bookmarkEnd w:id="19"/>
      <w:r>
        <w:rPr>
          <w:rFonts w:ascii="Arial" w:hAnsi="Arial"/>
          <w:b/>
          <w:color w:val="000000"/>
          <w:sz w:val="20"/>
        </w:rPr>
        <w:t>Note 7. Accrued Expenses and Other Current Liabilities</w:t>
      </w:r>
    </w:p>
    <w:p>
      <w:pPr>
        <w:pStyle w:val="TextBody"/>
        <w:bidi w:val="0"/>
        <w:spacing w:before="200" w:after="200"/>
        <w:jc w:val="left"/>
        <w:rPr>
          <w:rFonts w:ascii="Arial" w:hAnsi="Arial"/>
          <w:color w:val="000000"/>
          <w:sz w:val="20"/>
        </w:rPr>
      </w:pPr>
      <w:r>
        <w:rPr>
          <w:rFonts w:ascii="Arial" w:hAnsi="Arial"/>
          <w:color w:val="000000"/>
          <w:sz w:val="20"/>
        </w:rPr>
        <w:t>Accrued expenses and other current liabilities consisted of the following as of the dates presented (in thousands):</w:t>
      </w:r>
    </w:p>
    <w:tbl>
      <w:tblPr>
        <w:tblW w:w="6974" w:type="dxa"/>
        <w:jc w:val="left"/>
        <w:tblInd w:w="0" w:type="dxa"/>
        <w:tblLayout w:type="fixed"/>
        <w:tblCellMar>
          <w:top w:w="28" w:type="dxa"/>
          <w:left w:w="28" w:type="dxa"/>
          <w:bottom w:w="28" w:type="dxa"/>
          <w:right w:w="28" w:type="dxa"/>
        </w:tblCellMar>
      </w:tblPr>
      <w:tblGrid>
        <w:gridCol w:w="4591"/>
        <w:gridCol w:w="211"/>
        <w:gridCol w:w="676"/>
        <w:gridCol w:w="146"/>
        <w:gridCol w:w="304"/>
        <w:gridCol w:w="1046"/>
      </w:tblGrid>
      <w:tr>
        <w:trPr/>
        <w:tc>
          <w:tcPr>
            <w:tcW w:w="4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employee compensation and related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21,728</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income and other non-employee related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8,558</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vendor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5,168</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Sales tax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2,132</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contingent consideration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professional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1,895</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accrued expenses and 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12,842</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Accrued expenses and other current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55,715</w:t>
            </w:r>
          </w:p>
        </w:tc>
      </w:tr>
    </w:tbl>
    <w:p>
      <w:pPr>
        <w:pStyle w:val="TextBody"/>
        <w:bidi w:val="0"/>
        <w:jc w:val="left"/>
        <w:rPr/>
      </w:pPr>
      <w:r>
        <w:rPr/>
        <w:t> </w:t>
      </w:r>
    </w:p>
    <w:p>
      <w:pPr>
        <w:pStyle w:val="TextBody"/>
        <w:bidi w:val="0"/>
        <w:spacing w:before="200" w:after="283"/>
        <w:jc w:val="left"/>
        <w:rPr>
          <w:rFonts w:ascii="Arial" w:hAnsi="Arial"/>
          <w:b/>
          <w:color w:val="000000"/>
          <w:sz w:val="20"/>
        </w:rPr>
      </w:pPr>
      <w:bookmarkStart w:id="20" w:name="note_7"/>
      <w:bookmarkEnd w:id="20"/>
      <w:r>
        <w:rPr>
          <w:rFonts w:ascii="Arial" w:hAnsi="Arial"/>
          <w:b/>
          <w:color w:val="000000"/>
          <w:sz w:val="20"/>
        </w:rPr>
        <w:t>Note 8. Property and Equipment, net</w:t>
      </w:r>
    </w:p>
    <w:p>
      <w:pPr>
        <w:pStyle w:val="TextBody"/>
        <w:bidi w:val="0"/>
        <w:spacing w:before="200" w:after="200"/>
        <w:jc w:val="left"/>
        <w:rPr>
          <w:rFonts w:ascii="Arial" w:hAnsi="Arial"/>
          <w:color w:val="000000"/>
          <w:sz w:val="20"/>
        </w:rPr>
      </w:pPr>
      <w:r>
        <w:rPr>
          <w:rFonts w:ascii="Arial" w:hAnsi="Arial"/>
          <w:color w:val="000000"/>
          <w:sz w:val="20"/>
        </w:rPr>
        <w:t>Property and equipment, net consisted of the following as of the dates presented (in thousands):</w:t>
      </w:r>
    </w:p>
    <w:tbl>
      <w:tblPr>
        <w:tblW w:w="6844" w:type="dxa"/>
        <w:jc w:val="left"/>
        <w:tblInd w:w="0" w:type="dxa"/>
        <w:tblLayout w:type="fixed"/>
        <w:tblCellMar>
          <w:top w:w="28" w:type="dxa"/>
          <w:left w:w="28" w:type="dxa"/>
          <w:bottom w:w="28" w:type="dxa"/>
          <w:right w:w="28" w:type="dxa"/>
        </w:tblCellMar>
      </w:tblPr>
      <w:tblGrid>
        <w:gridCol w:w="4341"/>
        <w:gridCol w:w="211"/>
        <w:gridCol w:w="796"/>
        <w:gridCol w:w="146"/>
        <w:gridCol w:w="251"/>
        <w:gridCol w:w="1099"/>
      </w:tblGrid>
      <w:tr>
        <w:trPr/>
        <w:tc>
          <w:tcPr>
            <w:tcW w:w="4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Internal-use software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31,074</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Computer equipment and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4,708</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Leasehold improvements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4,305</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Furniture and fixtures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property and equipment</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99"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40,875</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Accumulated depreciation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(18,750)</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Property and equipment, net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22,125</w:t>
            </w:r>
          </w:p>
        </w:tc>
      </w:tr>
    </w:tbl>
    <w:p>
      <w:pPr>
        <w:pStyle w:val="TextBody"/>
        <w:bidi w:val="0"/>
        <w:spacing w:before="200" w:after="200"/>
        <w:jc w:val="left"/>
        <w:rPr>
          <w:rFonts w:ascii="Times New Roman" w:hAnsi="Times New Roman"/>
          <w:sz w:val="20"/>
        </w:rPr>
      </w:pPr>
      <w:r>
        <w:rPr>
          <w:rFonts w:ascii="Arial" w:hAnsi="Arial"/>
          <w:color w:val="000000"/>
          <w:sz w:val="20"/>
        </w:rPr>
        <w:t>Depreciation of property and equipment and amortization of internal-use software for the three months ended June 30, 2026 and 2025 was $1.6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$1.5</w:t>
      </w:r>
      <w:r>
        <w:rPr>
          <w:rFonts w:ascii="Times New Roman" w:hAnsi="Times New Roman"/>
          <w:color w:val="000000"/>
          <w:sz w:val="20"/>
        </w:rPr>
        <w:t xml:space="preserve"> </w:t>
      </w:r>
      <w:r>
        <w:rPr>
          <w:rFonts w:ascii="Arial" w:hAnsi="Arial"/>
          <w:color w:val="000000"/>
          <w:sz w:val="20"/>
        </w:rPr>
        <w:t>million, respectively. Depreciation of property and equipment and amortization of internal-use software for the six months ended June 30, 2026 and 2025 was $3.4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$2.9</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0" w:after="200"/>
        <w:jc w:val="left"/>
        <w:rPr>
          <w:rFonts w:ascii="Times New Roman" w:hAnsi="Times New Roman"/>
          <w:sz w:val="20"/>
        </w:rPr>
      </w:pPr>
      <w:r>
        <w:rPr>
          <w:rFonts w:ascii="Arial" w:hAnsi="Arial"/>
          <w:color w:val="000000"/>
          <w:sz w:val="20"/>
        </w:rPr>
        <w:t>The Company capitalized $6.5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$3.9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costs related to internal-use software during the six months ended June 30, 2026 and 2025. Software developed for internal use is amortized on a straight-line basis over its estimated useful life of five years.</w:t>
      </w:r>
    </w:p>
    <w:p>
      <w:pPr>
        <w:pStyle w:val="TextBody"/>
        <w:bidi w:val="0"/>
        <w:jc w:val="left"/>
        <w:rPr>
          <w:rFonts w:ascii="Times New Roman" w:hAnsi="Times New Roman"/>
          <w:sz w:val="20"/>
        </w:rPr>
      </w:pPr>
      <w:r>
        <w:rPr>
          <w:rFonts w:ascii="Arial" w:hAnsi="Arial"/>
          <w:color w:val="000000"/>
          <w:sz w:val="20"/>
        </w:rPr>
        <w:t>As of June 30, 2026 and December 31, 2025, the carrying value of internal-use software was $24.6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$20.2</w:t>
      </w:r>
      <w:r>
        <w:rPr>
          <w:rFonts w:ascii="Times New Roman" w:hAnsi="Times New Roman"/>
          <w:color w:val="000000"/>
          <w:sz w:val="20"/>
        </w:rPr>
        <w:t xml:space="preserve"> </w:t>
      </w:r>
      <w:r>
        <w:rPr>
          <w:rFonts w:ascii="Arial" w:hAnsi="Arial"/>
          <w:color w:val="000000"/>
          <w:sz w:val="20"/>
        </w:rPr>
        <w:t>million, respectively. Amortization expense related to internal-use software for the three months ended June 30, 2026 and 2025 was $1.4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$1.2</w:t>
      </w:r>
      <w:r>
        <w:rPr>
          <w:rFonts w:ascii="Times New Roman" w:hAnsi="Times New Roman"/>
          <w:color w:val="000000"/>
          <w:sz w:val="20"/>
        </w:rPr>
        <w:t xml:space="preserve"> </w:t>
      </w:r>
      <w:r>
        <w:rPr>
          <w:rFonts w:ascii="Arial" w:hAnsi="Arial"/>
          <w:color w:val="000000"/>
          <w:sz w:val="20"/>
        </w:rPr>
        <w:t>million, respectively. Amortization expense related to internal-use software for the six months ended June 30, 2026 and 2025 was $2.9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$2.3</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00" w:after="283"/>
        <w:jc w:val="left"/>
        <w:rPr>
          <w:rFonts w:ascii="Arial" w:hAnsi="Arial"/>
          <w:b/>
          <w:color w:val="000000"/>
          <w:sz w:val="20"/>
        </w:rPr>
      </w:pPr>
      <w:bookmarkStart w:id="21" w:name="note9_restructuring"/>
      <w:bookmarkEnd w:id="21"/>
      <w:r>
        <w:rPr>
          <w:rFonts w:ascii="Arial" w:hAnsi="Arial"/>
          <w:b/>
          <w:color w:val="000000"/>
          <w:sz w:val="20"/>
        </w:rPr>
        <w:t>Note 9. Restructuring</w:t>
      </w:r>
    </w:p>
    <w:p>
      <w:pPr>
        <w:pStyle w:val="TextBody"/>
        <w:bidi w:val="0"/>
        <w:spacing w:before="200" w:after="283"/>
        <w:jc w:val="left"/>
        <w:rPr>
          <w:rFonts w:ascii="Times New Roman" w:hAnsi="Times New Roman"/>
          <w:sz w:val="20"/>
        </w:rPr>
      </w:pPr>
      <w:r>
        <w:rPr>
          <w:rFonts w:ascii="Arial" w:hAnsi="Arial"/>
          <w:color w:val="000000"/>
          <w:sz w:val="20"/>
        </w:rPr>
        <w:t>In February 2025, the Company announced a restructuring plan designed to improve operational efficiencies, reduce operating costs, and better align the Company’s workforce with current business needs, top strategic priorities, and key growth opportunities (collectively, the Restructuring Plan). In connection with the Restructuring Plan, the Company incurred restructuring and restructuring-related charges of $8.7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year ended December 31, 2025, recorded within restructuring expenses on the condensed consolidated statements of operations and comprehensive (loss) income, primarily consisting of cash expenditures for severance payments and related expenses of $6.3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 ended December 31, 2025, as well as non-cash expenditures related to acceleration of vesting of share-based awards of $2.4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 ended December 31, 2025. As of March 31, 2026, the accrued restructuring liability had been settled in full. As of December 31, 2025, the accrued restructuring liability was less than $0.1</w:t>
      </w:r>
      <w:r>
        <w:rPr>
          <w:rFonts w:ascii="Times New Roman" w:hAnsi="Times New Roman"/>
          <w:color w:val="000000"/>
          <w:sz w:val="20"/>
        </w:rPr>
        <w:t xml:space="preserve"> </w:t>
      </w:r>
      <w:r>
        <w:rPr>
          <w:rFonts w:ascii="Arial" w:hAnsi="Arial"/>
          <w:color w:val="000000"/>
          <w:sz w:val="20"/>
        </w:rPr>
        <w:t>million, which was included within accrued expenses and other current liabilities in the consolidated balance sheets.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22" w:name="note_8"/>
      <w:bookmarkEnd w:id="22"/>
      <w:r>
        <w:rPr>
          <w:rFonts w:ascii="Arial" w:hAnsi="Arial"/>
          <w:b/>
          <w:color w:val="000000"/>
          <w:sz w:val="20"/>
        </w:rPr>
        <w:t>Note 10. Business Combinations</w:t>
      </w:r>
    </w:p>
    <w:p>
      <w:pPr>
        <w:pStyle w:val="TextBody"/>
        <w:bidi w:val="0"/>
        <w:spacing w:before="200" w:after="200"/>
        <w:jc w:val="left"/>
        <w:rPr>
          <w:rFonts w:ascii="Arial" w:hAnsi="Arial"/>
          <w:b/>
          <w:i/>
          <w:color w:val="000000"/>
          <w:sz w:val="20"/>
        </w:rPr>
      </w:pPr>
      <w:r>
        <w:rPr>
          <w:rFonts w:ascii="Arial" w:hAnsi="Arial"/>
          <w:b/>
          <w:i/>
          <w:color w:val="000000"/>
          <w:sz w:val="20"/>
        </w:rPr>
        <w:t>Sertifi</w:t>
      </w:r>
    </w:p>
    <w:p>
      <w:pPr>
        <w:pStyle w:val="TextBody"/>
        <w:bidi w:val="0"/>
        <w:spacing w:before="0" w:after="200"/>
        <w:jc w:val="left"/>
        <w:rPr>
          <w:rFonts w:ascii="Times New Roman" w:hAnsi="Times New Roman"/>
          <w:sz w:val="20"/>
        </w:rPr>
      </w:pPr>
      <w:r>
        <w:rPr>
          <w:rFonts w:ascii="Arial" w:hAnsi="Arial"/>
          <w:color w:val="000000"/>
          <w:sz w:val="20"/>
        </w:rPr>
        <w:t>On February 24, 2025, Flywire acquired all of the issued and outstanding membership interests of Sertifi LLC (Sertifi) for upfront cash consideration of $330.0</w:t>
      </w:r>
      <w:r>
        <w:rPr>
          <w:rFonts w:ascii="Times New Roman" w:hAnsi="Times New Roman"/>
          <w:color w:val="000000"/>
          <w:sz w:val="20"/>
        </w:rPr>
        <w:t xml:space="preserve"> </w:t>
      </w:r>
      <w:r>
        <w:rPr>
          <w:rFonts w:ascii="Arial" w:hAnsi="Arial"/>
          <w:color w:val="000000"/>
          <w:sz w:val="20"/>
        </w:rPr>
        <w:t>million, subject to certain post-closing adjustments set forth in the Purchase and Sale Agreement (the Agreement), and contingent consideration of up to $10.0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upon the completion or satisfaction of certain technical and commercial milestones by Sertifi. Sertifi is a vertical software and payments platform digitizing hospitality-specific workflows and associated payments. The acquisition of Sertifi was intended to accelerate the Company’s travel business and expand Flywire’s offerings to support over 20,000 hotel locations globally.</w:t>
      </w:r>
    </w:p>
    <w:p>
      <w:pPr>
        <w:pStyle w:val="TextBody"/>
        <w:bidi w:val="0"/>
        <w:spacing w:before="0" w:after="200"/>
        <w:jc w:val="left"/>
        <w:rPr>
          <w:rFonts w:ascii="Times New Roman" w:hAnsi="Times New Roman"/>
          <w:sz w:val="20"/>
        </w:rPr>
      </w:pPr>
      <w:r>
        <w:rPr>
          <w:rFonts w:ascii="Arial" w:hAnsi="Arial"/>
          <w:color w:val="000000"/>
          <w:sz w:val="20"/>
        </w:rPr>
        <w:t>The Company paid the upfront cash consideration through a combination of cash on hand and $125.0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borrowed from its existing 2024 Revolving Credit Facility.</w:t>
      </w:r>
    </w:p>
    <w:p>
      <w:pPr>
        <w:pStyle w:val="TextBody"/>
        <w:bidi w:val="0"/>
        <w:spacing w:before="0" w:after="200"/>
        <w:jc w:val="left"/>
        <w:rPr>
          <w:rFonts w:ascii="Times New Roman" w:hAnsi="Times New Roman"/>
          <w:sz w:val="20"/>
        </w:rPr>
      </w:pPr>
      <w:r>
        <w:rPr>
          <w:rFonts w:ascii="Arial" w:hAnsi="Arial"/>
          <w:color w:val="000000"/>
          <w:sz w:val="20"/>
        </w:rPr>
        <w:t>During the second quarter of 2025, the Company completed its purchase accounting. The Company recorded measurement period adjustments that increased Goodwill by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due to changes in acquired intangible assets, contingent consideration, and a working capital adjustment.</w:t>
      </w:r>
    </w:p>
    <w:p>
      <w:pPr>
        <w:pStyle w:val="TextBody"/>
        <w:bidi w:val="0"/>
        <w:spacing w:before="0" w:after="200"/>
        <w:jc w:val="left"/>
        <w:rPr>
          <w:rFonts w:ascii="Times New Roman" w:hAnsi="Times New Roman"/>
          <w:sz w:val="20"/>
        </w:rPr>
      </w:pPr>
      <w:r>
        <w:rPr>
          <w:rFonts w:ascii="Arial" w:hAnsi="Arial"/>
          <w:color w:val="000000"/>
          <w:sz w:val="20"/>
        </w:rPr>
        <w:t>Pursuant to the terms of the Agreement, the Company acquired Sertifi for total purchase consideration of approximately $336.1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or $328.0</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5268" w:type="dxa"/>
        <w:jc w:val="left"/>
        <w:tblInd w:w="0" w:type="dxa"/>
        <w:tblLayout w:type="fixed"/>
        <w:tblCellMar>
          <w:top w:w="28" w:type="dxa"/>
          <w:left w:w="28" w:type="dxa"/>
          <w:bottom w:w="28" w:type="dxa"/>
          <w:right w:w="28" w:type="dxa"/>
        </w:tblCellMar>
      </w:tblPr>
      <w:tblGrid>
        <w:gridCol w:w="4231"/>
        <w:gridCol w:w="211"/>
        <w:gridCol w:w="826"/>
      </w:tblGrid>
      <w:tr>
        <w:trPr/>
        <w:tc>
          <w:tcPr>
            <w:tcW w:w="4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consideration, net of cash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324,921</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purchase consideration, net of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328,028</w:t>
            </w:r>
          </w:p>
        </w:tc>
      </w:tr>
    </w:tbl>
    <w:p>
      <w:pPr>
        <w:pStyle w:val="TextBody"/>
        <w:bidi w:val="0"/>
        <w:spacing w:before="200" w:after="200"/>
        <w:jc w:val="left"/>
        <w:rPr>
          <w:rFonts w:ascii="Times New Roman" w:hAnsi="Times New Roman"/>
          <w:sz w:val="20"/>
        </w:rPr>
      </w:pPr>
      <w:r>
        <w:rPr>
          <w:rFonts w:ascii="Arial" w:hAnsi="Arial"/>
          <w:color w:val="000000"/>
          <w:sz w:val="20"/>
        </w:rPr>
        <w:t>During the year ended December 31, 2025, the Company paid $5.1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post-closing adjustments. The Agreement provides for contingent consideration of up to $10.0</w:t>
      </w:r>
      <w:r>
        <w:rPr>
          <w:rFonts w:ascii="Times New Roman" w:hAnsi="Times New Roman"/>
          <w:color w:val="000000"/>
          <w:sz w:val="20"/>
        </w:rPr>
        <w:t xml:space="preserve"> </w:t>
      </w:r>
      <w:r>
        <w:rPr>
          <w:rFonts w:ascii="Arial" w:hAnsi="Arial"/>
          <w:color w:val="000000"/>
          <w:sz w:val="20"/>
        </w:rPr>
        <w:t>million, with an estimated fair value of $3.1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on the date of acquisition, and represents additional payments that Flywire may be required to make in the future which are dependent upon the successful achievement of certain targets related to gross profit as well as milestones related to Sertifi's technology and security integration.</w:t>
      </w:r>
    </w:p>
    <w:p>
      <w:pPr>
        <w:pStyle w:val="TextBody"/>
        <w:bidi w:val="0"/>
        <w:spacing w:before="0" w:after="200"/>
        <w:jc w:val="left"/>
        <w:rPr>
          <w:rFonts w:ascii="Times New Roman" w:hAnsi="Times New Roman"/>
          <w:sz w:val="20"/>
        </w:rPr>
      </w:pPr>
      <w:r>
        <w:rPr>
          <w:rFonts w:ascii="Arial" w:hAnsi="Arial"/>
          <w:color w:val="000000"/>
          <w:sz w:val="20"/>
        </w:rPr>
        <w:t>During the year ended December 31, 2025, the Company incurred $2.6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transaction costs in connection with the Sertifi acquisition. These transaction costs are included in general and administrative expenses in the condensed consolidated statements of operations and comprehensive (loss) income.</w:t>
      </w:r>
    </w:p>
    <w:p>
      <w:pPr>
        <w:pStyle w:val="TextBody"/>
        <w:bidi w:val="0"/>
        <w:spacing w:before="0" w:after="200"/>
        <w:jc w:val="left"/>
        <w:rPr>
          <w:rFonts w:ascii="Arial" w:hAnsi="Arial"/>
          <w:color w:val="000000"/>
          <w:sz w:val="20"/>
        </w:rPr>
      </w:pPr>
      <w:r>
        <w:rPr>
          <w:rFonts w:ascii="Arial" w:hAnsi="Arial"/>
          <w:color w:val="000000"/>
          <w:sz w:val="20"/>
        </w:rPr>
        <w:t>The table summarizes the allocation of the purchase consideration to the fair value of the assets acquired and liabilities assumed (in thousands):</w:t>
      </w:r>
    </w:p>
    <w:tbl>
      <w:tblPr>
        <w:tblW w:w="4853" w:type="dxa"/>
        <w:jc w:val="left"/>
        <w:tblInd w:w="0" w:type="dxa"/>
        <w:tblLayout w:type="fixed"/>
        <w:tblCellMar>
          <w:top w:w="28" w:type="dxa"/>
          <w:left w:w="28" w:type="dxa"/>
          <w:bottom w:w="28" w:type="dxa"/>
          <w:right w:w="28" w:type="dxa"/>
        </w:tblCellMar>
      </w:tblPr>
      <w:tblGrid>
        <w:gridCol w:w="3616"/>
        <w:gridCol w:w="211"/>
        <w:gridCol w:w="1026"/>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982</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251,569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Identifiable intangible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86,700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assets acquired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354,099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14,347</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 and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3,615</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liabilities assumed</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17,962</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336,137</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cash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less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328,028</w:t>
            </w:r>
          </w:p>
        </w:tc>
      </w:tr>
    </w:tbl>
    <w:p>
      <w:pPr>
        <w:pStyle w:val="TextBody"/>
        <w:bidi w:val="0"/>
        <w:spacing w:before="200" w:after="200"/>
        <w:jc w:val="left"/>
        <w:rPr>
          <w:rFonts w:ascii="Times New Roman" w:hAnsi="Times New Roman"/>
          <w:sz w:val="20"/>
        </w:rPr>
      </w:pPr>
      <w:r>
        <w:rPr>
          <w:rFonts w:ascii="Arial" w:hAnsi="Arial"/>
          <w:color w:val="000000"/>
          <w:sz w:val="20"/>
        </w:rPr>
        <w:t>The goodwill of $251.6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arising from the acquisition of Sertifi can be attributed to a number of business factors, including an assembled workforce and revenue and cost synergies expected to be realized. Goodwill from this acquisition is deductible for income tax purposes.</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following table reflects the fair values of the identified intangible assets of Sertifi and their respective weighted-average amortization periods.</w:t>
      </w:r>
    </w:p>
    <w:tbl>
      <w:tblPr>
        <w:tblW w:w="5458" w:type="dxa"/>
        <w:jc w:val="left"/>
        <w:tblInd w:w="0" w:type="dxa"/>
        <w:tblLayout w:type="fixed"/>
        <w:tblCellMar>
          <w:top w:w="28" w:type="dxa"/>
          <w:left w:w="28" w:type="dxa"/>
          <w:bottom w:w="28" w:type="dxa"/>
          <w:right w:w="28" w:type="dxa"/>
        </w:tblCellMar>
      </w:tblPr>
      <w:tblGrid>
        <w:gridCol w:w="2041"/>
        <w:gridCol w:w="313"/>
        <w:gridCol w:w="1007"/>
        <w:gridCol w:w="146"/>
        <w:gridCol w:w="1951"/>
      </w:tblGrid>
      <w:tr>
        <w:trPr/>
        <w:tc>
          <w:tcPr>
            <w:tcW w:w="20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w:t>
              <w:br/>
              <w:t>Amortization Periods</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(years)</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The results of Sertifi have been included in the condensed consolidated financial statements since the date of the acquisition. Sertifi contributed $7.7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platform revenue and $4.7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transactional revenue during the three months ended June 30, 2025. Sertifi contributed $10.7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platform revenue and $6.4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transactional revenue during the six months ended June 30, 2025. The Company has not disclosed net income or loss since the acquisition date as the business was fully integrated into the consolidated Company's operations and therefore it was impracticable to determine this amount.</w:t>
      </w:r>
    </w:p>
    <w:p>
      <w:pPr>
        <w:pStyle w:val="TextBody"/>
        <w:bidi w:val="0"/>
        <w:spacing w:before="0" w:after="200"/>
        <w:jc w:val="left"/>
        <w:rPr>
          <w:rFonts w:ascii="Arial" w:hAnsi="Arial"/>
          <w:color w:val="000000"/>
          <w:sz w:val="20"/>
        </w:rPr>
      </w:pPr>
      <w:r>
        <w:rPr>
          <w:rFonts w:ascii="Arial" w:hAnsi="Arial"/>
          <w:color w:val="000000"/>
          <w:sz w:val="20"/>
        </w:rPr>
        <w:t>Unaudited Pro Forma Financial Information</w:t>
      </w:r>
    </w:p>
    <w:p>
      <w:pPr>
        <w:pStyle w:val="TextBody"/>
        <w:bidi w:val="0"/>
        <w:spacing w:before="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six months ended June 30, 2025,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incremental amortization expense associated with the fair value of identified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incremental employee compensation expense for Sertifi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interest expense for borrowings related to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transaction costs; and</w:t>
      </w:r>
    </w:p>
    <w:p>
      <w:pPr>
        <w:pStyle w:val="TextBody"/>
        <w:bidi w:val="0"/>
        <w:spacing w:before="120" w:after="200"/>
        <w:jc w:val="left"/>
        <w:rPr>
          <w:color w:val="000000"/>
        </w:rPr>
      </w:pPr>
      <w:r>
        <w:rPr>
          <w:color w:val="000000"/>
        </w:rPr>
        <w:t>•</w:t>
      </w:r>
    </w:p>
    <w:p>
      <w:pPr>
        <w:pStyle w:val="TextBody"/>
        <w:bidi w:val="0"/>
        <w:spacing w:before="120" w:after="200"/>
        <w:jc w:val="left"/>
        <w:rPr>
          <w:rFonts w:ascii="Arial" w:hAnsi="Arial"/>
          <w:color w:val="000000"/>
          <w:sz w:val="20"/>
        </w:rPr>
      </w:pPr>
      <w:r>
        <w:rPr>
          <w:rFonts w:ascii="Arial" w:hAnsi="Arial"/>
          <w:color w:val="000000"/>
          <w:sz w:val="20"/>
        </w:rPr>
        <w:t>the estimated tax impact of the above items.</w:t>
      </w:r>
    </w:p>
    <w:tbl>
      <w:tblPr>
        <w:tblW w:w="3687" w:type="dxa"/>
        <w:jc w:val="left"/>
        <w:tblInd w:w="0" w:type="dxa"/>
        <w:tblLayout w:type="fixed"/>
        <w:tblCellMar>
          <w:top w:w="28" w:type="dxa"/>
          <w:left w:w="28" w:type="dxa"/>
          <w:bottom w:w="28" w:type="dxa"/>
          <w:right w:w="28" w:type="dxa"/>
        </w:tblCellMar>
      </w:tblPr>
      <w:tblGrid>
        <w:gridCol w:w="1336"/>
        <w:gridCol w:w="146"/>
        <w:gridCol w:w="211"/>
        <w:gridCol w:w="796"/>
        <w:gridCol w:w="146"/>
        <w:gridCol w:w="211"/>
        <w:gridCol w:w="84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2025</w:t>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 Forma</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272,101</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(16,847)</w:t>
            </w:r>
          </w:p>
        </w:tc>
      </w:tr>
    </w:tbl>
    <w:p>
      <w:pPr>
        <w:pStyle w:val="TextBody"/>
        <w:bidi w:val="0"/>
        <w:jc w:val="left"/>
        <w:rPr/>
      </w:pPr>
      <w:r>
        <w:rPr/>
        <w:t> </w:t>
      </w:r>
    </w:p>
    <w:p>
      <w:pPr>
        <w:pStyle w:val="TextBody"/>
        <w:bidi w:val="0"/>
        <w:spacing w:before="80" w:after="283"/>
        <w:jc w:val="left"/>
        <w:rPr>
          <w:rFonts w:ascii="Arial" w:hAnsi="Arial"/>
          <w:b/>
          <w:color w:val="000000"/>
          <w:sz w:val="20"/>
        </w:rPr>
      </w:pPr>
      <w:bookmarkStart w:id="23" w:name="note_9"/>
      <w:bookmarkEnd w:id="23"/>
      <w:r>
        <w:rPr>
          <w:rFonts w:ascii="Arial" w:hAnsi="Arial"/>
          <w:b/>
          <w:color w:val="000000"/>
          <w:sz w:val="20"/>
        </w:rPr>
        <w:t>Note 11. Goodwill and Acquired Intangible Assets</w:t>
      </w:r>
    </w:p>
    <w:p>
      <w:pPr>
        <w:pStyle w:val="TextBody"/>
        <w:bidi w:val="0"/>
        <w:spacing w:before="200" w:after="200"/>
        <w:jc w:val="left"/>
        <w:rPr>
          <w:rFonts w:ascii="Arial" w:hAnsi="Arial"/>
          <w:b/>
          <w:i/>
          <w:color w:val="000000"/>
          <w:sz w:val="20"/>
        </w:rPr>
      </w:pPr>
      <w:r>
        <w:rPr>
          <w:rFonts w:ascii="Arial" w:hAnsi="Arial"/>
          <w:b/>
          <w:i/>
          <w:color w:val="000000"/>
          <w:sz w:val="20"/>
        </w:rPr>
        <w:t>Goodwill</w:t>
      </w:r>
    </w:p>
    <w:p>
      <w:pPr>
        <w:pStyle w:val="TextBody"/>
        <w:bidi w:val="0"/>
        <w:spacing w:before="0" w:after="120"/>
        <w:jc w:val="left"/>
        <w:rPr>
          <w:rFonts w:ascii="Arial" w:hAnsi="Arial"/>
          <w:color w:val="000000"/>
          <w:sz w:val="20"/>
        </w:rPr>
      </w:pPr>
      <w:r>
        <w:rPr>
          <w:rFonts w:ascii="Arial" w:hAnsi="Arial"/>
          <w:color w:val="000000"/>
          <w:sz w:val="20"/>
        </w:rPr>
        <w:t>The following table summarizes the changes in the carrying amount of goodwill as of the dates presented (in thousands):</w:t>
      </w:r>
    </w:p>
    <w:tbl>
      <w:tblPr>
        <w:tblW w:w="4681" w:type="dxa"/>
        <w:jc w:val="left"/>
        <w:tblInd w:w="0" w:type="dxa"/>
        <w:tblLayout w:type="fixed"/>
        <w:tblCellMar>
          <w:top w:w="28" w:type="dxa"/>
          <w:left w:w="28" w:type="dxa"/>
          <w:bottom w:w="28" w:type="dxa"/>
          <w:right w:w="28" w:type="dxa"/>
        </w:tblCellMar>
      </w:tblPr>
      <w:tblGrid>
        <w:gridCol w:w="3346"/>
        <w:gridCol w:w="271"/>
        <w:gridCol w:w="1064"/>
      </w:tblGrid>
      <w:tr>
        <w:trPr/>
        <w:tc>
          <w:tcPr>
            <w:tcW w:w="3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406,507</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translation adjustment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2026</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407,025</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Acquired Intangible Assets</w:t>
      </w:r>
    </w:p>
    <w:p>
      <w:pPr>
        <w:pStyle w:val="TextBody"/>
        <w:bidi w:val="0"/>
        <w:spacing w:before="0" w:after="200"/>
        <w:jc w:val="left"/>
        <w:rPr>
          <w:rFonts w:ascii="Arial" w:hAnsi="Arial"/>
          <w:color w:val="000000"/>
          <w:sz w:val="20"/>
        </w:rPr>
      </w:pPr>
      <w:r>
        <w:rPr>
          <w:rFonts w:ascii="Arial" w:hAnsi="Arial"/>
          <w:color w:val="000000"/>
          <w:sz w:val="20"/>
        </w:rPr>
        <w:t>Acquired intangible assets subject to amortization consisted of the following (dollars in thousands):</w:t>
      </w:r>
    </w:p>
    <w:tbl>
      <w:tblPr>
        <w:tblW w:w="8106" w:type="dxa"/>
        <w:jc w:val="left"/>
        <w:tblInd w:w="0" w:type="dxa"/>
        <w:tblLayout w:type="fixed"/>
        <w:tblCellMar>
          <w:top w:w="28" w:type="dxa"/>
          <w:left w:w="28" w:type="dxa"/>
          <w:bottom w:w="28" w:type="dxa"/>
          <w:right w:w="28" w:type="dxa"/>
        </w:tblCellMar>
      </w:tblPr>
      <w:tblGrid>
        <w:gridCol w:w="2071"/>
        <w:gridCol w:w="303"/>
        <w:gridCol w:w="1122"/>
        <w:gridCol w:w="146"/>
        <w:gridCol w:w="277"/>
        <w:gridCol w:w="969"/>
        <w:gridCol w:w="146"/>
        <w:gridCol w:w="255"/>
        <w:gridCol w:w="945"/>
        <w:gridCol w:w="146"/>
        <w:gridCol w:w="1726"/>
      </w:tblGrid>
      <w:tr>
        <w:trPr/>
        <w:tc>
          <w:tcPr>
            <w:tcW w:w="20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 Average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Remaining Life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11.30</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8106" w:type="dxa"/>
        <w:jc w:val="left"/>
        <w:tblInd w:w="0" w:type="dxa"/>
        <w:tblLayout w:type="fixed"/>
        <w:tblCellMar>
          <w:top w:w="28" w:type="dxa"/>
          <w:left w:w="28" w:type="dxa"/>
          <w:bottom w:w="28" w:type="dxa"/>
          <w:right w:w="28" w:type="dxa"/>
        </w:tblCellMar>
      </w:tblPr>
      <w:tblGrid>
        <w:gridCol w:w="2071"/>
        <w:gridCol w:w="303"/>
        <w:gridCol w:w="1122"/>
        <w:gridCol w:w="146"/>
        <w:gridCol w:w="277"/>
        <w:gridCol w:w="969"/>
        <w:gridCol w:w="146"/>
        <w:gridCol w:w="255"/>
        <w:gridCol w:w="945"/>
        <w:gridCol w:w="146"/>
        <w:gridCol w:w="1726"/>
      </w:tblGrid>
      <w:tr>
        <w:trPr/>
        <w:tc>
          <w:tcPr>
            <w:tcW w:w="20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 Average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Remaining Life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11.74</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Amortization expense for the three months ended June 30, 2026 and 2025 was $5.7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$5.3</w:t>
      </w:r>
      <w:r>
        <w:rPr>
          <w:rFonts w:ascii="Times New Roman" w:hAnsi="Times New Roman"/>
          <w:color w:val="000000"/>
          <w:sz w:val="20"/>
        </w:rPr>
        <w:t xml:space="preserve"> </w:t>
      </w:r>
      <w:r>
        <w:rPr>
          <w:rFonts w:ascii="Arial" w:hAnsi="Arial"/>
          <w:color w:val="000000"/>
          <w:sz w:val="20"/>
        </w:rPr>
        <w:t>million, respectively. Amortization expense for the six months ended June 30, 2026 and 2025 was $11.9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$9.4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0" w:after="200"/>
        <w:jc w:val="left"/>
        <w:rPr>
          <w:rFonts w:ascii="Arial" w:hAnsi="Arial"/>
          <w:color w:val="000000"/>
          <w:sz w:val="20"/>
        </w:rPr>
      </w:pPr>
      <w:r>
        <w:rPr>
          <w:rFonts w:ascii="Arial" w:hAnsi="Arial"/>
          <w:color w:val="000000"/>
          <w:sz w:val="20"/>
        </w:rPr>
        <w:t>As of June 30, 2026, the estimated annual amortization expense of intangible assets for each of the next five years and thereafter is expected to be as follows (in thousands):</w:t>
      </w:r>
    </w:p>
    <w:tbl>
      <w:tblPr>
        <w:tblW w:w="5506" w:type="dxa"/>
        <w:jc w:val="left"/>
        <w:tblInd w:w="0" w:type="dxa"/>
        <w:tblLayout w:type="fixed"/>
        <w:tblCellMar>
          <w:top w:w="28" w:type="dxa"/>
          <w:left w:w="28" w:type="dxa"/>
          <w:bottom w:w="28" w:type="dxa"/>
          <w:right w:w="28" w:type="dxa"/>
        </w:tblCellMar>
      </w:tblPr>
      <w:tblGrid>
        <w:gridCol w:w="2551"/>
        <w:gridCol w:w="600"/>
        <w:gridCol w:w="2355"/>
      </w:tblGrid>
      <w:tr>
        <w:trPr/>
        <w:tc>
          <w:tcPr>
            <w:tcW w:w="255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Amortization Expense</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Remaining of fiscal year 2026</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11,128</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20,782</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20,713</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2029</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20,204</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18,246</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2031</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16,812</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Thereafter</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69,858</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177,743</w:t>
            </w:r>
          </w:p>
        </w:tc>
      </w:tr>
    </w:tbl>
    <w:p>
      <w:pPr>
        <w:pStyle w:val="TextBody"/>
        <w:bidi w:val="0"/>
        <w:jc w:val="left"/>
        <w:rPr/>
      </w:pPr>
      <w:r>
        <w:rPr/>
        <w:t> </w:t>
      </w:r>
    </w:p>
    <w:p>
      <w:pPr>
        <w:pStyle w:val="TextBody"/>
        <w:bidi w:val="0"/>
        <w:spacing w:before="200" w:after="283"/>
        <w:jc w:val="left"/>
        <w:rPr>
          <w:rFonts w:ascii="Arial" w:hAnsi="Arial"/>
          <w:b/>
          <w:color w:val="000000"/>
          <w:sz w:val="20"/>
        </w:rPr>
      </w:pPr>
      <w:bookmarkStart w:id="24" w:name="note_10"/>
      <w:bookmarkEnd w:id="24"/>
      <w:r>
        <w:rPr>
          <w:rFonts w:ascii="Arial" w:hAnsi="Arial"/>
          <w:b/>
          <w:color w:val="000000"/>
          <w:sz w:val="20"/>
        </w:rPr>
        <w:t>Note 12. Debt</w:t>
      </w:r>
    </w:p>
    <w:p>
      <w:pPr>
        <w:pStyle w:val="TextBody"/>
        <w:bidi w:val="0"/>
        <w:spacing w:before="200" w:after="200"/>
        <w:jc w:val="left"/>
        <w:rPr>
          <w:rFonts w:ascii="Arial" w:hAnsi="Arial"/>
          <w:b/>
          <w:i/>
          <w:color w:val="000000"/>
          <w:sz w:val="20"/>
        </w:rPr>
      </w:pPr>
      <w:r>
        <w:rPr>
          <w:rFonts w:ascii="Arial" w:hAnsi="Arial"/>
          <w:b/>
          <w:i/>
          <w:color w:val="000000"/>
          <w:sz w:val="20"/>
        </w:rPr>
        <w:t>2024 Amended Revolving Credit Facility</w:t>
      </w:r>
    </w:p>
    <w:p>
      <w:pPr>
        <w:pStyle w:val="TextBody"/>
        <w:bidi w:val="0"/>
        <w:spacing w:before="0" w:after="200"/>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borrowings outstanding under the 2024 Amended Revolving Credit Facility as of June 30, 2026 and December 31, 2025.</w:t>
      </w:r>
    </w:p>
    <w:p>
      <w:pPr>
        <w:pStyle w:val="TextBody"/>
        <w:bidi w:val="0"/>
        <w:spacing w:before="0" w:after="200"/>
        <w:jc w:val="left"/>
        <w:rPr>
          <w:rFonts w:ascii="Arial" w:hAnsi="Arial"/>
          <w:color w:val="000000"/>
          <w:sz w:val="20"/>
        </w:rPr>
      </w:pPr>
      <w:r>
        <w:rPr>
          <w:rFonts w:ascii="Arial" w:hAnsi="Arial"/>
          <w:color w:val="000000"/>
          <w:sz w:val="20"/>
        </w:rPr>
        <w:t>The Company was in compliance with all covenants associated with the 2024 Amended Revolving Credit Facility as of June 30, 2026.</w:t>
      </w:r>
    </w:p>
    <w:p>
      <w:pPr>
        <w:pStyle w:val="TextBody"/>
        <w:bidi w:val="0"/>
        <w:spacing w:before="0" w:after="200"/>
        <w:jc w:val="left"/>
        <w:rPr>
          <w:rFonts w:ascii="Times New Roman" w:hAnsi="Times New Roman"/>
          <w:sz w:val="20"/>
        </w:rPr>
      </w:pPr>
      <w:r>
        <w:rPr>
          <w:rFonts w:ascii="Arial" w:hAnsi="Arial"/>
          <w:color w:val="000000"/>
          <w:sz w:val="20"/>
        </w:rPr>
        <w:t>On February 23, 2024, the Company entered into an Amended and Restated Credit Agreement for a five-year senior secured revolving credit syndication loan (2024 Revolving Credit Facility) with four banks for a total commitment of $125.0</w:t>
      </w:r>
      <w:r>
        <w:rPr>
          <w:rFonts w:ascii="Times New Roman" w:hAnsi="Times New Roman"/>
          <w:color w:val="000000"/>
          <w:sz w:val="20"/>
        </w:rPr>
        <w:t xml:space="preserve"> </w:t>
      </w:r>
      <w:r>
        <w:rPr>
          <w:rFonts w:ascii="Arial" w:hAnsi="Arial"/>
          <w:color w:val="000000"/>
          <w:sz w:val="20"/>
        </w:rPr>
        <w:t>million. The 2024 Revolving Credit Facility provides for an incremental facility in an amount equal to $50.0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plus 100% of Consolidated Adjusted EBITDA based on the most recent consolidated financial information. In addition, the 2024 Revolving Credit Facility includes a $10.0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letter of credit sub-facility and a $5.0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 and is secured by substantially all of the assets of the borrowers and guarantors thereunder, subject to customary exceptions.</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On August 1, 2025, the Company entered into an amendment (the 2025 Revolving Credit Facility Amendment) to the 2024 Revolving Credit Facility with five banks to increase the total commitments from $125.0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to $300.0</w:t>
      </w:r>
      <w:r>
        <w:rPr>
          <w:rFonts w:ascii="Times New Roman" w:hAnsi="Times New Roman"/>
          <w:color w:val="000000"/>
          <w:sz w:val="20"/>
        </w:rPr>
        <w:t xml:space="preserve"> </w:t>
      </w:r>
      <w:r>
        <w:rPr>
          <w:rFonts w:ascii="Arial" w:hAnsi="Arial"/>
          <w:color w:val="000000"/>
          <w:sz w:val="20"/>
        </w:rPr>
        <w:t>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Interest expense for the three months ended June 30, 2026 and 2025 was $0.3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$1.1</w:t>
      </w:r>
      <w:r>
        <w:rPr>
          <w:rFonts w:ascii="Times New Roman" w:hAnsi="Times New Roman"/>
          <w:color w:val="000000"/>
          <w:sz w:val="20"/>
        </w:rPr>
        <w:t xml:space="preserve"> </w:t>
      </w:r>
      <w:r>
        <w:rPr>
          <w:rFonts w:ascii="Arial" w:hAnsi="Arial"/>
          <w:color w:val="000000"/>
          <w:sz w:val="20"/>
        </w:rPr>
        <w:t>million, respectively. Included in interest expense for the three months ended June 30, 2026 and 2025 was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less than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amortization of debt issuance costs. Interest expense for the six months ended June 30, 2026 and 2025 was $0.6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$1.8</w:t>
      </w:r>
      <w:r>
        <w:rPr>
          <w:rFonts w:ascii="Times New Roman" w:hAnsi="Times New Roman"/>
          <w:color w:val="000000"/>
          <w:sz w:val="20"/>
        </w:rPr>
        <w:t xml:space="preserve"> </w:t>
      </w:r>
      <w:r>
        <w:rPr>
          <w:rFonts w:ascii="Arial" w:hAnsi="Arial"/>
          <w:color w:val="000000"/>
          <w:sz w:val="20"/>
        </w:rPr>
        <w:t>million, respectively. Included in interest expense for the six months ended June 30, 2026 and 2025 was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amortization of debt issuance costs.</w:t>
      </w:r>
    </w:p>
    <w:p>
      <w:pPr>
        <w:pStyle w:val="TextBody"/>
        <w:bidi w:val="0"/>
        <w:spacing w:before="0" w:after="200"/>
        <w:jc w:val="left"/>
        <w:rPr>
          <w:rFonts w:ascii="Times New Roman" w:hAnsi="Times New Roman"/>
          <w:sz w:val="20"/>
        </w:rPr>
      </w:pPr>
      <w:r>
        <w:rPr>
          <w:rFonts w:ascii="Arial" w:hAnsi="Arial"/>
          <w:b/>
          <w:i/>
          <w:color w:val="000000"/>
          <w:sz w:val="20"/>
        </w:rPr>
        <w:t>Letters of Credit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of June 30, 2026 and December 31, 2025, the Company had outstanding and unused letters of credit in the amount of approximately $8.0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$7.9</w:t>
      </w:r>
      <w:r>
        <w:rPr>
          <w:rFonts w:ascii="Times New Roman" w:hAnsi="Times New Roman"/>
          <w:color w:val="000000"/>
          <w:sz w:val="20"/>
        </w:rPr>
        <w:t xml:space="preserve"> </w:t>
      </w:r>
      <w:r>
        <w:rPr>
          <w:rFonts w:ascii="Arial" w:hAnsi="Arial"/>
          <w:color w:val="000000"/>
          <w:sz w:val="20"/>
        </w:rPr>
        <w:t>million, respectively, for the purpose of protecting third-party service providers against defaults. The letters of credit may be terminated at any time by the Company upon notice.</w:t>
      </w:r>
    </w:p>
    <w:p>
      <w:pPr>
        <w:pStyle w:val="TextBody"/>
        <w:bidi w:val="0"/>
        <w:spacing w:before="200" w:after="283"/>
        <w:jc w:val="left"/>
        <w:rPr>
          <w:rFonts w:ascii="Arial" w:hAnsi="Arial"/>
          <w:b/>
          <w:color w:val="000000"/>
          <w:sz w:val="20"/>
        </w:rPr>
      </w:pPr>
      <w:bookmarkStart w:id="25" w:name="note_11"/>
      <w:bookmarkEnd w:id="25"/>
      <w:r>
        <w:rPr>
          <w:rFonts w:ascii="Arial" w:hAnsi="Arial"/>
          <w:b/>
          <w:color w:val="000000"/>
          <w:sz w:val="20"/>
        </w:rPr>
        <w:t>Note 13. Stockholders’ Equity</w:t>
      </w:r>
    </w:p>
    <w:p>
      <w:pPr>
        <w:pStyle w:val="TextBody"/>
        <w:bidi w:val="0"/>
        <w:spacing w:before="200" w:after="200"/>
        <w:jc w:val="left"/>
        <w:rPr>
          <w:rFonts w:ascii="Arial" w:hAnsi="Arial"/>
          <w:b/>
          <w:i/>
          <w:color w:val="000000"/>
          <w:sz w:val="20"/>
        </w:rPr>
      </w:pPr>
      <w:r>
        <w:rPr>
          <w:rFonts w:ascii="Arial" w:hAnsi="Arial"/>
          <w:b/>
          <w:i/>
          <w:color w:val="000000"/>
          <w:sz w:val="20"/>
        </w:rPr>
        <w:t>Preferred Stock</w:t>
      </w:r>
    </w:p>
    <w:p>
      <w:pPr>
        <w:pStyle w:val="TextBody"/>
        <w:bidi w:val="0"/>
        <w:spacing w:before="0" w:after="200"/>
        <w:jc w:val="left"/>
        <w:rPr>
          <w:rFonts w:ascii="Times New Roman" w:hAnsi="Times New Roman"/>
          <w:sz w:val="20"/>
        </w:rPr>
      </w:pPr>
      <w:r>
        <w:rPr>
          <w:rFonts w:ascii="Arial" w:hAnsi="Arial"/>
          <w:color w:val="000000"/>
          <w:sz w:val="20"/>
        </w:rPr>
        <w:t>The Company’s current amended and restated certificate of incorporation, which was filed on May 28, 2021, authorizes the issuance of 10,000,000</w:t>
      </w:r>
      <w:r>
        <w:rPr>
          <w:rFonts w:ascii="Times New Roman" w:hAnsi="Times New Roman"/>
          <w:color w:val="000000"/>
          <w:sz w:val="20"/>
        </w:rPr>
        <w:t xml:space="preserve"> </w:t>
      </w:r>
      <w:r>
        <w:rPr>
          <w:rFonts w:ascii="Arial" w:hAnsi="Arial"/>
          <w:color w:val="000000"/>
          <w:sz w:val="20"/>
        </w:rPr>
        <w:t>shares of undesignated preferred stock with a par value of $0.0001</w:t>
      </w:r>
      <w:r>
        <w:rPr>
          <w:rFonts w:ascii="Times New Roman" w:hAnsi="Times New Roman"/>
          <w:color w:val="000000"/>
          <w:sz w:val="20"/>
        </w:rPr>
        <w:t xml:space="preserve"> </w:t>
      </w:r>
      <w:r>
        <w:rPr>
          <w:rFonts w:ascii="Arial" w:hAnsi="Arial"/>
          <w:color w:val="000000"/>
          <w:sz w:val="20"/>
        </w:rPr>
        <w:t>per share with rights and preferences, including voting rights, designated from time to time by the board of directors.</w:t>
      </w:r>
    </w:p>
    <w:p>
      <w:pPr>
        <w:pStyle w:val="TextBody"/>
        <w:bidi w:val="0"/>
        <w:spacing w:before="0" w:after="200"/>
        <w:jc w:val="left"/>
        <w:rPr>
          <w:rFonts w:ascii="Arial" w:hAnsi="Arial"/>
          <w:b/>
          <w:i/>
          <w:color w:val="000000"/>
          <w:sz w:val="20"/>
        </w:rPr>
      </w:pPr>
      <w:r>
        <w:rPr>
          <w:rFonts w:ascii="Arial" w:hAnsi="Arial"/>
          <w:b/>
          <w:i/>
          <w:color w:val="000000"/>
          <w:sz w:val="20"/>
        </w:rPr>
        <w:t>Common Stock</w:t>
      </w:r>
    </w:p>
    <w:p>
      <w:pPr>
        <w:pStyle w:val="TextBody"/>
        <w:bidi w:val="0"/>
        <w:spacing w:before="0" w:after="200"/>
        <w:jc w:val="left"/>
        <w:rPr>
          <w:rFonts w:ascii="Times New Roman" w:hAnsi="Times New Roman"/>
          <w:sz w:val="20"/>
        </w:rPr>
      </w:pPr>
      <w:r>
        <w:rPr>
          <w:rFonts w:ascii="Arial" w:hAnsi="Arial"/>
          <w:color w:val="000000"/>
          <w:sz w:val="20"/>
        </w:rPr>
        <w:t>The Company’s current amended and restated certificate of incorporation authorizes the issuance of 2,000,000,000</w:t>
      </w:r>
      <w:r>
        <w:rPr>
          <w:rFonts w:ascii="Times New Roman" w:hAnsi="Times New Roman"/>
          <w:color w:val="000000"/>
          <w:sz w:val="20"/>
        </w:rPr>
        <w:t xml:space="preserve"> </w:t>
      </w:r>
      <w:r>
        <w:rPr>
          <w:rFonts w:ascii="Arial" w:hAnsi="Arial"/>
          <w:color w:val="000000"/>
          <w:sz w:val="20"/>
        </w:rPr>
        <w:t>shares of voting common stock with a par value of $0.0001</w:t>
      </w:r>
      <w:r>
        <w:rPr>
          <w:rFonts w:ascii="Times New Roman" w:hAnsi="Times New Roman"/>
          <w:color w:val="000000"/>
          <w:sz w:val="20"/>
        </w:rPr>
        <w:t xml:space="preserve"> </w:t>
      </w:r>
      <w:r>
        <w:rPr>
          <w:rFonts w:ascii="Arial" w:hAnsi="Arial"/>
          <w:color w:val="000000"/>
          <w:sz w:val="20"/>
        </w:rPr>
        <w:t>per share and 10,000,000</w:t>
      </w:r>
      <w:r>
        <w:rPr>
          <w:rFonts w:ascii="Times New Roman" w:hAnsi="Times New Roman"/>
          <w:color w:val="000000"/>
          <w:sz w:val="20"/>
        </w:rPr>
        <w:t xml:space="preserve"> </w:t>
      </w:r>
      <w:r>
        <w:rPr>
          <w:rFonts w:ascii="Arial" w:hAnsi="Arial"/>
          <w:color w:val="000000"/>
          <w:sz w:val="20"/>
        </w:rPr>
        <w:t>shares of non-voting common stock with a par value of $0.0001</w:t>
      </w:r>
      <w:r>
        <w:rPr>
          <w:rFonts w:ascii="Times New Roman" w:hAnsi="Times New Roman"/>
          <w:color w:val="000000"/>
          <w:sz w:val="20"/>
        </w:rPr>
        <w:t xml:space="preserve"> </w:t>
      </w:r>
      <w:r>
        <w:rPr>
          <w:rFonts w:ascii="Arial" w:hAnsi="Arial"/>
          <w:color w:val="000000"/>
          <w:sz w:val="20"/>
        </w:rPr>
        <w:t>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pStyle w:val="TextBody"/>
        <w:bidi w:val="0"/>
        <w:spacing w:before="0" w:after="200"/>
        <w:jc w:val="left"/>
        <w:rPr>
          <w:rFonts w:ascii="Arial" w:hAnsi="Arial"/>
          <w:color w:val="000000"/>
          <w:sz w:val="20"/>
        </w:rPr>
      </w:pPr>
      <w:r>
        <w:rPr>
          <w:rFonts w:ascii="Arial" w:hAnsi="Arial"/>
          <w:color w:val="000000"/>
          <w:sz w:val="20"/>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pStyle w:val="TextBody"/>
        <w:bidi w:val="0"/>
        <w:spacing w:before="0" w:after="200"/>
        <w:jc w:val="left"/>
        <w:rPr>
          <w:rFonts w:ascii="Arial" w:hAnsi="Arial"/>
          <w:b/>
          <w:i/>
          <w:color w:val="000000"/>
          <w:sz w:val="20"/>
        </w:rPr>
      </w:pPr>
      <w:r>
        <w:rPr>
          <w:rFonts w:ascii="Arial" w:hAnsi="Arial"/>
          <w:b/>
          <w:i/>
          <w:color w:val="000000"/>
          <w:sz w:val="20"/>
        </w:rPr>
        <w:t>Share Repurchase Program</w:t>
      </w:r>
    </w:p>
    <w:p>
      <w:pPr>
        <w:pStyle w:val="TextBody"/>
        <w:bidi w:val="0"/>
        <w:spacing w:before="0" w:after="200"/>
        <w:jc w:val="left"/>
        <w:rPr>
          <w:rFonts w:ascii="Times New Roman" w:hAnsi="Times New Roman"/>
          <w:sz w:val="20"/>
        </w:rPr>
      </w:pPr>
      <w:r>
        <w:rPr>
          <w:rFonts w:ascii="Arial" w:hAnsi="Arial"/>
          <w:color w:val="000000"/>
          <w:sz w:val="20"/>
        </w:rPr>
        <w:t>On August 6, 2024, the Company announced a share repurchase program of up to $150.0</w:t>
      </w:r>
      <w:r>
        <w:rPr>
          <w:rFonts w:ascii="Times New Roman" w:hAnsi="Times New Roman"/>
          <w:color w:val="000000"/>
          <w:sz w:val="20"/>
        </w:rPr>
        <w:t xml:space="preserve"> </w:t>
      </w:r>
      <w:r>
        <w:rPr>
          <w:rFonts w:ascii="Arial" w:hAnsi="Arial"/>
          <w:color w:val="000000"/>
          <w:sz w:val="20"/>
        </w:rPr>
        <w:t>million of outstanding voting and non-voting common stock for an indefinite period as part of the Company’s capital deployment strategy (Repurchase Program).</w:t>
      </w:r>
      <w:r>
        <w:rPr>
          <w:rFonts w:ascii="Times New Roman" w:hAnsi="Times New Roman"/>
          <w:color w:val="000000"/>
          <w:sz w:val="20"/>
        </w:rPr>
        <w:t xml:space="preserve"> </w:t>
      </w:r>
      <w:r>
        <w:rPr>
          <w:rFonts w:ascii="Arial" w:hAnsi="Arial"/>
          <w:color w:val="000000"/>
          <w:sz w:val="20"/>
        </w:rPr>
        <w:t>On July 30, 2025, the Company's board of directors approved an increase in the aggregate amount of voting and non-voting common stock outstanding that may be repurchased under the Repurchase Program by an additional $150.0</w:t>
      </w:r>
      <w:r>
        <w:rPr>
          <w:rFonts w:ascii="Times New Roman" w:hAnsi="Times New Roman"/>
          <w:color w:val="000000"/>
          <w:sz w:val="20"/>
        </w:rPr>
        <w:t xml:space="preserve"> </w:t>
      </w:r>
      <w:r>
        <w:rPr>
          <w:rFonts w:ascii="Arial" w:hAnsi="Arial"/>
          <w:color w:val="000000"/>
          <w:sz w:val="20"/>
        </w:rPr>
        <w:t>million, bringing the total authorized amount under the Repurchase Program to $300.0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On May 13, 2026, the Company entered into a privately negotiated securities repurchase agreement with its sole pre-IPO stockholder of non-voting common stock to repurchase all of the 1,873,320</w:t>
      </w:r>
      <w:r>
        <w:rPr>
          <w:rFonts w:ascii="Times New Roman" w:hAnsi="Times New Roman"/>
          <w:color w:val="000000"/>
          <w:sz w:val="20"/>
        </w:rPr>
        <w:t xml:space="preserve"> </w:t>
      </w:r>
      <w:r>
        <w:rPr>
          <w:rFonts w:ascii="Arial" w:hAnsi="Arial"/>
          <w:color w:val="000000"/>
          <w:sz w:val="20"/>
        </w:rPr>
        <w:t>shares of the Company’s outstanding non-voting common stock from the stockholder (the Non-Voting Common Stock Repurchase). The transaction had an aggregate purchase price of approximately $29.0</w:t>
      </w:r>
      <w:r>
        <w:rPr>
          <w:rFonts w:ascii="Times New Roman" w:hAnsi="Times New Roman"/>
          <w:color w:val="000000"/>
          <w:sz w:val="20"/>
        </w:rPr>
        <w:t xml:space="preserve"> </w:t>
      </w:r>
      <w:r>
        <w:rPr>
          <w:rFonts w:ascii="Arial" w:hAnsi="Arial"/>
          <w:color w:val="000000"/>
          <w:sz w:val="20"/>
        </w:rPr>
        <w:t>million, representing approximately $15.50</w:t>
      </w:r>
      <w:r>
        <w:rPr>
          <w:rFonts w:ascii="Times New Roman" w:hAnsi="Times New Roman"/>
          <w:color w:val="000000"/>
          <w:sz w:val="20"/>
        </w:rPr>
        <w:t xml:space="preserve"> </w:t>
      </w:r>
      <w:r>
        <w:rPr>
          <w:rFonts w:ascii="Arial" w:hAnsi="Arial"/>
          <w:color w:val="000000"/>
          <w:sz w:val="20"/>
        </w:rPr>
        <w:t>per share. The Company funded the transaction entirely with cash on its balance sheet under the Repurchase Program. Following the completion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repurchase, the shares of non-voting common stock were retired and no shares of non-voting common stock were outstanding.</w:t>
      </w:r>
    </w:p>
    <w:p>
      <w:pPr>
        <w:pStyle w:val="TextBody"/>
        <w:bidi w:val="0"/>
        <w:spacing w:before="0" w:after="200"/>
        <w:jc w:val="left"/>
        <w:rPr>
          <w:rFonts w:ascii="Arial" w:hAnsi="Arial"/>
          <w:color w:val="000000"/>
          <w:sz w:val="20"/>
        </w:rPr>
      </w:pPr>
      <w:r>
        <w:rPr>
          <w:rFonts w:ascii="Arial" w:hAnsi="Arial"/>
          <w:color w:val="000000"/>
          <w:sz w:val="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pStyle w:val="TextBody"/>
        <w:bidi w:val="0"/>
        <w:spacing w:before="0" w:after="200"/>
        <w:jc w:val="left"/>
        <w:rPr>
          <w:rFonts w:ascii="Times New Roman" w:hAnsi="Times New Roman"/>
          <w:sz w:val="20"/>
        </w:rPr>
      </w:pPr>
      <w:r>
        <w:rPr>
          <w:rFonts w:ascii="Arial" w:hAnsi="Arial"/>
          <w:color w:val="000000"/>
          <w:sz w:val="20"/>
        </w:rPr>
        <w:t>During the three and six months ended June 30, 2026, the Company repurchased 3,140,218</w:t>
      </w:r>
      <w:r>
        <w:rPr>
          <w:rFonts w:ascii="Times New Roman" w:hAnsi="Times New Roman"/>
          <w:color w:val="000000"/>
          <w:sz w:val="20"/>
        </w:rPr>
        <w:t xml:space="preserve"> </w:t>
      </w:r>
      <w:r>
        <w:rPr>
          <w:rFonts w:ascii="Arial" w:hAnsi="Arial"/>
          <w:color w:val="000000"/>
          <w:sz w:val="20"/>
        </w:rPr>
        <w:t>and 4,047,247</w:t>
      </w:r>
      <w:r>
        <w:rPr>
          <w:rFonts w:ascii="Times New Roman" w:hAnsi="Times New Roman"/>
          <w:color w:val="000000"/>
          <w:sz w:val="20"/>
        </w:rPr>
        <w:t xml:space="preserve"> </w:t>
      </w:r>
      <w:r>
        <w:rPr>
          <w:rFonts w:ascii="Arial" w:hAnsi="Arial"/>
          <w:color w:val="000000"/>
          <w:sz w:val="20"/>
        </w:rPr>
        <w:t>shares of its common stock for an aggregate amount, including commissions and accrued excise tax, of $49.5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$59.5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under the Repurchase Program, respectively. With the exception of the Non-Voting Common Stock Repurchase, the repurchased shares are currently being held as treasury stock on the condensed consolidated balance sheet. As of June 30, 2026, approximately $122.7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the $300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authorized amount under the Repurchase Program remained available for future repurchases.</w:t>
      </w:r>
    </w:p>
    <w:p>
      <w:pPr>
        <w:pStyle w:val="TextBody"/>
        <w:bidi w:val="0"/>
        <w:spacing w:before="0" w:after="200"/>
        <w:jc w:val="left"/>
        <w:rPr>
          <w:rFonts w:ascii="Times New Roman" w:hAnsi="Times New Roman"/>
          <w:sz w:val="20"/>
        </w:rPr>
      </w:pPr>
      <w:r>
        <w:rPr>
          <w:rFonts w:ascii="Arial" w:hAnsi="Arial"/>
          <w:color w:val="000000"/>
          <w:sz w:val="20"/>
        </w:rPr>
        <w:t>All of the Company’s repurchases are subject to a 1% excise tax enacted by the Inflation Reduction Act of 2022 (the IRA). The amount of share repurchases subject to the excise tax are reduced by the fair market value of any shares issued during the taxable year. As of June 30, 2026, the accrued excise tax liability pursuant to the IRA was $0.3</w:t>
      </w:r>
      <w:r>
        <w:rPr>
          <w:rFonts w:ascii="Times New Roman" w:hAnsi="Times New Roman"/>
          <w:color w:val="000000"/>
          <w:sz w:val="20"/>
        </w:rPr>
        <w:t xml:space="preserve"> </w:t>
      </w:r>
      <w:r>
        <w:rPr>
          <w:rFonts w:ascii="Arial" w:hAnsi="Arial"/>
          <w:color w:val="000000"/>
          <w:sz w:val="20"/>
        </w:rPr>
        <w:t>million. The accrued excise tax liability is included in the cost of treasury stock and accrued expenses and other current liabilities on the Company's condensed consolidated balance sheet. During the three months ended June 30, 2026, the Company paid $0.3</w:t>
      </w:r>
      <w:r>
        <w:rPr>
          <w:rFonts w:ascii="Times New Roman" w:hAnsi="Times New Roman"/>
          <w:color w:val="000000"/>
          <w:sz w:val="20"/>
        </w:rPr>
        <w:t xml:space="preserve"> </w:t>
      </w:r>
      <w:r>
        <w:rPr>
          <w:rFonts w:ascii="Arial" w:hAnsi="Arial"/>
          <w:color w:val="000000"/>
          <w:sz w:val="20"/>
        </w:rPr>
        <w:t>million of its accrued excise tax liability related to the 2025 tax year.</w:t>
      </w:r>
    </w:p>
    <w:p>
      <w:pPr>
        <w:pStyle w:val="TextBody"/>
        <w:bidi w:val="0"/>
        <w:spacing w:before="0" w:after="200"/>
        <w:jc w:val="left"/>
        <w:rPr>
          <w:rFonts w:ascii="Arial" w:hAnsi="Arial"/>
          <w:b/>
          <w:i/>
          <w:color w:val="000000"/>
          <w:sz w:val="20"/>
        </w:rPr>
      </w:pPr>
      <w:r>
        <w:rPr>
          <w:rFonts w:ascii="Arial" w:hAnsi="Arial"/>
          <w:b/>
          <w:i/>
          <w:color w:val="000000"/>
          <w:sz w:val="20"/>
        </w:rPr>
        <w:t>Treasury Stock</w:t>
      </w:r>
    </w:p>
    <w:p>
      <w:pPr>
        <w:pStyle w:val="TextBody"/>
        <w:bidi w:val="0"/>
        <w:spacing w:before="0" w:after="200"/>
        <w:jc w:val="left"/>
        <w:rPr>
          <w:rFonts w:ascii="Times New Roman" w:hAnsi="Times New Roman"/>
          <w:sz w:val="20"/>
        </w:rPr>
      </w:pPr>
      <w:r>
        <w:rPr>
          <w:rFonts w:ascii="Arial" w:hAnsi="Arial"/>
          <w:color w:val="000000"/>
          <w:sz w:val="20"/>
        </w:rPr>
        <w:t>The Company may issue treasury stock upon the exercise of stock options and vesting of restricted stock units granted under its equity incentive plans. The Company issued 17,092</w:t>
      </w:r>
      <w:r>
        <w:rPr>
          <w:rFonts w:ascii="Times New Roman" w:hAnsi="Times New Roman"/>
          <w:color w:val="000000"/>
          <w:sz w:val="20"/>
        </w:rPr>
        <w:t xml:space="preserve"> </w:t>
      </w:r>
      <w:r>
        <w:rPr>
          <w:rFonts w:ascii="Arial" w:hAnsi="Arial"/>
          <w:color w:val="000000"/>
          <w:sz w:val="20"/>
        </w:rPr>
        <w:t>and 63,893</w:t>
      </w:r>
      <w:r>
        <w:rPr>
          <w:rFonts w:ascii="Times New Roman" w:hAnsi="Times New Roman"/>
          <w:color w:val="000000"/>
          <w:sz w:val="20"/>
        </w:rPr>
        <w:t xml:space="preserve"> </w:t>
      </w:r>
      <w:r>
        <w:rPr>
          <w:rFonts w:ascii="Arial" w:hAnsi="Arial"/>
          <w:color w:val="000000"/>
          <w:sz w:val="20"/>
        </w:rPr>
        <w:t>treasury shares at an average cost of $11.53</w:t>
      </w:r>
      <w:r>
        <w:rPr>
          <w:rFonts w:ascii="Times New Roman" w:hAnsi="Times New Roman"/>
          <w:color w:val="000000"/>
          <w:sz w:val="20"/>
        </w:rPr>
        <w:t xml:space="preserve"> </w:t>
      </w:r>
      <w:r>
        <w:rPr>
          <w:rFonts w:ascii="Arial" w:hAnsi="Arial"/>
          <w:color w:val="000000"/>
          <w:sz w:val="20"/>
        </w:rPr>
        <w:t>and $11.56</w:t>
      </w:r>
      <w:r>
        <w:rPr>
          <w:rFonts w:ascii="Times New Roman" w:hAnsi="Times New Roman"/>
          <w:color w:val="000000"/>
          <w:sz w:val="20"/>
        </w:rPr>
        <w:t xml:space="preserve"> </w:t>
      </w:r>
      <w:r>
        <w:rPr>
          <w:rFonts w:ascii="Arial" w:hAnsi="Arial"/>
          <w:color w:val="000000"/>
          <w:sz w:val="20"/>
        </w:rPr>
        <w:t>per share during the three and six months ended June 30, 2026, respectively. The Company issued 9,330</w:t>
      </w:r>
      <w:r>
        <w:rPr>
          <w:rFonts w:ascii="Times New Roman" w:hAnsi="Times New Roman"/>
          <w:color w:val="000000"/>
          <w:sz w:val="20"/>
        </w:rPr>
        <w:t xml:space="preserve"> </w:t>
      </w:r>
      <w:r>
        <w:rPr>
          <w:rFonts w:ascii="Arial" w:hAnsi="Arial"/>
          <w:color w:val="000000"/>
          <w:sz w:val="20"/>
        </w:rPr>
        <w:t>and 28,512</w:t>
      </w:r>
      <w:r>
        <w:rPr>
          <w:rFonts w:ascii="Times New Roman" w:hAnsi="Times New Roman"/>
          <w:color w:val="000000"/>
          <w:sz w:val="20"/>
        </w:rPr>
        <w:t xml:space="preserve"> </w:t>
      </w:r>
      <w:r>
        <w:rPr>
          <w:rFonts w:ascii="Arial" w:hAnsi="Arial"/>
          <w:color w:val="000000"/>
          <w:sz w:val="20"/>
        </w:rPr>
        <w:t>treasury shares at an average cost of $11.50</w:t>
      </w:r>
      <w:r>
        <w:rPr>
          <w:rFonts w:ascii="Times New Roman" w:hAnsi="Times New Roman"/>
          <w:color w:val="000000"/>
          <w:sz w:val="20"/>
        </w:rPr>
        <w:t xml:space="preserve"> </w:t>
      </w:r>
      <w:r>
        <w:rPr>
          <w:rFonts w:ascii="Arial" w:hAnsi="Arial"/>
          <w:color w:val="000000"/>
          <w:sz w:val="20"/>
        </w:rPr>
        <w:t>and $10.43</w:t>
      </w:r>
      <w:r>
        <w:rPr>
          <w:rFonts w:ascii="Times New Roman" w:hAnsi="Times New Roman"/>
          <w:color w:val="000000"/>
          <w:sz w:val="20"/>
        </w:rPr>
        <w:t xml:space="preserve"> </w:t>
      </w:r>
      <w:r>
        <w:rPr>
          <w:rFonts w:ascii="Arial" w:hAnsi="Arial"/>
          <w:color w:val="000000"/>
          <w:sz w:val="20"/>
        </w:rPr>
        <w:t>per share during the three and six months ended June 30, 2025. The Company intends to issue treasury shares as long as an adequate number of those shares are available.</w:t>
      </w:r>
    </w:p>
    <w:p>
      <w:pPr>
        <w:pStyle w:val="TextBody"/>
        <w:bidi w:val="0"/>
        <w:spacing w:before="0" w:after="200"/>
        <w:jc w:val="left"/>
        <w:rPr>
          <w:rFonts w:ascii="Times New Roman" w:hAnsi="Times New Roman"/>
          <w:sz w:val="20"/>
        </w:rPr>
      </w:pPr>
      <w:r>
        <w:rPr>
          <w:rFonts w:ascii="Arial" w:hAnsi="Arial"/>
          <w:b/>
          <w:i/>
          <w:color w:val="000000"/>
          <w:sz w:val="20"/>
        </w:rPr>
        <w:t>Comprehensive (Loss) Income</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Comprehensive (loss) income includes all changes in equity during the period and is comprised of net income (loss) and other comprehensive income (loss). Accumulated other comprehensive income (AOCI) reported on the Company's condensed consolidated balance sheets for the period ending June 30, 2026 consists of foreign currency translation adjustment and the unrealized gains and losses, net of applicable taxes, on available-for-sale debt securities.</w:t>
      </w:r>
    </w:p>
    <w:p>
      <w:pPr>
        <w:pStyle w:val="TextBody"/>
        <w:bidi w:val="0"/>
        <w:spacing w:before="0" w:after="200"/>
        <w:jc w:val="left"/>
        <w:rPr>
          <w:rFonts w:ascii="Arial" w:hAnsi="Arial"/>
          <w:color w:val="000000"/>
          <w:sz w:val="20"/>
        </w:rPr>
      </w:pPr>
      <w:r>
        <w:rPr>
          <w:rFonts w:ascii="Arial" w:hAnsi="Arial"/>
          <w:color w:val="000000"/>
          <w:sz w:val="20"/>
        </w:rPr>
        <w:t>The following tables summarize the changes in AOCI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3266"/>
        <w:gridCol w:w="479"/>
        <w:gridCol w:w="855"/>
        <w:gridCol w:w="159"/>
        <w:gridCol w:w="241"/>
        <w:gridCol w:w="627"/>
        <w:gridCol w:w="159"/>
        <w:gridCol w:w="229"/>
        <w:gridCol w:w="621"/>
        <w:gridCol w:w="146"/>
        <w:gridCol w:w="479"/>
        <w:gridCol w:w="855"/>
        <w:gridCol w:w="158"/>
        <w:gridCol w:w="241"/>
        <w:gridCol w:w="626"/>
        <w:gridCol w:w="158"/>
        <w:gridCol w:w="229"/>
        <w:gridCol w:w="677"/>
      </w:tblGrid>
      <w:tr>
        <w:trPr/>
        <w:tc>
          <w:tcPr>
            <w:tcW w:w="326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Unrealized Gains</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Foreign</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Unrealized Gains</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Foreign</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(Losses) on</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Currency</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(Losses) on</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Currency</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Available-for-Sale</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Translation</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Available-for-Sale</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Translation</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Debt Securities, net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Debt Securities, net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Beginning balance</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income before reclassifications</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6,619</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current period other comprehensive (loss) income</w:t>
            </w:r>
          </w:p>
        </w:tc>
        <w:tc>
          <w:tcPr>
            <w:tcW w:w="4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6,655</w:t>
            </w:r>
          </w:p>
        </w:tc>
        <w:tc>
          <w:tcPr>
            <w:tcW w:w="1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6,619</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Ending balance</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4,409</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7,058</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7,101</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pPr>
      <w:r>
        <w:rPr/>
        <w:t> </w:t>
      </w:r>
    </w:p>
    <w:tbl>
      <w:tblPr>
        <w:tblW w:w="10205" w:type="dxa"/>
        <w:jc w:val="left"/>
        <w:tblInd w:w="0" w:type="dxa"/>
        <w:tblLayout w:type="fixed"/>
        <w:tblCellMar>
          <w:top w:w="28" w:type="dxa"/>
          <w:left w:w="28" w:type="dxa"/>
          <w:bottom w:w="28" w:type="dxa"/>
          <w:right w:w="28" w:type="dxa"/>
        </w:tblCellMar>
      </w:tblPr>
      <w:tblGrid>
        <w:gridCol w:w="3343"/>
        <w:gridCol w:w="480"/>
        <w:gridCol w:w="857"/>
        <w:gridCol w:w="151"/>
        <w:gridCol w:w="223"/>
        <w:gridCol w:w="604"/>
        <w:gridCol w:w="151"/>
        <w:gridCol w:w="218"/>
        <w:gridCol w:w="592"/>
        <w:gridCol w:w="146"/>
        <w:gridCol w:w="406"/>
        <w:gridCol w:w="931"/>
        <w:gridCol w:w="146"/>
        <w:gridCol w:w="211"/>
        <w:gridCol w:w="669"/>
        <w:gridCol w:w="146"/>
        <w:gridCol w:w="211"/>
        <w:gridCol w:w="720"/>
      </w:tblGrid>
      <w:tr>
        <w:trPr/>
        <w:tc>
          <w:tcPr>
            <w:tcW w:w="334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2025</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Unrealized Gains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Foreign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(Losses) 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Currency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(Losses)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Available-for-Sale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Translation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Debt Securities,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Debt Securities,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Beginning balance</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(2,066)</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income before reclassifications</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9,167</w:t>
            </w:r>
          </w:p>
        </w:tc>
      </w:tr>
      <w:tr>
        <w:trPr/>
        <w:tc>
          <w:tcPr>
            <w:tcW w:w="33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current period other comprehensive (loss) income</w:t>
            </w:r>
          </w:p>
        </w:tc>
        <w:tc>
          <w:tcPr>
            <w:tcW w:w="4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9,167</w:t>
            </w:r>
          </w:p>
        </w:tc>
      </w:tr>
      <w:tr>
        <w:trPr/>
        <w:tc>
          <w:tcPr>
            <w:tcW w:w="3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Ending balance</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7,101</w:t>
            </w:r>
          </w:p>
        </w:tc>
      </w:tr>
    </w:tbl>
    <w:p>
      <w:pPr>
        <w:pStyle w:val="TextBody"/>
        <w:bidi w:val="0"/>
        <w:spacing w:before="200" w:after="200"/>
        <w:jc w:val="left"/>
        <w:rPr>
          <w:rFonts w:ascii="Arial" w:hAnsi="Arial"/>
          <w:b/>
          <w:i/>
          <w:color w:val="000000"/>
          <w:sz w:val="20"/>
        </w:rPr>
      </w:pPr>
      <w:r>
        <w:rPr>
          <w:rFonts w:ascii="Arial" w:hAnsi="Arial"/>
          <w:b/>
          <w:i/>
          <w:color w:val="000000"/>
          <w:sz w:val="20"/>
        </w:rPr>
        <w:t>Reserved Shares of Common Stock for Future Issuance</w:t>
      </w:r>
    </w:p>
    <w:p>
      <w:pPr>
        <w:pStyle w:val="TextBody"/>
        <w:bidi w:val="0"/>
        <w:spacing w:before="0" w:after="200"/>
        <w:jc w:val="left"/>
        <w:rPr>
          <w:rFonts w:ascii="Arial" w:hAnsi="Arial"/>
          <w:color w:val="000000"/>
          <w:sz w:val="20"/>
        </w:rPr>
      </w:pPr>
      <w:r>
        <w:rPr>
          <w:rFonts w:ascii="Arial" w:hAnsi="Arial"/>
          <w:color w:val="000000"/>
          <w:sz w:val="20"/>
        </w:rPr>
        <w:t>As of June 30, 2026, the Company had reserved shares of common stock for future issuance as follows:</w:t>
      </w:r>
    </w:p>
    <w:tbl>
      <w:tblPr>
        <w:tblW w:w="6137" w:type="dxa"/>
        <w:jc w:val="left"/>
        <w:tblInd w:w="0" w:type="dxa"/>
        <w:tblLayout w:type="fixed"/>
        <w:tblCellMar>
          <w:top w:w="28" w:type="dxa"/>
          <w:left w:w="28" w:type="dxa"/>
          <w:bottom w:w="28" w:type="dxa"/>
          <w:right w:w="28" w:type="dxa"/>
        </w:tblCellMar>
      </w:tblPr>
      <w:tblGrid>
        <w:gridCol w:w="5056"/>
        <w:gridCol w:w="1081"/>
      </w:tblGrid>
      <w:tr>
        <w:trPr/>
        <w:tc>
          <w:tcPr>
            <w:tcW w:w="50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Issued and outstanding stock options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4,207,380</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Issued and outstanding restricted stock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13,537,608</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for issuance under the 2021 Equity Incentive Plan</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17,994,566</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for issuance under Employee Stock Purchase Plan</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6,623,078</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42,362,632</w:t>
            </w:r>
          </w:p>
        </w:tc>
      </w:tr>
    </w:tbl>
    <w:p>
      <w:pPr>
        <w:pStyle w:val="TextBody"/>
        <w:bidi w:val="0"/>
        <w:jc w:val="left"/>
        <w:rPr/>
      </w:pPr>
      <w:r>
        <w:rPr/>
        <w:t> </w:t>
      </w:r>
    </w:p>
    <w:p>
      <w:pPr>
        <w:pStyle w:val="TextBody"/>
        <w:bidi w:val="0"/>
        <w:spacing w:before="200" w:after="283"/>
        <w:jc w:val="left"/>
        <w:rPr>
          <w:rFonts w:ascii="Times New Roman" w:hAnsi="Times New Roman"/>
          <w:sz w:val="20"/>
        </w:rPr>
      </w:pPr>
      <w:bookmarkStart w:id="26" w:name="note_12"/>
      <w:bookmarkEnd w:id="26"/>
      <w:r>
        <w:rPr>
          <w:rFonts w:ascii="Arial" w:hAnsi="Arial"/>
          <w:b/>
          <w:color w:val="000000"/>
          <w:sz w:val="20"/>
        </w:rPr>
        <w:t>Note 14.</w:t>
      </w:r>
      <w:r>
        <w:rPr>
          <w:rFonts w:ascii="Times New Roman" w:hAnsi="Times New Roman"/>
          <w:color w:val="000000"/>
          <w:sz w:val="20"/>
        </w:rPr>
        <w:t xml:space="preserve"> </w:t>
      </w:r>
      <w:r>
        <w:rPr>
          <w:rFonts w:ascii="Arial" w:hAnsi="Arial"/>
          <w:b/>
          <w:color w:val="000000"/>
          <w:sz w:val="20"/>
        </w:rPr>
        <w:t>Stock-Based Compensation</w:t>
      </w:r>
    </w:p>
    <w:p>
      <w:pPr>
        <w:pStyle w:val="TextBody"/>
        <w:bidi w:val="0"/>
        <w:spacing w:before="200" w:after="200"/>
        <w:jc w:val="left"/>
        <w:rPr>
          <w:rFonts w:ascii="Arial" w:hAnsi="Arial"/>
          <w:b/>
          <w:i/>
          <w:color w:val="000000"/>
          <w:sz w:val="20"/>
        </w:rPr>
      </w:pPr>
      <w:r>
        <w:rPr>
          <w:rFonts w:ascii="Arial" w:hAnsi="Arial"/>
          <w:b/>
          <w:i/>
          <w:color w:val="000000"/>
          <w:sz w:val="20"/>
        </w:rPr>
        <w:t>Stock Options</w:t>
      </w:r>
    </w:p>
    <w:p>
      <w:pPr>
        <w:pStyle w:val="TextBody"/>
        <w:bidi w:val="0"/>
        <w:spacing w:before="0" w:after="200"/>
        <w:jc w:val="left"/>
        <w:rPr>
          <w:rFonts w:ascii="Times New Roman" w:hAnsi="Times New Roman"/>
          <w:sz w:val="20"/>
        </w:rPr>
      </w:pPr>
      <w:r>
        <w:rPr>
          <w:rFonts w:ascii="Arial" w:hAnsi="Arial"/>
          <w:color w:val="000000"/>
          <w:sz w:val="20"/>
        </w:rPr>
        <w:t>Stock options granted under the 2021 Plan generally vest based on continued service over four years</w:t>
      </w:r>
      <w:r>
        <w:rPr>
          <w:rFonts w:ascii="Times New Roman" w:hAnsi="Times New Roman"/>
          <w:color w:val="000000"/>
          <w:sz w:val="20"/>
        </w:rPr>
        <w:t xml:space="preserve"> </w:t>
      </w:r>
      <w:r>
        <w:rPr>
          <w:rFonts w:ascii="Arial" w:hAnsi="Arial"/>
          <w:color w:val="000000"/>
          <w:sz w:val="20"/>
        </w:rPr>
        <w:t>and expire within ten years</w:t>
      </w:r>
      <w:r>
        <w:rPr>
          <w:rFonts w:ascii="Times New Roman" w:hAnsi="Times New Roman"/>
          <w:color w:val="000000"/>
          <w:sz w:val="20"/>
        </w:rPr>
        <w:t xml:space="preserve"> </w:t>
      </w:r>
      <w:r>
        <w:rPr>
          <w:rFonts w:ascii="Arial" w:hAnsi="Arial"/>
          <w:color w:val="000000"/>
          <w:sz w:val="20"/>
        </w:rPr>
        <w:t>from the date of grant. Any options that are cancelled or forfeited before expiration become available for future grants.</w:t>
      </w:r>
    </w:p>
    <w:p>
      <w:pPr>
        <w:pStyle w:val="TextBody"/>
        <w:bidi w:val="0"/>
        <w:spacing w:before="0" w:after="200"/>
        <w:jc w:val="left"/>
        <w:rPr>
          <w:rFonts w:ascii="Arial" w:hAnsi="Arial"/>
          <w:color w:val="000000"/>
          <w:sz w:val="20"/>
        </w:rPr>
      </w:pPr>
      <w:r>
        <w:rPr>
          <w:rFonts w:ascii="Arial" w:hAnsi="Arial"/>
          <w:color w:val="000000"/>
          <w:sz w:val="20"/>
        </w:rPr>
        <w:t>The Company did not grant any options to purchase shares of common stock during the three and six months ended June 30, 2026 and 2025.</w:t>
      </w:r>
    </w:p>
    <w:p>
      <w:pPr>
        <w:pStyle w:val="TextBody"/>
        <w:bidi w:val="0"/>
        <w:spacing w:before="0" w:after="200"/>
        <w:jc w:val="left"/>
        <w:rPr>
          <w:rFonts w:ascii="Times New Roman" w:hAnsi="Times New Roman"/>
          <w:sz w:val="20"/>
        </w:rPr>
      </w:pPr>
      <w:r>
        <w:rPr>
          <w:rFonts w:ascii="Arial" w:hAnsi="Arial"/>
          <w:color w:val="000000"/>
          <w:sz w:val="20"/>
        </w:rPr>
        <w:t>As of June 30, 2026, there was no</w:t>
      </w:r>
      <w:r>
        <w:rPr>
          <w:rFonts w:ascii="Times New Roman" w:hAnsi="Times New Roman"/>
          <w:color w:val="000000"/>
          <w:sz w:val="20"/>
        </w:rPr>
        <w:t xml:space="preserve"> </w:t>
      </w:r>
      <w:r>
        <w:rPr>
          <w:rFonts w:ascii="Arial" w:hAnsi="Arial"/>
          <w:color w:val="000000"/>
          <w:sz w:val="20"/>
        </w:rPr>
        <w:t>unrecognized compensation expense related to unvested stock options.</w:t>
      </w:r>
    </w:p>
    <w:p>
      <w:pPr>
        <w:pStyle w:val="TextBody"/>
        <w:bidi w:val="0"/>
        <w:spacing w:before="0" w:after="200"/>
        <w:jc w:val="left"/>
        <w:rPr>
          <w:rFonts w:ascii="Arial" w:hAnsi="Arial"/>
          <w:b/>
          <w:i/>
          <w:color w:val="000000"/>
          <w:sz w:val="20"/>
        </w:rPr>
      </w:pPr>
      <w:r>
        <w:rPr>
          <w:rFonts w:ascii="Arial" w:hAnsi="Arial"/>
          <w:b/>
          <w:i/>
          <w:color w:val="000000"/>
          <w:sz w:val="20"/>
        </w:rPr>
        <w:t>Restricted Stock Units</w:t>
      </w:r>
    </w:p>
    <w:p>
      <w:pPr>
        <w:pStyle w:val="TextBody"/>
        <w:bidi w:val="0"/>
        <w:spacing w:before="0" w:after="200"/>
        <w:jc w:val="left"/>
        <w:rPr>
          <w:rFonts w:ascii="Times New Roman" w:hAnsi="Times New Roman"/>
          <w:sz w:val="20"/>
        </w:rPr>
      </w:pPr>
      <w:r>
        <w:rPr>
          <w:rFonts w:ascii="Arial" w:hAnsi="Arial"/>
          <w:color w:val="000000"/>
          <w:sz w:val="20"/>
        </w:rPr>
        <w:t>The Company awarded restricted stock units to employees and certain non-employee board members under the 2021 Plan. During the three and six months ended June 30, 2026, the Company awarded restricted stock units covering an aggregate of 0.3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5.9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shares of common stock, respectively. The fair value of each restricted stock unit is estimated based on the fair value of the Company's common stock on the date of the grant. The restricted stock units vest over the requisite service period, which range between one</w:t>
      </w:r>
      <w:r>
        <w:rPr>
          <w:rFonts w:ascii="Times New Roman" w:hAnsi="Times New Roman"/>
          <w:color w:val="000000"/>
          <w:sz w:val="20"/>
        </w:rPr>
        <w:t xml:space="preserve"> </w:t>
      </w:r>
      <w:r>
        <w:rPr>
          <w:rFonts w:ascii="Arial" w:hAnsi="Arial"/>
          <w:color w:val="000000"/>
          <w:sz w:val="20"/>
        </w:rPr>
        <w:t>and four years</w:t>
      </w:r>
      <w:r>
        <w:rPr>
          <w:rFonts w:ascii="Times New Roman" w:hAnsi="Times New Roman"/>
          <w:color w:val="000000"/>
          <w:sz w:val="20"/>
        </w:rPr>
        <w:t xml:space="preserve"> </w:t>
      </w:r>
      <w:r>
        <w:rPr>
          <w:rFonts w:ascii="Arial" w:hAnsi="Arial"/>
          <w:color w:val="000000"/>
          <w:sz w:val="20"/>
        </w:rPr>
        <w:t>from the date of the grant, subject to the continued employment of the employees and service of the non-employee board members.</w:t>
      </w:r>
    </w:p>
    <w:p>
      <w:pPr>
        <w:pStyle w:val="TextBody"/>
        <w:bidi w:val="0"/>
        <w:spacing w:before="0" w:after="200"/>
        <w:jc w:val="left"/>
        <w:rPr>
          <w:rFonts w:ascii="Times New Roman" w:hAnsi="Times New Roman"/>
          <w:sz w:val="20"/>
        </w:rPr>
      </w:pPr>
      <w:r>
        <w:rPr>
          <w:rFonts w:ascii="Arial" w:hAnsi="Arial"/>
          <w:color w:val="000000"/>
          <w:sz w:val="20"/>
        </w:rPr>
        <w:t>As of June 30, 2026, there was $151.5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total unrecognized compensation expense related to unvested restricted stock units, which is expected to be recognized over a weighted-average period of 2.86</w:t>
      </w:r>
      <w:r>
        <w:rPr>
          <w:rFonts w:ascii="Times New Roman" w:hAnsi="Times New Roman"/>
          <w:color w:val="000000"/>
          <w:sz w:val="20"/>
        </w:rPr>
        <w:t xml:space="preserve"> </w:t>
      </w:r>
      <w:r>
        <w:rPr>
          <w:rFonts w:ascii="Arial" w:hAnsi="Arial"/>
          <w:color w:val="000000"/>
          <w:sz w:val="20"/>
        </w:rPr>
        <w:t>years.</w:t>
      </w:r>
    </w:p>
    <w:p>
      <w:pPr>
        <w:pStyle w:val="TextBody"/>
        <w:bidi w:val="0"/>
        <w:spacing w:before="0" w:after="200"/>
        <w:jc w:val="left"/>
        <w:rPr>
          <w:rFonts w:ascii="Arial" w:hAnsi="Arial"/>
          <w:b/>
          <w:i/>
          <w:color w:val="000000"/>
          <w:sz w:val="20"/>
        </w:rPr>
      </w:pPr>
      <w:r>
        <w:rPr>
          <w:rFonts w:ascii="Arial" w:hAnsi="Arial"/>
          <w:b/>
          <w:i/>
          <w:color w:val="000000"/>
          <w:sz w:val="20"/>
        </w:rPr>
        <w:t>Employee Stock Purchase Plan</w:t>
      </w:r>
    </w:p>
    <w:p>
      <w:pPr>
        <w:pStyle w:val="TextBody"/>
        <w:bidi w:val="0"/>
        <w:spacing w:before="0" w:after="200"/>
        <w:jc w:val="left"/>
        <w:rPr>
          <w:rFonts w:ascii="Times New Roman" w:hAnsi="Times New Roman"/>
          <w:sz w:val="20"/>
        </w:rPr>
      </w:pPr>
      <w:r>
        <w:rPr>
          <w:rFonts w:ascii="Arial" w:hAnsi="Arial"/>
          <w:color w:val="000000"/>
          <w:sz w:val="20"/>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6,623,078</w:t>
      </w:r>
      <w:r>
        <w:rPr>
          <w:rFonts w:ascii="Times New Roman" w:hAnsi="Times New Roman"/>
          <w:color w:val="000000"/>
          <w:sz w:val="20"/>
        </w:rPr>
        <w:t xml:space="preserve"> </w:t>
      </w:r>
      <w:r>
        <w:rPr>
          <w:rFonts w:ascii="Arial" w:hAnsi="Arial"/>
          <w:color w:val="000000"/>
          <w:sz w:val="20"/>
        </w:rPr>
        <w:t>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six months long.</w:t>
      </w:r>
    </w:p>
    <w:p>
      <w:pPr>
        <w:pStyle w:val="TextBody"/>
        <w:bidi w:val="0"/>
        <w:spacing w:before="0" w:after="200"/>
        <w:jc w:val="left"/>
        <w:rPr>
          <w:rFonts w:ascii="Times New Roman" w:hAnsi="Times New Roman"/>
          <w:sz w:val="20"/>
        </w:rPr>
      </w:pPr>
      <w:r>
        <w:rPr>
          <w:rFonts w:ascii="Arial" w:hAnsi="Arial"/>
          <w:color w:val="000000"/>
          <w:sz w:val="20"/>
        </w:rPr>
        <w:t>As of June 30, 2026, a total of 6,623,078</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ESPP.</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The fair value of the ESPP offering during the three months ended June 30, 2026, was estimated at the start of the offering period using the Black-Scholes option-pricing model with the following assumptions: (i) expected term of 0.5</w:t>
      </w:r>
      <w:r>
        <w:rPr>
          <w:rFonts w:ascii="Times New Roman" w:hAnsi="Times New Roman"/>
          <w:color w:val="000000"/>
          <w:sz w:val="20"/>
        </w:rPr>
        <w:t xml:space="preserve"> </w:t>
      </w:r>
      <w:r>
        <w:rPr>
          <w:rFonts w:ascii="Arial" w:hAnsi="Arial"/>
          <w:color w:val="000000"/>
          <w:sz w:val="20"/>
        </w:rPr>
        <w:t>years, (ii) expected volatility of 50.06%, (iii) risk-free interest rate of 3.79%</w:t>
      </w:r>
      <w:r>
        <w:rPr>
          <w:rFonts w:ascii="Times New Roman" w:hAnsi="Times New Roman"/>
          <w:color w:val="000000"/>
          <w:sz w:val="20"/>
        </w:rPr>
        <w:t xml:space="preserve"> </w:t>
      </w:r>
      <w:r>
        <w:rPr>
          <w:rFonts w:ascii="Arial" w:hAnsi="Arial"/>
          <w:color w:val="000000"/>
          <w:sz w:val="20"/>
        </w:rPr>
        <w:t>and (iv) expected dividend yield of 0%.</w:t>
      </w:r>
    </w:p>
    <w:p>
      <w:pPr>
        <w:pStyle w:val="TextBody"/>
        <w:bidi w:val="0"/>
        <w:spacing w:before="0" w:after="200"/>
        <w:jc w:val="left"/>
        <w:rPr>
          <w:rFonts w:ascii="Times New Roman" w:hAnsi="Times New Roman"/>
          <w:sz w:val="20"/>
        </w:rPr>
      </w:pPr>
      <w:r>
        <w:rPr>
          <w:rFonts w:ascii="Arial" w:hAnsi="Arial"/>
          <w:color w:val="000000"/>
          <w:sz w:val="20"/>
        </w:rPr>
        <w:t>As of June 30, 2026, there was $0.4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unrecognized compensation expense related to the ESPP.</w:t>
      </w:r>
    </w:p>
    <w:p>
      <w:pPr>
        <w:pStyle w:val="TextBody"/>
        <w:bidi w:val="0"/>
        <w:spacing w:before="0" w:after="200"/>
        <w:jc w:val="left"/>
        <w:rPr>
          <w:rFonts w:ascii="Arial" w:hAnsi="Arial"/>
          <w:b/>
          <w:i/>
          <w:color w:val="000000"/>
          <w:sz w:val="20"/>
        </w:rPr>
      </w:pPr>
      <w:r>
        <w:rPr>
          <w:rFonts w:ascii="Arial" w:hAnsi="Arial"/>
          <w:b/>
          <w:i/>
          <w:color w:val="000000"/>
          <w:sz w:val="20"/>
        </w:rPr>
        <w:t>Stock-Based Compensation Costs</w:t>
      </w:r>
    </w:p>
    <w:p>
      <w:pPr>
        <w:pStyle w:val="TextBody"/>
        <w:bidi w:val="0"/>
        <w:spacing w:before="0" w:after="200"/>
        <w:jc w:val="left"/>
        <w:rPr>
          <w:rFonts w:ascii="Arial" w:hAnsi="Arial"/>
          <w:color w:val="000000"/>
          <w:sz w:val="20"/>
        </w:rPr>
      </w:pPr>
      <w:r>
        <w:rPr>
          <w:rFonts w:ascii="Arial" w:hAnsi="Arial"/>
          <w:color w:val="000000"/>
          <w:sz w:val="20"/>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(loss) income (in thousands):</w:t>
      </w:r>
    </w:p>
    <w:tbl>
      <w:tblPr>
        <w:tblW w:w="8903" w:type="dxa"/>
        <w:jc w:val="left"/>
        <w:tblInd w:w="0" w:type="dxa"/>
        <w:tblLayout w:type="fixed"/>
        <w:tblCellMar>
          <w:top w:w="28" w:type="dxa"/>
          <w:left w:w="28" w:type="dxa"/>
          <w:bottom w:w="28" w:type="dxa"/>
          <w:right w:w="28" w:type="dxa"/>
        </w:tblCellMar>
      </w:tblPr>
      <w:tblGrid>
        <w:gridCol w:w="3691"/>
        <w:gridCol w:w="288"/>
        <w:gridCol w:w="924"/>
        <w:gridCol w:w="199"/>
        <w:gridCol w:w="288"/>
        <w:gridCol w:w="924"/>
        <w:gridCol w:w="146"/>
        <w:gridCol w:w="262"/>
        <w:gridCol w:w="841"/>
        <w:gridCol w:w="181"/>
        <w:gridCol w:w="262"/>
        <w:gridCol w:w="897"/>
      </w:tblGrid>
      <w:tr>
        <w:trPr/>
        <w:tc>
          <w:tcPr>
            <w:tcW w:w="36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Technology and development</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6,519</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marketing</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9,380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17,391</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stock-based compensation expense</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17,310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35,740</w:t>
            </w:r>
          </w:p>
        </w:tc>
      </w:tr>
    </w:tbl>
    <w:p>
      <w:pPr>
        <w:pStyle w:val="TextBody"/>
        <w:bidi w:val="0"/>
        <w:spacing w:before="200" w:after="283"/>
        <w:jc w:val="left"/>
        <w:rPr>
          <w:rFonts w:ascii="Times New Roman" w:hAnsi="Times New Roman"/>
          <w:sz w:val="20"/>
        </w:rPr>
      </w:pPr>
      <w:r>
        <w:rPr>
          <w:rFonts w:ascii="Arial" w:hAnsi="Arial"/>
          <w:color w:val="000000"/>
          <w:sz w:val="20"/>
        </w:rPr>
        <w:t>During the three months ended June 30, 2026 and 2025, $0.9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$0.7</w:t>
      </w:r>
      <w:r>
        <w:rPr>
          <w:rFonts w:ascii="Times New Roman" w:hAnsi="Times New Roman"/>
          <w:color w:val="000000"/>
          <w:sz w:val="20"/>
        </w:rPr>
        <w:t xml:space="preserve"> </w:t>
      </w:r>
      <w:r>
        <w:rPr>
          <w:rFonts w:ascii="Arial" w:hAnsi="Arial"/>
          <w:color w:val="000000"/>
          <w:sz w:val="20"/>
        </w:rPr>
        <w:t>million, respectively, of stock-based compensation was capitalized to internal-use software, deferred contract costs, and cloud-computing arrangement implementation costs. During the six months ended June 30, 2026 and 2025, $1.4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$1.1</w:t>
      </w:r>
      <w:r>
        <w:rPr>
          <w:rFonts w:ascii="Times New Roman" w:hAnsi="Times New Roman"/>
          <w:color w:val="000000"/>
          <w:sz w:val="20"/>
        </w:rPr>
        <w:t xml:space="preserve"> </w:t>
      </w:r>
      <w:r>
        <w:rPr>
          <w:rFonts w:ascii="Arial" w:hAnsi="Arial"/>
          <w:color w:val="000000"/>
          <w:sz w:val="20"/>
        </w:rPr>
        <w:t>million, respectively, of stock-based compensation was capitalized to internal-use software, deferred contract costs, and cloud-computing arrangement implementation costs.</w:t>
      </w:r>
    </w:p>
    <w:p>
      <w:pPr>
        <w:pStyle w:val="TextBody"/>
        <w:bidi w:val="0"/>
        <w:spacing w:before="200" w:after="283"/>
        <w:jc w:val="left"/>
        <w:rPr>
          <w:rFonts w:ascii="Arial" w:hAnsi="Arial"/>
          <w:b/>
          <w:color w:val="000000"/>
          <w:sz w:val="20"/>
        </w:rPr>
      </w:pPr>
      <w:bookmarkStart w:id="27" w:name="note_13"/>
      <w:bookmarkEnd w:id="27"/>
      <w:r>
        <w:rPr>
          <w:rFonts w:ascii="Arial" w:hAnsi="Arial"/>
          <w:b/>
          <w:color w:val="000000"/>
          <w:sz w:val="20"/>
        </w:rPr>
        <w:t>Note 15. Net (Loss) Income per Share</w:t>
      </w:r>
    </w:p>
    <w:p>
      <w:pPr>
        <w:pStyle w:val="TextBody"/>
        <w:bidi w:val="0"/>
        <w:spacing w:before="200" w:after="200"/>
        <w:jc w:val="left"/>
        <w:rPr>
          <w:rFonts w:ascii="Arial" w:hAnsi="Arial"/>
          <w:color w:val="000000"/>
          <w:sz w:val="20"/>
        </w:rPr>
      </w:pPr>
      <w:r>
        <w:rPr>
          <w:rFonts w:ascii="Arial" w:hAnsi="Arial"/>
          <w:color w:val="000000"/>
          <w:sz w:val="20"/>
        </w:rPr>
        <w:t>Basic net (loss) income per share attributable to common stockholders is computed by dividing the net (loss) income attributable to common stockholders by the weighted-average number of shares of common stock outstanding for the period. Diluted net (loss) income attributable to common stockholders is computed by adjusting net (loss) income attributable to common stockholders to reallocate undistributed earnings based on the potential impact of dilutive securities. Diluted net (loss) income per share attributable to common stockholders is computed by dividing the diluted net (loss) income attributable to common stockholders by the weighted-average number of common shares outstanding, including all potentially dilutive common shares, if the effect of such shares is dilutive. The dilutive effect of outstanding equity incentive awards is reflected in diluted net (loss) income per share by application of the treasury stock method.</w:t>
      </w:r>
    </w:p>
    <w:p>
      <w:pPr>
        <w:pStyle w:val="TextBody"/>
        <w:bidi w:val="0"/>
        <w:spacing w:before="0" w:after="200"/>
        <w:jc w:val="left"/>
        <w:rPr>
          <w:rFonts w:ascii="Arial" w:hAnsi="Arial"/>
          <w:color w:val="000000"/>
          <w:sz w:val="20"/>
        </w:rPr>
      </w:pPr>
      <w:r>
        <w:rPr>
          <w:rFonts w:ascii="Arial" w:hAnsi="Arial"/>
          <w:color w:val="000000"/>
          <w:sz w:val="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June 30, 2026 and 2025, and for the six months ended June 30, 2025; accordingly, basic net loss per share attributable to common stockholders was the same as diluted net loss per share attributable to common stockholders.</w:t>
      </w:r>
    </w:p>
    <w:p>
      <w:pPr>
        <w:pStyle w:val="TextBody"/>
        <w:bidi w:val="0"/>
        <w:spacing w:before="0" w:after="200"/>
        <w:jc w:val="left"/>
        <w:rPr>
          <w:rFonts w:ascii="Arial" w:hAnsi="Arial"/>
          <w:color w:val="000000"/>
          <w:sz w:val="20"/>
        </w:rPr>
      </w:pPr>
      <w:r>
        <w:rPr>
          <w:rFonts w:ascii="Arial" w:hAnsi="Arial"/>
          <w:color w:val="000000"/>
          <w:sz w:val="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income per share attributable to common stockholders are, therefore, the same for both voting and non-voting common stock on both individual and combined basis.</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Basic and diluted net (loss) income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114"/>
        <w:gridCol w:w="211"/>
        <w:gridCol w:w="1141"/>
        <w:gridCol w:w="146"/>
        <w:gridCol w:w="211"/>
        <w:gridCol w:w="1141"/>
        <w:gridCol w:w="146"/>
        <w:gridCol w:w="211"/>
        <w:gridCol w:w="1141"/>
        <w:gridCol w:w="146"/>
        <w:gridCol w:w="211"/>
        <w:gridCol w:w="1386"/>
      </w:tblGrid>
      <w:tr>
        <w:trPr/>
        <w:tc>
          <w:tcPr>
            <w:tcW w:w="4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Numerator: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(16,167)</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 income attributable to common stockholders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Denominator: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 average common shares outstanding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122,404,404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121,852,349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122,290,676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122,539,986</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Effect of potentially dilutive stock options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2,662,357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Effect of potentially dilutive restricted common stock</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3,408,812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 average common shares outstanding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122,404,404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121,852,349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128,361,845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122,539,986</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(loss) income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 income per share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(0.13)</w:t>
            </w:r>
          </w:p>
        </w:tc>
      </w:tr>
      <w:tr>
        <w:trPr/>
        <w:tc>
          <w:tcPr>
            <w:tcW w:w="41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 income per share attributable to common stockholders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(0.13)</w:t>
            </w:r>
          </w:p>
        </w:tc>
      </w:tr>
    </w:tbl>
    <w:p>
      <w:pPr>
        <w:pStyle w:val="TextBody"/>
        <w:bidi w:val="0"/>
        <w:spacing w:before="200" w:after="200"/>
        <w:jc w:val="left"/>
        <w:rPr>
          <w:rFonts w:ascii="Arial" w:hAnsi="Arial"/>
          <w:color w:val="000000"/>
          <w:sz w:val="20"/>
        </w:rPr>
      </w:pPr>
      <w:r>
        <w:rPr>
          <w:rFonts w:ascii="Arial" w:hAnsi="Arial"/>
          <w:color w:val="000000"/>
          <w:sz w:val="20"/>
        </w:rPr>
        <w:t>Outstanding potentially dilutive securities, which were excluded from the diluted net (loss) income per share calculations because they would have been antidilutive were as follows as of the dates presented:</w:t>
      </w:r>
    </w:p>
    <w:tbl>
      <w:tblPr>
        <w:tblW w:w="8654" w:type="dxa"/>
        <w:jc w:val="left"/>
        <w:tblInd w:w="0" w:type="dxa"/>
        <w:tblLayout w:type="fixed"/>
        <w:tblCellMar>
          <w:top w:w="28" w:type="dxa"/>
          <w:left w:w="28" w:type="dxa"/>
          <w:bottom w:w="28" w:type="dxa"/>
          <w:right w:w="28" w:type="dxa"/>
        </w:tblCellMar>
      </w:tblPr>
      <w:tblGrid>
        <w:gridCol w:w="3436"/>
        <w:gridCol w:w="152"/>
        <w:gridCol w:w="1083"/>
        <w:gridCol w:w="152"/>
        <w:gridCol w:w="152"/>
        <w:gridCol w:w="1083"/>
        <w:gridCol w:w="146"/>
        <w:gridCol w:w="146"/>
        <w:gridCol w:w="931"/>
        <w:gridCol w:w="146"/>
        <w:gridCol w:w="146"/>
        <w:gridCol w:w="1081"/>
      </w:tblGrid>
      <w:tr>
        <w:trPr/>
        <w:tc>
          <w:tcPr>
            <w:tcW w:w="34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restricted stock units</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4,207,380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5,466,330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5,466,330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options to purchase common stock</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13,537,608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12,174,304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2,233,651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12,174,304</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Employee stock purchase plan shares</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90,289</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82,013</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17,835,277</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17,640,634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3,557,729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17,722,647</w:t>
            </w:r>
          </w:p>
        </w:tc>
      </w:tr>
    </w:tbl>
    <w:p>
      <w:pPr>
        <w:pStyle w:val="TextBody"/>
        <w:bidi w:val="0"/>
        <w:jc w:val="left"/>
        <w:rPr/>
      </w:pPr>
      <w:r>
        <w:rPr/>
        <w:t> </w:t>
      </w:r>
    </w:p>
    <w:p>
      <w:pPr>
        <w:pStyle w:val="TextBody"/>
        <w:bidi w:val="0"/>
        <w:spacing w:before="200" w:after="283"/>
        <w:jc w:val="left"/>
        <w:rPr>
          <w:rFonts w:ascii="Times New Roman" w:hAnsi="Times New Roman"/>
          <w:sz w:val="20"/>
        </w:rPr>
      </w:pPr>
      <w:bookmarkStart w:id="28" w:name="note_14"/>
      <w:bookmarkEnd w:id="28"/>
      <w:r>
        <w:rPr>
          <w:rFonts w:ascii="Arial" w:hAnsi="Arial"/>
          <w:b/>
          <w:color w:val="000000"/>
          <w:sz w:val="20"/>
        </w:rPr>
        <w:t>Note 16. Income Taxes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Company’s provision for income taxes during the interim periods is determined using an estimate of the Company’s annual effective tax rate, which is adjusted for certain discrete tax items during the interim period. The Company recorded an income tax provision of $2.8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$7.0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three months ended June 30, 2026 and 2025, respectively. The income tax provision for the three months ended June 30, 2026 and 2025, was primarily attributable to activity in the Company's foreign subsidiaries and U.S. state taxes. The Company recorded an income tax provision of $5.0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$6.1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six months ended June 30, 2026 and 2025, respectively. The income tax provision for the six months ended June 30, 2026 and 2025, was primarily attributable to activity in the Company's foreign subsidiaries and U.S. state taxes.</w:t>
      </w:r>
    </w:p>
    <w:p>
      <w:pPr>
        <w:pStyle w:val="TextBody"/>
        <w:bidi w:val="0"/>
        <w:spacing w:before="0" w:after="200"/>
        <w:jc w:val="left"/>
        <w:rPr>
          <w:rFonts w:ascii="Arial" w:hAnsi="Arial"/>
          <w:color w:val="000000"/>
          <w:sz w:val="20"/>
        </w:rPr>
      </w:pPr>
      <w:r>
        <w:rPr>
          <w:rFonts w:ascii="Arial" w:hAnsi="Arial"/>
          <w:color w:val="000000"/>
          <w:sz w:val="20"/>
        </w:rPr>
        <w:t>For the six months ended June 30, 2026 and 2025, the Company’s effective tax rate differs from the U.S. federal statutory rate primarily due to the impact of non-deductible executive compensation and the change in valuation allowance in the U.S., respectively.</w:t>
      </w:r>
    </w:p>
    <w:p>
      <w:pPr>
        <w:pStyle w:val="TextBody"/>
        <w:bidi w:val="0"/>
        <w:spacing w:before="0" w:after="200"/>
        <w:jc w:val="left"/>
        <w:rPr>
          <w:rFonts w:ascii="Arial" w:hAnsi="Arial"/>
          <w:color w:val="000000"/>
          <w:sz w:val="20"/>
        </w:rPr>
      </w:pPr>
      <w:r>
        <w:rPr>
          <w:rFonts w:ascii="Arial" w:hAnsi="Arial"/>
          <w:color w:val="000000"/>
          <w:sz w:val="20"/>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federal tax examinations by the Internal Revenue Service from 2022 to the present; however, carryforward attributes that were generated prior to 2022 may still be adjusted upon examination to the extent they will be used in a future period. The Company remains open to examination by other foreign tax authorities from 2021 to the present.</w:t>
      </w:r>
    </w:p>
    <w:p>
      <w:pPr>
        <w:pStyle w:val="TextBody"/>
        <w:bidi w:val="0"/>
        <w:spacing w:before="0" w:after="200"/>
        <w:jc w:val="left"/>
        <w:rPr>
          <w:rFonts w:ascii="Times New Roman" w:hAnsi="Times New Roman"/>
          <w:sz w:val="20"/>
        </w:rPr>
      </w:pPr>
      <w:r>
        <w:rPr>
          <w:rFonts w:ascii="Arial" w:hAnsi="Arial"/>
          <w:color w:val="000000"/>
          <w:sz w:val="20"/>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June 30, 2026, the Company continues to maintain a full valuation allowance of the U.S. net deferred tax assets. The Company will continue to maintain a full valuation allowance on its deferred tax assets until there is sufficient evidence to support the reversal of all or some portion of this allowance. The Company believes that there is a reasonable possibility that sufficient positive evidence may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become available to reach a conclusion that a portion of the valuation allowance may no longer be needed in the foreseeable future.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pStyle w:val="TextBody"/>
        <w:bidi w:val="0"/>
        <w:jc w:val="left"/>
        <w:rPr>
          <w:rFonts w:ascii="Arial" w:hAnsi="Arial"/>
          <w:color w:val="000000"/>
          <w:sz w:val="20"/>
        </w:rPr>
      </w:pPr>
      <w:r>
        <w:rPr>
          <w:rFonts w:ascii="Arial" w:hAnsi="Arial"/>
          <w:color w:val="000000"/>
          <w:sz w:val="20"/>
        </w:rPr>
        <w:t>On July 4, 2025, the U.S. government enacted the One Big Beautiful Bill Act of 2025 (OBBBA), which introduced comprehensive changes to the U.S. corporate income tax system. While the majority of the OBBBA’s provisions became effective for the Company beginning January 1, 2026, certain capital investment and innovation incentives were retroactively applicable to the 2025 fiscal year. The OBBBA reinstated 100% bonus depreciation for qualified property placed in service after January 19, 2025. It also restored the ability to immediately expense domestic research and development (R&amp;D) expenditures, allowing for a 100% deduction (or 50% over two years for unamortized costs) for tax years beginning after December 31, 2024. The impact of these retroactive changes was recognized in the Company’s income tax provision for the year ended December 31, 2025, and did not have a material effect on the consolidated financial statements. We continue to evaluate the long-term effects of the legislation on the Company's estimated annual effective tax rate and cash tax position. Based on current analysis, the OBBBA did not have a material impact on the Company's condensed consolidated financial statements for the six months ended June 30, 2026.</w:t>
      </w:r>
    </w:p>
    <w:p>
      <w:pPr>
        <w:pStyle w:val="TextBody"/>
        <w:bidi w:val="0"/>
        <w:spacing w:before="200" w:after="283"/>
        <w:jc w:val="left"/>
        <w:rPr>
          <w:rFonts w:ascii="Arial" w:hAnsi="Arial"/>
          <w:b/>
          <w:color w:val="000000"/>
          <w:sz w:val="20"/>
        </w:rPr>
      </w:pPr>
      <w:bookmarkStart w:id="29" w:name="note_16"/>
      <w:bookmarkEnd w:id="29"/>
      <w:r>
        <w:rPr>
          <w:rFonts w:ascii="Arial" w:hAnsi="Arial"/>
          <w:b/>
          <w:color w:val="000000"/>
          <w:sz w:val="20"/>
        </w:rPr>
        <w:t>Note 17. Commitments and Contingencies</w:t>
      </w:r>
    </w:p>
    <w:p>
      <w:pPr>
        <w:pStyle w:val="TextBody"/>
        <w:bidi w:val="0"/>
        <w:spacing w:before="200" w:after="200"/>
        <w:jc w:val="left"/>
        <w:rPr>
          <w:rFonts w:ascii="Arial" w:hAnsi="Arial"/>
          <w:b/>
          <w:i/>
          <w:color w:val="000000"/>
          <w:sz w:val="20"/>
        </w:rPr>
      </w:pPr>
      <w:r>
        <w:rPr>
          <w:rFonts w:ascii="Arial" w:hAnsi="Arial"/>
          <w:b/>
          <w:i/>
          <w:color w:val="000000"/>
          <w:sz w:val="20"/>
        </w:rPr>
        <w:t>Legal proceedings</w:t>
      </w:r>
    </w:p>
    <w:p>
      <w:pPr>
        <w:pStyle w:val="TextBody"/>
        <w:bidi w:val="0"/>
        <w:spacing w:before="0" w:after="200"/>
        <w:jc w:val="left"/>
        <w:rPr>
          <w:rFonts w:ascii="Arial" w:hAnsi="Arial"/>
          <w:color w:val="000000"/>
          <w:sz w:val="20"/>
        </w:rPr>
      </w:pPr>
      <w:r>
        <w:rPr>
          <w:rFonts w:ascii="Arial" w:hAnsi="Arial"/>
          <w:color w:val="000000"/>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pStyle w:val="TextBody"/>
        <w:bidi w:val="0"/>
        <w:spacing w:before="0" w:after="200"/>
        <w:jc w:val="left"/>
        <w:rPr>
          <w:rFonts w:ascii="Arial" w:hAnsi="Arial"/>
          <w:color w:val="000000"/>
          <w:sz w:val="20"/>
        </w:rPr>
      </w:pPr>
      <w:r>
        <w:rPr>
          <w:rFonts w:ascii="Arial" w:hAnsi="Arial"/>
          <w:color w:val="000000"/>
          <w:sz w:val="20"/>
        </w:rPr>
        <w:t>As of June 30, 2026, other than the pending securities class action claim described below, the Company was not a party to any litigation the outcome of which, the Company believes, if determined adversely to it, would individually or in the aggregate, have a material adverse effect on its financial position, results of operations, or cash flows.</w:t>
      </w:r>
    </w:p>
    <w:p>
      <w:pPr>
        <w:pStyle w:val="TextBody"/>
        <w:bidi w:val="0"/>
        <w:spacing w:before="0" w:after="200"/>
        <w:jc w:val="left"/>
        <w:rPr>
          <w:rFonts w:ascii="Arial" w:hAnsi="Arial"/>
          <w:color w:val="000000"/>
          <w:sz w:val="20"/>
        </w:rPr>
      </w:pPr>
      <w:r>
        <w:rPr>
          <w:rFonts w:ascii="Arial" w:hAnsi="Arial"/>
          <w:color w:val="000000"/>
          <w:sz w:val="20"/>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pStyle w:val="TextBody"/>
        <w:bidi w:val="0"/>
        <w:spacing w:before="0" w:after="200"/>
        <w:jc w:val="left"/>
        <w:rPr>
          <w:rFonts w:ascii="Times New Roman" w:hAnsi="Times New Roman"/>
          <w:sz w:val="20"/>
        </w:rPr>
      </w:pPr>
      <w:r>
        <w:rPr>
          <w:rFonts w:ascii="Arial" w:hAnsi="Arial"/>
          <w:color w:val="000000"/>
          <w:sz w:val="20"/>
        </w:rPr>
        <w:t xml:space="preserve">On July 25, 2025, the Company and certain of its current and former officers were named as defendants in a securities class action complaint captioned </w:t>
      </w:r>
      <w:r>
        <w:rPr>
          <w:rFonts w:ascii="Arial" w:hAnsi="Arial"/>
          <w:i/>
          <w:color w:val="000000"/>
          <w:sz w:val="20"/>
        </w:rPr>
        <w:t>Hickman v. Flywire Corporation</w:t>
      </w:r>
      <w:r>
        <w:rPr>
          <w:rFonts w:ascii="Times New Roman" w:hAnsi="Times New Roman"/>
          <w:color w:val="000000"/>
          <w:sz w:val="20"/>
        </w:rPr>
        <w:t xml:space="preserve"> </w:t>
      </w:r>
      <w:r>
        <w:rPr>
          <w:rFonts w:ascii="Arial" w:hAnsi="Arial"/>
          <w:color w:val="000000"/>
          <w:sz w:val="20"/>
        </w:rPr>
        <w:t>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Plaintiffs’ counsel filed a second amended complaint on May 7, 2026, which among other matters, added new allegations and another named plaintiff. Plaintiffs allege that the defendants violated Sections 10(b) and 20(a) of the Exchange Act by purportedly overstating the strength and sustainability of the Company's revenue growth and understating the negative impact of certain government permit and visa related policies on the business. The lawsuit seeks unspecified damages, costs, attorneys’ fees, and other relief. The Company believes it has strong defenses against the asserted claims, intends to vigorously defend itself, and filed a motion to dismiss in response to the second amended complaint on June 15, 2026.</w:t>
      </w:r>
    </w:p>
    <w:p>
      <w:pPr>
        <w:pStyle w:val="TextBody"/>
        <w:bidi w:val="0"/>
        <w:spacing w:before="0" w:after="200"/>
        <w:jc w:val="left"/>
        <w:rPr>
          <w:rFonts w:ascii="Times New Roman" w:hAnsi="Times New Roman"/>
          <w:sz w:val="20"/>
        </w:rPr>
      </w:pPr>
      <w:r>
        <w:rPr>
          <w:rFonts w:ascii="Arial" w:hAnsi="Arial"/>
          <w:color w:val="000000"/>
          <w:sz w:val="20"/>
        </w:rPr>
        <w:t>The Company cannot reasonably estimate the maximum potential exposure or the range of possible loss for this matter. Taking into account discussions with the Company's external lawyers, Flywire does not consider the probability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an outflow of resources to be sufficient to recognize a provision at the balance sheet date. In the Company's opinion, these matters constitute contingent liabilities as of the balance sheet date. However, it is currently impractical for the Company to estimate with sufficient reliability the respective contingent liabilities.</w:t>
      </w:r>
    </w:p>
    <w:p>
      <w:pPr>
        <w:pStyle w:val="TextBody"/>
        <w:bidi w:val="0"/>
        <w:spacing w:before="0" w:after="200"/>
        <w:jc w:val="left"/>
        <w:rPr>
          <w:rFonts w:ascii="Arial" w:hAnsi="Arial"/>
          <w:b/>
          <w:i/>
          <w:color w:val="000000"/>
          <w:sz w:val="20"/>
        </w:rPr>
      </w:pPr>
      <w:r>
        <w:rPr>
          <w:rFonts w:ascii="Arial" w:hAnsi="Arial"/>
          <w:b/>
          <w:i/>
          <w:color w:val="000000"/>
          <w:sz w:val="20"/>
        </w:rPr>
        <w:t>Indemnification</w:t>
      </w:r>
    </w:p>
    <w:p>
      <w:pPr>
        <w:pStyle w:val="TextBody"/>
        <w:bidi w:val="0"/>
        <w:jc w:val="left"/>
        <w:rPr>
          <w:rFonts w:ascii="Arial" w:hAnsi="Arial"/>
          <w:color w:val="000000"/>
          <w:sz w:val="20"/>
        </w:rPr>
      </w:pPr>
      <w:r>
        <w:rPr>
          <w:rFonts w:ascii="Arial" w:hAnsi="Arial"/>
          <w:color w:val="000000"/>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June 30, 2026 and December 31, 2025.</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30" w:name="item_2_management"/>
      <w:bookmarkEnd w:id="30"/>
      <w:r>
        <w:rPr>
          <w:rFonts w:ascii="Arial" w:hAnsi="Arial"/>
          <w:b/>
          <w:color w:val="000000"/>
          <w:sz w:val="20"/>
        </w:rPr>
        <w:t>Ite</w:t>
      </w:r>
      <w:bookmarkStart w:id="31" w:name="item_2_managements_discussion"/>
      <w:bookmarkEnd w:id="31"/>
      <w:r>
        <w:rPr>
          <w:rFonts w:ascii="Arial" w:hAnsi="Arial"/>
          <w:b/>
          <w:color w:val="000000"/>
          <w:sz w:val="20"/>
        </w:rPr>
        <w:t>m 2. Management’s Discussion and Analysis of Financial Condition and Results of Operations</w:t>
      </w:r>
    </w:p>
    <w:p>
      <w:pPr>
        <w:pStyle w:val="TextBody"/>
        <w:bidi w:val="0"/>
        <w:spacing w:before="200" w:after="283"/>
        <w:jc w:val="left"/>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pStyle w:val="TextBody"/>
        <w:bidi w:val="0"/>
        <w:spacing w:before="240" w:after="283"/>
        <w:jc w:val="left"/>
        <w:rPr>
          <w:rFonts w:ascii="Arial" w:hAnsi="Arial"/>
          <w:b/>
          <w:color w:val="000000"/>
          <w:sz w:val="20"/>
        </w:rPr>
      </w:pPr>
      <w:r>
        <w:rPr>
          <w:rFonts w:ascii="Arial" w:hAnsi="Arial"/>
          <w:b/>
          <w:color w:val="000000"/>
          <w:sz w:val="20"/>
        </w:rPr>
        <w:t>Overview</w:t>
      </w:r>
    </w:p>
    <w:p>
      <w:pPr>
        <w:pStyle w:val="TextBody"/>
        <w:bidi w:val="0"/>
        <w:spacing w:before="200" w:after="200"/>
        <w:jc w:val="left"/>
        <w:rPr>
          <w:rFonts w:ascii="Arial" w:hAnsi="Arial"/>
          <w:color w:val="000000"/>
          <w:sz w:val="20"/>
        </w:rPr>
      </w:pPr>
      <w:r>
        <w:rPr>
          <w:rFonts w:ascii="Arial" w:hAnsi="Arial"/>
          <w:color w:val="000000"/>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bidi w:val="0"/>
        <w:spacing w:before="0" w:after="200"/>
        <w:jc w:val="left"/>
        <w:rPr>
          <w:rFonts w:ascii="Times New Roman" w:hAnsi="Times New Roman"/>
          <w:sz w:val="20"/>
        </w:rPr>
      </w:pPr>
      <w:r>
        <w:rPr>
          <w:rFonts w:ascii="Arial" w:hAnsi="Arial"/>
          <w:color w:val="000000"/>
          <w:sz w:val="20"/>
        </w:rPr>
        <w:t xml:space="preserve">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 xml:space="preserve">is derived from three core elements: (i) our next-gen payments platform; (ii) our proprietary global payment network; and (iii) our vertical-specific software backed by our deep industry expertise. With our </w:t>
      </w:r>
      <w:r>
        <w:rPr>
          <w:rFonts w:ascii="Arial" w:hAnsi="Arial"/>
          <w:i/>
          <w:color w:val="000000"/>
          <w:sz w:val="20"/>
        </w:rPr>
        <w:t>Flywire Advantage</w:t>
      </w:r>
      <w:r>
        <w:rPr>
          <w:rFonts w:ascii="Arial" w:hAnsi="Arial"/>
          <w:color w:val="000000"/>
          <w:sz w:val="20"/>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bidi w:val="0"/>
        <w:spacing w:before="0" w:after="200"/>
        <w:jc w:val="left"/>
        <w:rPr>
          <w:rFonts w:ascii="Arial" w:hAnsi="Arial"/>
          <w:color w:val="000000"/>
          <w:sz w:val="20"/>
        </w:rPr>
      </w:pPr>
      <w:r>
        <w:rPr>
          <w:rFonts w:ascii="Arial" w:hAnsi="Arial"/>
          <w:color w:val="000000"/>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center"/>
        <w:rPr/>
      </w:pPr>
      <w:r>
        <w:rPr/>
        <w:drawing>
          <wp:inline distT="0" distB="0" distL="0" distR="0">
            <wp:extent cx="6858000" cy="447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4476750"/>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The combination of our differentiated solution and efficient go-to-market strategy has resulted in strong and consistent client growth.</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b/>
          <w:i/>
          <w:color w:val="000000"/>
          <w:sz w:val="20"/>
        </w:rPr>
        <w:t>Rapid domestic and international payments volume growth</w:t>
      </w:r>
      <w:r>
        <w:rPr>
          <w:rFonts w:ascii="Arial" w:hAnsi="Arial"/>
          <w:i/>
          <w:color w:val="000000"/>
          <w:sz w:val="20"/>
        </w:rPr>
        <w:t xml:space="preserve">. </w:t>
      </w:r>
      <w:r>
        <w:rPr>
          <w:rFonts w:ascii="Arial" w:hAnsi="Arial"/>
          <w:color w:val="000000"/>
          <w:sz w:val="20"/>
        </w:rPr>
        <w:t>We have grown our total payment volume by approximately 38.2% period-over-period from $5.9 billion during the three months ended June 30, 2025 to $8.2 billion during the three months ended June 30, 2026. We have grown our total payment volume by approximately 37.2% period-over-period from $14.3 billion during the six months ended June 30, 2025 to $19.6 billion during the six months ended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Expanded global payments network</w:t>
      </w:r>
      <w:r>
        <w:rPr>
          <w:rFonts w:ascii="Arial" w:hAnsi="Arial"/>
          <w:i/>
          <w:color w:val="000000"/>
          <w:sz w:val="20"/>
        </w:rPr>
        <w:t xml:space="preserve">. </w:t>
      </w:r>
      <w:r>
        <w:rPr>
          <w:rFonts w:ascii="Arial" w:hAnsi="Arial"/>
          <w:color w:val="000000"/>
          <w:sz w:val="20"/>
        </w:rPr>
        <w:t>We have continued to add to the capabilities of our payment network by means of new local bank accounts and payment partners, and have expanded our global reach to over 240 countries and territories and more than 140 currencies.</w:t>
      </w:r>
    </w:p>
    <w:p>
      <w:pPr>
        <w:pStyle w:val="TextBody"/>
        <w:bidi w:val="0"/>
        <w:spacing w:before="120" w:after="200"/>
        <w:jc w:val="left"/>
        <w:rPr>
          <w:color w:val="000000"/>
        </w:rPr>
      </w:pPr>
      <w:r>
        <w:rPr>
          <w:color w:val="000000"/>
        </w:rPr>
        <w:t>•</w:t>
      </w:r>
    </w:p>
    <w:p>
      <w:pPr>
        <w:pStyle w:val="TextBody"/>
        <w:bidi w:val="0"/>
        <w:spacing w:before="120" w:after="200"/>
        <w:jc w:val="left"/>
        <w:rPr/>
      </w:pPr>
      <w:r>
        <w:rPr>
          <w:rFonts w:ascii="Arial" w:hAnsi="Arial"/>
          <w:b/>
          <w:i/>
          <w:color w:val="000000"/>
          <w:sz w:val="20"/>
        </w:rPr>
        <w:t>Strong dollar-based net retention</w:t>
      </w:r>
      <w:r>
        <w:rPr>
          <w:rFonts w:ascii="Arial" w:hAnsi="Arial"/>
          <w:i/>
          <w:color w:val="000000"/>
          <w:sz w:val="20"/>
        </w:rPr>
        <w:t xml:space="preserve">. </w:t>
      </w:r>
      <w:r>
        <w:rPr>
          <w:rFonts w:ascii="Arial" w:hAnsi="Arial"/>
          <w:color w:val="000000"/>
          <w:sz w:val="20"/>
        </w:rPr>
        <w:t>For the year ended December 31, 2025, our annual net dollar-based retention rate was approximately 110%.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pStyle w:val="TextBody"/>
        <w:bidi w:val="0"/>
        <w:spacing w:before="0" w:after="200"/>
        <w:jc w:val="left"/>
        <w:rPr>
          <w:rFonts w:ascii="Arial" w:hAnsi="Arial"/>
          <w:color w:val="000000"/>
          <w:sz w:val="20"/>
        </w:rPr>
      </w:pPr>
      <w:r>
        <w:rPr>
          <w:rFonts w:ascii="Arial" w:hAnsi="Arial"/>
          <w:color w:val="000000"/>
          <w:sz w:val="20"/>
        </w:rPr>
        <w:t>As of June 30, 2026, we serve approximately 5,300 clients around the world, excluding clients acquired from the Sertifi and Invoiced acquisitions. In education, we serve more than 3,300 institutions. In healthcare, we power more than 150 healthcare systems, including four of the top 10 healthcare systems in the United States ranked by hospital size as of December 31, 2025. In our travel and B2B verticals, we have a growing portfolio of approximately 1,800 clients.</w:t>
      </w:r>
    </w:p>
    <w:p>
      <w:pPr>
        <w:pStyle w:val="TextBody"/>
        <w:bidi w:val="0"/>
        <w:spacing w:before="0" w:after="200"/>
        <w:jc w:val="left"/>
        <w:rPr>
          <w:rFonts w:ascii="Times New Roman" w:hAnsi="Times New Roman"/>
          <w:sz w:val="20"/>
        </w:rPr>
      </w:pPr>
      <w:r>
        <w:rPr>
          <w:rFonts w:ascii="Arial" w:hAnsi="Arial"/>
          <w:color w:val="000000"/>
          <w:sz w:val="20"/>
        </w:rPr>
        <w:t>Our success in building our client base around the world and expanding utilization by our clients’ customers has allowed us to achieve significant scale. We enabled over $37.6 billion, $19.6 billion, and $14.3 billion in total payment volume during the year ended December 31, 2025 and six months ended June 30, 2026 and 2025, respectively. We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generated revenue of $623.0 million and $492.1 million for the years ended December 31, 2025 and 2024, respectively, and reported net income of $13.5 million and $2.9 million, respectively, for the same years. We generated revenue of $355.9 million and $265.3 million for the six months ended June 30, 2026 and 2025, respectively, and reported net income of $4.4 million and net loss of $16.2 million, respectively, for the same periods.</w:t>
      </w:r>
    </w:p>
    <w:p>
      <w:pPr>
        <w:pStyle w:val="TextBody"/>
        <w:bidi w:val="0"/>
        <w:spacing w:before="0" w:after="200"/>
        <w:jc w:val="left"/>
        <w:rPr>
          <w:rFonts w:ascii="Arial" w:hAnsi="Arial"/>
          <w:color w:val="000000"/>
          <w:sz w:val="20"/>
        </w:rPr>
      </w:pPr>
      <w:r>
        <w:rPr>
          <w:rFonts w:ascii="Arial" w:hAnsi="Arial"/>
          <w:color w:val="000000"/>
          <w:sz w:val="20"/>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bidi w:val="0"/>
        <w:spacing w:before="0" w:after="200"/>
        <w:jc w:val="left"/>
        <w:rPr>
          <w:rFonts w:ascii="Arial" w:hAnsi="Arial"/>
          <w:color w:val="000000"/>
          <w:sz w:val="20"/>
        </w:rPr>
      </w:pPr>
      <w:r>
        <w:rPr>
          <w:rFonts w:ascii="Arial" w:hAnsi="Arial"/>
          <w:color w:val="000000"/>
          <w:sz w:val="20"/>
        </w:rPr>
        <w:t>While we have experienced significant growth and increased demand for our solutions over recent periods, we may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pStyle w:val="TextBody"/>
        <w:bidi w:val="0"/>
        <w:jc w:val="left"/>
        <w:rPr>
          <w:rFonts w:ascii="Arial" w:hAnsi="Arial"/>
          <w:color w:val="000000"/>
          <w:sz w:val="20"/>
        </w:rPr>
      </w:pPr>
      <w:r>
        <w:rPr>
          <w:rFonts w:ascii="Arial" w:hAnsi="Arial"/>
          <w:color w:val="000000"/>
          <w:sz w:val="20"/>
        </w:rPr>
        <w:t>We had approximately 1,500 full-time FlyMates as of June 30, 2026, compared to approximately 1,355 full-time FlyMates as of June 30, 2025, an increase of 10.7%.</w:t>
      </w:r>
    </w:p>
    <w:p>
      <w:pPr>
        <w:pStyle w:val="TextBody"/>
        <w:bidi w:val="0"/>
        <w:spacing w:before="200" w:after="283"/>
        <w:jc w:val="left"/>
        <w:rPr>
          <w:rFonts w:ascii="Arial" w:hAnsi="Arial"/>
          <w:b/>
          <w:color w:val="000000"/>
          <w:sz w:val="20"/>
        </w:rPr>
      </w:pPr>
      <w:r>
        <w:rPr>
          <w:rFonts w:ascii="Arial" w:hAnsi="Arial"/>
          <w:b/>
          <w:color w:val="000000"/>
          <w:sz w:val="20"/>
        </w:rPr>
        <w:t>Recent Acquisitions</w:t>
      </w:r>
    </w:p>
    <w:p>
      <w:pPr>
        <w:pStyle w:val="TextBody"/>
        <w:bidi w:val="0"/>
        <w:spacing w:before="200" w:after="200"/>
        <w:jc w:val="left"/>
        <w:rPr>
          <w:rFonts w:ascii="Arial" w:hAnsi="Arial"/>
          <w:color w:val="000000"/>
          <w:sz w:val="20"/>
        </w:rPr>
      </w:pPr>
      <w:r>
        <w:rPr>
          <w:rFonts w:ascii="Arial" w:hAnsi="Arial"/>
          <w:color w:val="000000"/>
          <w:sz w:val="20"/>
        </w:rPr>
        <w:t>In February 2025, we entered into a Purchase and Sale Agreement (the Agreement) to acquire the business of Sertifi LLC (Sertifi) for upfront cash consideration of $330.0 million, subject to certain post-closing adjustments set forth in the Agreement, and contingent consideration of up to $10.0 million upon the completion or satisfaction of certain technical and commercial milestones by Sertifi, with an estimated fair value of $3.1 million on the date of acquisition. During the year ended December 31, 2025, we paid $5.1 million for post-closing adjustments. Sertifi is a vertical software and payments platform digitizing hospitality-specific workflows and associated payments. We paid the upfront cash consideration through a combination of cash on hand and borrowings from our 2024 Revolving Credit Facility. The acquisition of Sertifi was intended to accelerate our travel business and expand our offerings to support over 20,000 hotel locations globally. Sertifi contributed $7.7 million and $10.7 million in platform revenue during the three and six months ended June 30, 2025, respectively, and $4.7 million and $6.4 million in transactional revenue during the three and six months ended June 30, 2025, respectively.</w:t>
      </w:r>
    </w:p>
    <w:p>
      <w:pPr>
        <w:pStyle w:val="TextBody"/>
        <w:bidi w:val="0"/>
        <w:jc w:val="left"/>
        <w:rPr>
          <w:rFonts w:ascii="Times New Roman" w:hAnsi="Times New Roman"/>
          <w:sz w:val="20"/>
        </w:rPr>
      </w:pPr>
      <w:r>
        <w:rPr>
          <w:rFonts w:ascii="Arial" w:hAnsi="Arial"/>
          <w:color w:val="000000"/>
          <w:sz w:val="20"/>
        </w:rPr>
        <w:t xml:space="preserve">See </w:t>
      </w:r>
      <w:r>
        <w:rPr>
          <w:rFonts w:ascii="Arial" w:hAnsi="Arial"/>
          <w:i/>
          <w:color w:val="000000"/>
          <w:sz w:val="20"/>
        </w:rPr>
        <w:t xml:space="preserve">Note 10 - Business Combinations </w:t>
      </w:r>
      <w:r>
        <w:rPr>
          <w:rFonts w:ascii="Arial" w:hAnsi="Arial"/>
          <w:color w:val="000000"/>
          <w:sz w:val="20"/>
        </w:rPr>
        <w:t>in our unaudited condensed consolidated financial statements appearing elsewhere in this Quarterly Report on Form 10-Q for additional details related to this acquisition.</w:t>
      </w:r>
    </w:p>
    <w:p>
      <w:pPr>
        <w:pStyle w:val="TextBody"/>
        <w:bidi w:val="0"/>
        <w:spacing w:before="200" w:after="283"/>
        <w:jc w:val="left"/>
        <w:rPr>
          <w:rFonts w:ascii="Arial" w:hAnsi="Arial"/>
          <w:b/>
          <w:color w:val="000000"/>
          <w:sz w:val="20"/>
        </w:rPr>
      </w:pPr>
      <w:r>
        <w:rPr>
          <w:rFonts w:ascii="Arial" w:hAnsi="Arial"/>
          <w:b/>
          <w:color w:val="000000"/>
          <w:sz w:val="20"/>
        </w:rPr>
        <w:t>Restructuring</w:t>
      </w:r>
    </w:p>
    <w:p>
      <w:pPr>
        <w:pStyle w:val="TextBody"/>
        <w:bidi w:val="0"/>
        <w:spacing w:before="200" w:after="283"/>
        <w:jc w:val="left"/>
        <w:rPr>
          <w:rFonts w:ascii="Arial" w:hAnsi="Arial"/>
          <w:color w:val="000000"/>
          <w:sz w:val="20"/>
        </w:rPr>
      </w:pPr>
      <w:r>
        <w:rPr>
          <w:rFonts w:ascii="Arial" w:hAnsi="Arial"/>
          <w:color w:val="000000"/>
          <w:sz w:val="20"/>
        </w:rPr>
        <w:t>In February 2025, we announced a restructuring plan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$8.7 million during the year ended December 31, 2025, recorded within restructuring expenses on the condensed consolidated statements of operations and comprehensive (loss) income. Restructuring costs during the year ended December 31, 2025, primarily consisted of cash expenditures for severance payments and related expenses of $6.3 million and non-cash expenditures related to acceleration of vesting of share-based awards of $2.4 million. As of March 31, 2026, the accrued restructuring liability had been settled in full.</w:t>
      </w:r>
    </w:p>
    <w:p>
      <w:pPr>
        <w:pStyle w:val="TextBody"/>
        <w:bidi w:val="0"/>
        <w:spacing w:before="200" w:after="283"/>
        <w:jc w:val="left"/>
        <w:rPr>
          <w:rFonts w:ascii="Arial" w:hAnsi="Arial"/>
          <w:b/>
          <w:color w:val="000000"/>
          <w:sz w:val="20"/>
        </w:rPr>
      </w:pPr>
      <w:r>
        <w:rPr>
          <w:rFonts w:ascii="Arial" w:hAnsi="Arial"/>
          <w:b/>
          <w:color w:val="000000"/>
          <w:sz w:val="20"/>
        </w:rPr>
        <w:t>Our Revenue Model</w:t>
      </w:r>
    </w:p>
    <w:p>
      <w:pPr>
        <w:pStyle w:val="TextBody"/>
        <w:bidi w:val="0"/>
        <w:spacing w:before="200" w:after="200"/>
        <w:jc w:val="left"/>
        <w:rPr>
          <w:rFonts w:ascii="Arial" w:hAnsi="Arial"/>
          <w:color w:val="000000"/>
          <w:sz w:val="20"/>
        </w:rPr>
      </w:pPr>
      <w:r>
        <w:rPr>
          <w:rFonts w:ascii="Arial" w:hAnsi="Arial"/>
          <w:color w:val="000000"/>
          <w:sz w:val="20"/>
        </w:rPr>
        <w:t>We generate revenue from transactions and from platform and other fees as described below.</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i/>
          <w:color w:val="000000"/>
          <w:sz w:val="20"/>
        </w:rPr>
        <w:t>Transaction revenue</w:t>
      </w:r>
      <w:r>
        <w:rPr>
          <w:rFonts w:ascii="Times New Roman" w:hAnsi="Times New Roman"/>
          <w:color w:val="000000"/>
          <w:sz w:val="20"/>
        </w:rPr>
        <w:t xml:space="preserve"> </w:t>
      </w:r>
      <w:r>
        <w:rPr>
          <w:rFonts w:ascii="Arial" w:hAnsi="Arial"/>
          <w:color w:val="000000"/>
          <w:sz w:val="20"/>
        </w:rPr>
        <w:t>includes fees earned from payment processing services provided to our clients, which is comprised of processing 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pStyle w:val="TextBody"/>
        <w:bidi w:val="0"/>
        <w:spacing w:before="0" w:after="200"/>
        <w:jc w:val="left"/>
        <w:rPr>
          <w:rFonts w:ascii="Times New Roman" w:hAnsi="Times New Roman"/>
          <w:sz w:val="20"/>
        </w:rPr>
      </w:pPr>
      <w:r>
        <w:rPr>
          <w:rFonts w:ascii="Arial" w:hAnsi="Arial"/>
          <w:i/>
          <w:color w:val="000000"/>
          <w:sz w:val="20"/>
        </w:rPr>
        <w:t>Platform and other revenues</w:t>
      </w:r>
      <w:r>
        <w:rPr>
          <w:rFonts w:ascii="Times New Roman" w:hAnsi="Times New Roman"/>
          <w:color w:val="000000"/>
          <w:sz w:val="20"/>
        </w:rPr>
        <w:t xml:space="preserve"> </w:t>
      </w:r>
      <w:r>
        <w:rPr>
          <w:rFonts w:ascii="Arial" w:hAnsi="Arial"/>
          <w:color w:val="000000"/>
          <w:sz w:val="20"/>
        </w:rPr>
        <w:t>primarily include (i) fees earned for the utilization of our platforms to optimize cash collections and student 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pStyle w:val="TextBody"/>
        <w:bidi w:val="0"/>
        <w:spacing w:before="0" w:after="200"/>
        <w:jc w:val="left"/>
        <w:rPr>
          <w:rFonts w:ascii="Arial" w:hAnsi="Arial"/>
          <w:b/>
          <w:i/>
          <w:color w:val="000000"/>
          <w:sz w:val="20"/>
        </w:rPr>
      </w:pPr>
      <w:r>
        <w:rPr>
          <w:rFonts w:ascii="Arial" w:hAnsi="Arial"/>
          <w:b/>
          <w:i/>
          <w:color w:val="000000"/>
          <w:sz w:val="20"/>
        </w:rPr>
        <w:t>Total Payment Volume</w:t>
      </w:r>
    </w:p>
    <w:p>
      <w:pPr>
        <w:pStyle w:val="TextBody"/>
        <w:bidi w:val="0"/>
        <w:spacing w:before="0" w:after="200"/>
        <w:jc w:val="left"/>
        <w:rPr>
          <w:rFonts w:ascii="Arial" w:hAnsi="Arial"/>
          <w:color w:val="000000"/>
          <w:sz w:val="20"/>
        </w:rPr>
      </w:pPr>
      <w:r>
        <w:rPr>
          <w:rFonts w:ascii="Arial" w:hAnsi="Arial"/>
          <w:color w:val="000000"/>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pStyle w:val="TextBody"/>
        <w:bidi w:val="0"/>
        <w:spacing w:before="0" w:after="200"/>
        <w:jc w:val="left"/>
        <w:rPr>
          <w:rFonts w:ascii="Arial" w:hAnsi="Arial"/>
          <w:color w:val="000000"/>
          <w:sz w:val="20"/>
        </w:rPr>
      </w:pPr>
      <w:r>
        <w:rPr>
          <w:rFonts w:ascii="Arial" w:hAnsi="Arial"/>
          <w:color w:val="000000"/>
          <w:sz w:val="20"/>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tbl>
      <w:tblPr>
        <w:tblW w:w="8644" w:type="dxa"/>
        <w:jc w:val="left"/>
        <w:tblInd w:w="0" w:type="dxa"/>
        <w:tblLayout w:type="fixed"/>
        <w:tblCellMar>
          <w:top w:w="28" w:type="dxa"/>
          <w:left w:w="28" w:type="dxa"/>
          <w:bottom w:w="28" w:type="dxa"/>
          <w:right w:w="28" w:type="dxa"/>
        </w:tblCellMar>
      </w:tblPr>
      <w:tblGrid>
        <w:gridCol w:w="3826"/>
        <w:gridCol w:w="146"/>
        <w:gridCol w:w="275"/>
        <w:gridCol w:w="941"/>
        <w:gridCol w:w="190"/>
        <w:gridCol w:w="275"/>
        <w:gridCol w:w="941"/>
        <w:gridCol w:w="146"/>
        <w:gridCol w:w="211"/>
        <w:gridCol w:w="721"/>
        <w:gridCol w:w="146"/>
        <w:gridCol w:w="82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Transaction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7,139.1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Platform and other revenues payment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8,199.9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r>
    </w:tbl>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3826"/>
        <w:gridCol w:w="146"/>
        <w:gridCol w:w="228"/>
        <w:gridCol w:w="893"/>
        <w:gridCol w:w="157"/>
        <w:gridCol w:w="228"/>
        <w:gridCol w:w="893"/>
        <w:gridCol w:w="146"/>
        <w:gridCol w:w="211"/>
        <w:gridCol w:w="721"/>
        <w:gridCol w:w="146"/>
        <w:gridCol w:w="82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Transaction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16,465.4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Platform and other revenues payment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3,159.4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19,624.8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w:t>
            </w:r>
          </w:p>
        </w:tc>
      </w:tr>
    </w:tbl>
    <w:p>
      <w:pPr>
        <w:pStyle w:val="TextBody"/>
        <w:bidi w:val="0"/>
        <w:jc w:val="left"/>
        <w:rPr/>
      </w:pPr>
      <w:r>
        <w:rPr/>
        <w:t> </w:t>
      </w:r>
    </w:p>
    <w:p>
      <w:pPr>
        <w:pStyle w:val="TextBody"/>
        <w:bidi w:val="0"/>
        <w:spacing w:before="80" w:after="283"/>
        <w:jc w:val="left"/>
        <w:rPr>
          <w:rFonts w:ascii="Arial" w:hAnsi="Arial"/>
          <w:b/>
          <w:color w:val="000000"/>
          <w:sz w:val="20"/>
        </w:rPr>
      </w:pPr>
      <w:r>
        <w:rPr>
          <w:rFonts w:ascii="Arial" w:hAnsi="Arial"/>
          <w:b/>
          <w:color w:val="000000"/>
          <w:sz w:val="20"/>
        </w:rPr>
        <w:t>Key Factors Affecting Our Performance</w:t>
      </w:r>
    </w:p>
    <w:p>
      <w:pPr>
        <w:pStyle w:val="TextBody"/>
        <w:bidi w:val="0"/>
        <w:spacing w:before="200" w:after="200"/>
        <w:jc w:val="left"/>
        <w:rPr>
          <w:rFonts w:ascii="Arial" w:hAnsi="Arial"/>
          <w:b/>
          <w:i/>
          <w:color w:val="000000"/>
          <w:sz w:val="20"/>
        </w:rPr>
      </w:pPr>
      <w:r>
        <w:rPr>
          <w:rFonts w:ascii="Arial" w:hAnsi="Arial"/>
          <w:b/>
          <w:i/>
          <w:color w:val="000000"/>
          <w:sz w:val="20"/>
        </w:rPr>
        <w:t>Increased Utilization by Our Clients and Their Customers</w:t>
      </w:r>
    </w:p>
    <w:p>
      <w:pPr>
        <w:pStyle w:val="TextBody"/>
        <w:bidi w:val="0"/>
        <w:spacing w:before="0" w:after="200"/>
        <w:jc w:val="left"/>
        <w:rPr>
          <w:rFonts w:ascii="Arial" w:hAnsi="Arial"/>
          <w:color w:val="000000"/>
          <w:sz w:val="20"/>
        </w:rPr>
      </w:pPr>
      <w:r>
        <w:rPr>
          <w:rFonts w:ascii="Arial" w:hAnsi="Arial"/>
          <w:color w:val="000000"/>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pStyle w:val="TextBody"/>
        <w:bidi w:val="0"/>
        <w:spacing w:before="0" w:after="200"/>
        <w:jc w:val="left"/>
        <w:rPr>
          <w:rFonts w:ascii="Arial" w:hAnsi="Arial"/>
          <w:color w:val="000000"/>
          <w:sz w:val="20"/>
        </w:rPr>
      </w:pPr>
      <w:r>
        <w:rPr>
          <w:rFonts w:ascii="Arial" w:hAnsi="Arial"/>
          <w:color w:val="000000"/>
          <w:sz w:val="20"/>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B2B solutions, and our student financial software (SFS) solution, which provides institutions a comprehensive platform spanning the student financial lifecycle.</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Mix of Business on Our Platform</w:t>
      </w:r>
    </w:p>
    <w:p>
      <w:pPr>
        <w:pStyle w:val="TextBody"/>
        <w:bidi w:val="0"/>
        <w:spacing w:before="0" w:after="200"/>
        <w:jc w:val="left"/>
        <w:rPr>
          <w:rFonts w:ascii="Arial" w:hAnsi="Arial"/>
          <w:color w:val="000000"/>
          <w:sz w:val="20"/>
        </w:rPr>
      </w:pPr>
      <w:r>
        <w:rPr>
          <w:rFonts w:ascii="Arial" w:hAnsi="Arial"/>
          <w:color w:val="000000"/>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In addition, the mix of payment methods utilized by our clients’ customers may have an impact on our margins given that our costs associated with certain payment methods, such as credit cards, are higher than other payment methods accepted by our solutions, such as bank transfers.</w:t>
      </w:r>
    </w:p>
    <w:p>
      <w:pPr>
        <w:pStyle w:val="TextBody"/>
        <w:bidi w:val="0"/>
        <w:jc w:val="left"/>
        <w:rPr>
          <w:rFonts w:ascii="Arial" w:hAnsi="Arial"/>
          <w:color w:val="000000"/>
          <w:sz w:val="20"/>
        </w:rPr>
      </w:pPr>
      <w:r>
        <w:rPr>
          <w:rFonts w:ascii="Arial" w:hAnsi="Arial"/>
          <w:color w:val="000000"/>
          <w:sz w:val="20"/>
        </w:rPr>
        <w:t>In addition, we are expanding our payment processing capabilities to offer a more comprehensive solution to our clients. While this new capability is expected to be a source of future growth, it is characterized by a lower gross margin profile compared to our traditional, higher-margin products. We anticipate that the inclusion of this business mix will exert a moderate, downward pressure during the initial ramp-up phase on our overall consolidated gross profit margin percentage, even as it continues to contribute positively to our absolute gross profit dollars.</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2026, our business mix continued to exert downward pressure on our margins, driven by growing share of domestic transactions and credit card usage in travel and B2B and by our payment processing solution in healthcare, travel and B2B, partially offset by ongoing optimization of payment costs. We may experience shifts in the type of revenue we earn (transaction revenue or platform and other revenues) depending on the nature of the activity of our clients and our clients’ customers on our platform.</w:t>
      </w:r>
    </w:p>
    <w:p>
      <w:pPr>
        <w:pStyle w:val="TextBody"/>
        <w:bidi w:val="0"/>
        <w:spacing w:before="0" w:after="200"/>
        <w:jc w:val="left"/>
        <w:rPr>
          <w:rFonts w:ascii="Arial" w:hAnsi="Arial"/>
          <w:b/>
          <w:i/>
          <w:color w:val="000000"/>
          <w:sz w:val="20"/>
        </w:rPr>
      </w:pPr>
      <w:r>
        <w:rPr>
          <w:rFonts w:ascii="Arial" w:hAnsi="Arial"/>
          <w:b/>
          <w:i/>
          <w:color w:val="000000"/>
          <w:sz w:val="20"/>
        </w:rPr>
        <w:t>Digital Transformation and Operational Focus</w:t>
      </w:r>
    </w:p>
    <w:p>
      <w:pPr>
        <w:pStyle w:val="TextBody"/>
        <w:bidi w:val="0"/>
        <w:spacing w:before="0" w:after="200"/>
        <w:jc w:val="left"/>
        <w:rPr>
          <w:rFonts w:ascii="Arial" w:hAnsi="Arial"/>
          <w:color w:val="000000"/>
          <w:sz w:val="20"/>
        </w:rPr>
      </w:pPr>
      <w:r>
        <w:rPr>
          <w:rFonts w:ascii="Arial" w:hAnsi="Arial"/>
          <w:color w:val="000000"/>
          <w:sz w:val="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pStyle w:val="TextBody"/>
        <w:bidi w:val="0"/>
        <w:spacing w:before="0" w:after="200"/>
        <w:jc w:val="left"/>
        <w:rPr>
          <w:rFonts w:ascii="Arial" w:hAnsi="Arial"/>
          <w:color w:val="000000"/>
          <w:sz w:val="20"/>
        </w:rPr>
      </w:pPr>
      <w:r>
        <w:rPr>
          <w:rFonts w:ascii="Arial" w:hAnsi="Arial"/>
          <w:color w:val="000000"/>
          <w:sz w:val="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pStyle w:val="TextBody"/>
        <w:bidi w:val="0"/>
        <w:spacing w:before="0" w:after="200"/>
        <w:jc w:val="left"/>
        <w:rPr>
          <w:rFonts w:ascii="Arial" w:hAnsi="Arial"/>
          <w:color w:val="000000"/>
          <w:sz w:val="20"/>
        </w:rPr>
      </w:pPr>
      <w:r>
        <w:rPr>
          <w:rFonts w:ascii="Arial" w:hAnsi="Arial"/>
          <w:color w:val="000000"/>
          <w:sz w:val="20"/>
        </w:rPr>
        <w:t>We are actively engaged in a comprehensive, company-wide operational and systems transformation program. This initiative encompasses a re-architecting of our data infrastructure, consolidation and upgrade of our enterprise and billing systems, underlying operating models, alongside the strategic alignment of our organizational structure, talent, and internal processes. The primary objectives of this program are to enhance our analytical capabilities, establish a centralized, structured data foundation to support our workforce, and facilitate the ongoing and future integration of artificial intelligence and automation into our workflows and product development. Ultimately, this foundational work is intended to position the Company for continued scalability and long-term growth. As we execute on this transformation, we expect the program to have a broad impact on our enterprise operations, driving long-term efficiencies and evolving our organizational structures and workflows.</w:t>
      </w:r>
    </w:p>
    <w:p>
      <w:pPr>
        <w:pStyle w:val="TextBody"/>
        <w:bidi w:val="0"/>
        <w:jc w:val="left"/>
        <w:rPr>
          <w:rFonts w:ascii="Arial" w:hAnsi="Arial"/>
          <w:color w:val="000000"/>
          <w:sz w:val="20"/>
        </w:rPr>
      </w:pPr>
      <w:r>
        <w:rPr>
          <w:rFonts w:ascii="Arial" w:hAnsi="Arial"/>
          <w:color w:val="000000"/>
          <w:sz w:val="20"/>
        </w:rPr>
        <w:t>Furthermore, we are optimizing internal systems and tools by consolidating our vendor footprint and automating processes. These efforts collectively reinforce our commitment to driving productivity, optimizing investments, and streamlining operations, thereby enhancing our platform's overall capabilities and providing deeper insights for our stakeholders.</w:t>
      </w:r>
    </w:p>
    <w:p>
      <w:pPr>
        <w:pStyle w:val="TextBody"/>
        <w:bidi w:val="0"/>
        <w:spacing w:before="200" w:after="200"/>
        <w:jc w:val="left"/>
        <w:rPr>
          <w:rFonts w:ascii="Arial" w:hAnsi="Arial"/>
          <w:b/>
          <w:i/>
          <w:color w:val="000000"/>
          <w:sz w:val="20"/>
        </w:rPr>
      </w:pPr>
      <w:r>
        <w:rPr>
          <w:rFonts w:ascii="Arial" w:hAnsi="Arial"/>
          <w:b/>
          <w:i/>
          <w:color w:val="000000"/>
          <w:sz w:val="20"/>
        </w:rPr>
        <w:t>Seasonality</w:t>
      </w:r>
    </w:p>
    <w:p>
      <w:pPr>
        <w:pStyle w:val="TextBody"/>
        <w:bidi w:val="0"/>
        <w:spacing w:before="0" w:after="200"/>
        <w:jc w:val="left"/>
        <w:rPr>
          <w:rFonts w:ascii="Arial" w:hAnsi="Arial"/>
          <w:color w:val="000000"/>
          <w:sz w:val="20"/>
        </w:rPr>
      </w:pPr>
      <w:r>
        <w:rPr>
          <w:rFonts w:ascii="Arial" w:hAnsi="Arial"/>
          <w:color w:val="000000"/>
          <w:sz w:val="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Economic Conditions and Resulting Consumer Spending Trends</w:t>
      </w:r>
    </w:p>
    <w:p>
      <w:pPr>
        <w:pStyle w:val="TextBody"/>
        <w:bidi w:val="0"/>
        <w:spacing w:before="0" w:after="200"/>
        <w:jc w:val="left"/>
        <w:rPr>
          <w:rFonts w:ascii="Arial" w:hAnsi="Arial"/>
          <w:color w:val="000000"/>
          <w:sz w:val="20"/>
        </w:rPr>
      </w:pPr>
      <w:r>
        <w:rPr>
          <w:rFonts w:ascii="Arial" w:hAnsi="Arial"/>
          <w:color w:val="000000"/>
          <w:sz w:val="20"/>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pStyle w:val="TextBody"/>
        <w:bidi w:val="0"/>
        <w:spacing w:before="0" w:after="200"/>
        <w:jc w:val="left"/>
        <w:rPr>
          <w:rFonts w:ascii="Arial" w:hAnsi="Arial"/>
          <w:b/>
          <w:i/>
          <w:color w:val="000000"/>
          <w:sz w:val="20"/>
        </w:rPr>
      </w:pPr>
      <w:r>
        <w:rPr>
          <w:rFonts w:ascii="Arial" w:hAnsi="Arial"/>
          <w:b/>
          <w:i/>
          <w:color w:val="000000"/>
          <w:sz w:val="20"/>
        </w:rPr>
        <w:t>Impacts Resulting From Government Changes to International Student and H-1B Visa Policies</w:t>
      </w:r>
    </w:p>
    <w:p>
      <w:pPr>
        <w:pStyle w:val="TextBody"/>
        <w:bidi w:val="0"/>
        <w:spacing w:before="0" w:after="200"/>
        <w:jc w:val="left"/>
        <w:rPr>
          <w:rFonts w:ascii="Arial" w:hAnsi="Arial"/>
          <w:color w:val="000000"/>
          <w:sz w:val="20"/>
        </w:rPr>
      </w:pPr>
      <w:r>
        <w:rPr>
          <w:rFonts w:ascii="Arial" w:hAnsi="Arial"/>
          <w:color w:val="000000"/>
          <w:sz w:val="20"/>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expects to issue up to 408,000 study permits,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will not need to submit a provincial or territorial attestation letter with their study permit application. When first instituted by the IRCC, the cap initially excluded students enrolled in master’s and PhD programs, but the IRCC more recently included master’s and doctoral students within the cap. Additionally, in November 2024, Canada ended its Student Direct Stream (SDS) program for expedited international student visa processing, and international students applying to study in Canada no longer need to prepay tuition to apply for a study permit.</w:t>
      </w:r>
    </w:p>
    <w:p>
      <w:pPr>
        <w:pStyle w:val="TextBody"/>
        <w:bidi w:val="0"/>
        <w:spacing w:before="0" w:after="200"/>
        <w:jc w:val="left"/>
        <w:rPr>
          <w:rFonts w:ascii="Arial" w:hAnsi="Arial"/>
          <w:color w:val="000000"/>
          <w:sz w:val="20"/>
        </w:rPr>
      </w:pPr>
      <w:r>
        <w:rPr>
          <w:rFonts w:ascii="Arial" w:hAnsi="Arial"/>
          <w:color w:val="000000"/>
          <w:sz w:val="20"/>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in the six months ended June 30, 2026 and we anticipate will continue to impact our Australian revenues in 2026.</w:t>
      </w:r>
    </w:p>
    <w:p>
      <w:pPr>
        <w:pStyle w:val="TextBody"/>
        <w:bidi w:val="0"/>
        <w:jc w:val="left"/>
        <w:rPr>
          <w:rFonts w:ascii="Arial" w:hAnsi="Arial"/>
          <w:color w:val="000000"/>
          <w:sz w:val="20"/>
        </w:rPr>
      </w:pPr>
      <w:r>
        <w:rPr>
          <w:rFonts w:ascii="Arial" w:hAnsi="Arial"/>
          <w:color w:val="000000"/>
          <w:sz w:val="20"/>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Expectation of longer student visa processing times, potentially extending from current medians to four–eight or more weeks, which could disrupt admissions and orientation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administrative burden on international offices and recruitment staff to assist Indian applicants with enhanced documentation and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of a reduction in Indian student enrollments or delays in arrival, affecting tuition revenue and program planning.</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Necessity for universities to adjust intake planning, including staggered start dates or expanded online coursework, to accommodate delayed visa issuance.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for higher refusal rates requiring additional counseling and risk management for affected applicants.</w:t>
      </w:r>
    </w:p>
    <w:p>
      <w:pPr>
        <w:pStyle w:val="TextBody"/>
        <w:bidi w:val="0"/>
        <w:spacing w:before="200" w:after="200"/>
        <w:jc w:val="left"/>
        <w:rPr>
          <w:rFonts w:ascii="Arial" w:hAnsi="Arial"/>
          <w:color w:val="000000"/>
          <w:sz w:val="20"/>
        </w:rPr>
      </w:pPr>
      <w:r>
        <w:rPr>
          <w:rFonts w:ascii="Arial" w:hAnsi="Arial"/>
          <w:color w:val="000000"/>
          <w:sz w:val="20"/>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 In addition, effective July 1, 2026, the Australian Government increased the non-refundable Student Visa (Subclass 500) application charge by 25%, raising the fee for primary applicants from AUD 2,000 to AUD 2,500. Higher upfront visa costs and potential application friction could temper total inbound international student enrollment growth in Australia, which may impact Flywire’s Australian education vertical.</w:t>
      </w:r>
    </w:p>
    <w:p>
      <w:pPr>
        <w:pStyle w:val="TextBody"/>
        <w:bidi w:val="0"/>
        <w:jc w:val="left"/>
        <w:rPr>
          <w:rFonts w:ascii="Arial" w:hAnsi="Arial"/>
          <w:color w:val="000000"/>
          <w:sz w:val="20"/>
        </w:rPr>
      </w:pPr>
      <w:r>
        <w:rPr>
          <w:rFonts w:ascii="Arial" w:hAnsi="Arial"/>
          <w:color w:val="000000"/>
          <w:sz w:val="20"/>
        </w:rPr>
        <w:t>In the U.K. as well, there have recently been significant modifications to the process and standards for issuance of international student visas which may reduce demand for international study and adversely affect our business. In 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pStyle w:val="TextBody"/>
        <w:bidi w:val="0"/>
        <w:spacing w:before="200" w:after="283"/>
        <w:jc w:val="left"/>
        <w:rPr>
          <w:rFonts w:ascii="Arial" w:hAnsi="Arial"/>
          <w:color w:val="000000"/>
          <w:sz w:val="20"/>
        </w:rPr>
      </w:pPr>
      <w:r>
        <w:rPr>
          <w:rFonts w:ascii="Arial" w:hAnsi="Arial"/>
          <w:color w:val="000000"/>
          <w:sz w:val="20"/>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Currently the status and validity of the $100,000 filing fee is in dispute as the issue is appealed through the U.S. court system. In addition, in 2025 U.S. policy shifts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The U.S. Department of Homeland Security’s final ruling replacing the open-ended "duration of status" for F-1 visa holders with a fixed maximum admission period of four years also creates added administrative burdens and potential visa uncertainty for international students studying in the U.S. and near-term immigration friction could temper growth in overall U.S. inbound international student enrollment, which may adversely impact our revenue and results of operations. Delays in issuances of visas or visa denials – which could be exacerbated by periodic U.S. government shutdowns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and other changes to U.S. immigration policy to continue to dampen demands for international study and adversely impact our revenue growth in the U.S. in 2026.</w:t>
      </w:r>
    </w:p>
    <w:p>
      <w:pPr>
        <w:pStyle w:val="TextBody"/>
        <w:bidi w:val="0"/>
        <w:spacing w:before="200" w:after="120"/>
        <w:jc w:val="left"/>
        <w:rPr>
          <w:rFonts w:ascii="Arial" w:hAnsi="Arial"/>
          <w:color w:val="000000"/>
          <w:sz w:val="20"/>
        </w:rPr>
      </w:pPr>
      <w:r>
        <w:rPr>
          <w:rFonts w:ascii="Arial" w:hAnsi="Arial"/>
          <w:color w:val="000000"/>
          <w:sz w:val="20"/>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Requests for deferred admissions, increased student inquiries/concerns, and delays in expected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Visa appointment cancellations, unavailability or delays in scheduling interviews as well as higher visa rejection rates - especially as to potential students from the countries that send the most students to the United States; and</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Students pivoting away from study and research in the United States. According to some studies, the top five countries that international students and scholars have indicated they are turning to instead of the United States are the United Kingdom, Australia, Canada, China, and Germany. These European and Asian study destinations that are gaining in market share of student interest often carry lower tuition and related costs of living relative to the United States, which may result in lower volume of payments processed within our education vertical.</w:t>
      </w:r>
    </w:p>
    <w:p>
      <w:pPr>
        <w:pStyle w:val="TextBody"/>
        <w:bidi w:val="0"/>
        <w:spacing w:before="200" w:after="200"/>
        <w:jc w:val="left"/>
        <w:rPr>
          <w:rFonts w:ascii="Arial" w:hAnsi="Arial"/>
          <w:color w:val="000000"/>
          <w:sz w:val="20"/>
        </w:rPr>
      </w:pPr>
      <w:r>
        <w:rPr>
          <w:rFonts w:ascii="Arial" w:hAnsi="Arial"/>
          <w:color w:val="000000"/>
          <w:sz w:val="20"/>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pStyle w:val="TextBody"/>
        <w:bidi w:val="0"/>
        <w:spacing w:before="0" w:after="200"/>
        <w:jc w:val="left"/>
        <w:rPr>
          <w:rFonts w:ascii="Arial" w:hAnsi="Arial"/>
          <w:color w:val="000000"/>
          <w:sz w:val="20"/>
        </w:rPr>
      </w:pPr>
      <w:r>
        <w:rPr>
          <w:rFonts w:ascii="Arial" w:hAnsi="Arial"/>
          <w:color w:val="000000"/>
          <w:sz w:val="20"/>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We believe our business continues to remain strong amid these visa-related policy shifts, benefiting from our increasingly global and diversified footprint across verticals, sub-sectors, countries, currencies and clients.</w:t>
      </w:r>
    </w:p>
    <w:p>
      <w:pPr>
        <w:pStyle w:val="TextBody"/>
        <w:bidi w:val="0"/>
        <w:spacing w:before="0" w:after="200"/>
        <w:jc w:val="left"/>
        <w:rPr>
          <w:rFonts w:ascii="Arial" w:hAnsi="Arial"/>
          <w:b/>
          <w:color w:val="000000"/>
          <w:sz w:val="20"/>
        </w:rPr>
      </w:pPr>
      <w:r>
        <w:rPr>
          <w:rFonts w:ascii="Arial" w:hAnsi="Arial"/>
          <w:b/>
          <w:color w:val="000000"/>
          <w:sz w:val="20"/>
        </w:rPr>
        <w:t>Impact of New H-1B Visa Fee Requirement</w:t>
      </w:r>
    </w:p>
    <w:p>
      <w:pPr>
        <w:pStyle w:val="TextBody"/>
        <w:bidi w:val="0"/>
        <w:spacing w:before="0" w:after="200"/>
        <w:jc w:val="left"/>
        <w:rPr>
          <w:rFonts w:ascii="Times New Roman" w:hAnsi="Times New Roman"/>
          <w:sz w:val="20"/>
        </w:rPr>
      </w:pPr>
      <w:r>
        <w:rPr>
          <w:rFonts w:ascii="Arial" w:hAnsi="Arial"/>
          <w:color w:val="000000"/>
          <w:sz w:val="20"/>
        </w:rPr>
        <w:t xml:space="preserve">See discussion above under </w:t>
      </w:r>
      <w:r>
        <w:rPr>
          <w:rFonts w:ascii="Arial" w:hAnsi="Arial"/>
          <w:i/>
          <w:color w:val="000000"/>
          <w:sz w:val="20"/>
        </w:rPr>
        <w:t>Impacts Resulting From Government Changes to International Student and H-1B Visa Policies</w:t>
      </w:r>
      <w:r>
        <w:rPr>
          <w:rFonts w:ascii="Times New Roman" w:hAnsi="Times New Roman"/>
          <w:color w:val="000000"/>
          <w:sz w:val="20"/>
        </w:rPr>
        <w:t xml:space="preserve"> </w:t>
      </w:r>
      <w:r>
        <w:rPr>
          <w:rFonts w:ascii="Arial" w:hAnsi="Arial"/>
          <w:color w:val="000000"/>
          <w:sz w:val="20"/>
        </w:rPr>
        <w:t>regarding the U.S. government's announced plans to require employers to pay a $100,000 filing fee per H-1B visa petition to bring new H-1B workers into the U.S. This new requirement materially increases the cost of employing new foreign nationals in the U.S. The new H-1B visa fee does not apply to international students already in the U.S. looking to apply for a status change. The fee is not expected to apply to petitions filed before the effective date or to renewals. Currently the status and validity of the $100,000 filing fee is in dispute as the issue is appealed through the U.S. court system. Flywire currently employs a number of specialized personnel under H-1B visas — primarily software engineers and product managers — whose skills are essential to maintaining and expanding our global payments platform.</w:t>
      </w:r>
    </w:p>
    <w:p>
      <w:pPr>
        <w:pStyle w:val="TextBody"/>
        <w:bidi w:val="0"/>
        <w:spacing w:before="0" w:after="200"/>
        <w:jc w:val="left"/>
        <w:rPr>
          <w:rFonts w:ascii="Arial" w:hAnsi="Arial"/>
          <w:color w:val="000000"/>
          <w:sz w:val="20"/>
        </w:rPr>
      </w:pPr>
      <w:r>
        <w:rPr>
          <w:rFonts w:ascii="Arial" w:hAnsi="Arial"/>
          <w:color w:val="000000"/>
          <w:sz w:val="20"/>
        </w:rPr>
        <w:t>The new regulation could potentially increase our annual personnel costs as existing H-1B holders become eligible for renewal and as we recruit new employees in technical and operational roles. While the overall financial impact is not yet determinable, the incremental costs could be significant if the rule remains in effect or expands to other visa categories.</w:t>
      </w:r>
    </w:p>
    <w:p>
      <w:pPr>
        <w:pStyle w:val="TextBody"/>
        <w:bidi w:val="0"/>
        <w:spacing w:before="40" w:after="240"/>
        <w:jc w:val="left"/>
        <w:rPr>
          <w:rFonts w:ascii="Arial" w:hAnsi="Arial"/>
          <w:color w:val="000000"/>
          <w:sz w:val="20"/>
        </w:rPr>
      </w:pPr>
      <w:r>
        <w:rPr>
          <w:rFonts w:ascii="Arial" w:hAnsi="Arial"/>
          <w:color w:val="000000"/>
          <w:sz w:val="20"/>
        </w:rPr>
        <w:t>To mitigate these potential cost increases, we are evaluating a combination of strategies,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Reallocating hiring and development activities to lower-cost jurisdictions where we already operate;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Investing in automation, AI-based solutions and process efficiency to reduce reliance on incremental headcount growth in the U.S.;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Enhancing our domestic talent pipeline through university partnerships, internships, and remote-work arrangements to expand access to U.S.-based workers not requiring sponsorship.</w:t>
      </w:r>
    </w:p>
    <w:p>
      <w:pPr>
        <w:pStyle w:val="TextBody"/>
        <w:bidi w:val="0"/>
        <w:spacing w:before="200" w:after="200"/>
        <w:jc w:val="left"/>
        <w:rPr>
          <w:rFonts w:ascii="Arial" w:hAnsi="Arial"/>
          <w:color w:val="000000"/>
          <w:sz w:val="20"/>
        </w:rPr>
      </w:pPr>
      <w:r>
        <w:rPr>
          <w:rFonts w:ascii="Arial" w:hAnsi="Arial"/>
          <w:color w:val="000000"/>
          <w:sz w:val="20"/>
        </w:rPr>
        <w:t>We are also engaging through industry associations to monitor legal challenges and regulatory developments related to this rule and to advocate for more balanced immigration policies that support innovation and growth in the U.S. technology and fintech sectors.</w:t>
      </w:r>
    </w:p>
    <w:p>
      <w:pPr>
        <w:pStyle w:val="TextBody"/>
        <w:bidi w:val="0"/>
        <w:spacing w:before="0" w:after="200"/>
        <w:jc w:val="left"/>
        <w:rPr>
          <w:rFonts w:ascii="Arial" w:hAnsi="Arial"/>
          <w:color w:val="000000"/>
          <w:sz w:val="20"/>
        </w:rPr>
      </w:pPr>
      <w:r>
        <w:rPr>
          <w:rFonts w:ascii="Arial" w:hAnsi="Arial"/>
          <w:color w:val="000000"/>
          <w:sz w:val="20"/>
        </w:rPr>
        <w:t>Although these mitigation efforts may partially offset the impact, increased visa-related costs or restrictions could reduce our flexibility in hiring and allocating talent, increase our operating expenses, and slow the pace of product innovation - all of which could adversely affect our financial condition and results of operations.</w:t>
      </w:r>
    </w:p>
    <w:p>
      <w:pPr>
        <w:pStyle w:val="TextBody"/>
        <w:bidi w:val="0"/>
        <w:spacing w:before="0" w:after="200"/>
        <w:jc w:val="left"/>
        <w:rPr>
          <w:rFonts w:ascii="Arial" w:hAnsi="Arial"/>
          <w:b/>
          <w:i/>
          <w:color w:val="000000"/>
          <w:sz w:val="20"/>
        </w:rPr>
      </w:pPr>
      <w:r>
        <w:rPr>
          <w:rFonts w:ascii="Arial" w:hAnsi="Arial"/>
          <w:b/>
          <w:i/>
          <w:color w:val="000000"/>
          <w:sz w:val="20"/>
        </w:rPr>
        <w:t>Impacts Resulting From U.S. Government Policy Towards Higher Education</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In the U.S., the “One Big Beautiful Bill” Act (OBBBA) contains a number of provisions with the potential to significantly change the landscape for financing undergraduate and graduate study and which could adversely affect the demand for higher education in the U.S. The OBBBA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More specifically, the structural changes to federal higher education financing under the OBBBA include:</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Elimination of Graduate PLUS Loans</w:t>
      </w:r>
      <w:r>
        <w:rPr>
          <w:rFonts w:ascii="Arial" w:hAnsi="Arial"/>
          <w:color w:val="000000"/>
          <w:sz w:val="20"/>
        </w:rPr>
        <w:t>: The Grad PLUS loan program was eliminated for new borrowers starting July 1, 2026 (with legacy grandfathering options available for up to three academic years for existing borrowers).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New Borrowing Caps</w:t>
      </w:r>
      <w:r>
        <w:rPr>
          <w:rFonts w:ascii="Arial" w:hAnsi="Arial"/>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b/>
          <w:color w:val="000000"/>
          <w:sz w:val="20"/>
        </w:rPr>
        <w:t>Graduate &amp; Professional</w:t>
      </w:r>
      <w:r>
        <w:rPr>
          <w:rFonts w:ascii="Arial" w:hAnsi="Arial"/>
          <w:color w:val="000000"/>
          <w:sz w:val="20"/>
        </w:rPr>
        <w:t>: Annual borrowing for Direct Unsubsidized Loans is capped at $20,500 ($100,000 aggregate) for general graduate programs and $50,000 ($200,000 aggregate) for designated professional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b/>
          <w:color w:val="000000"/>
          <w:sz w:val="20"/>
        </w:rPr>
        <w:t>Parent PLUS</w:t>
      </w:r>
      <w:r>
        <w:rPr>
          <w:rFonts w:ascii="Arial" w:hAnsi="Arial"/>
          <w:color w:val="000000"/>
          <w:sz w:val="20"/>
        </w:rPr>
        <w:t>: Annual borrowing is capped at $20,000 per student, with a $65,000 aggregate limit per dependent.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b/>
          <w:color w:val="000000"/>
          <w:sz w:val="20"/>
        </w:rPr>
        <w:t>Lifetime Cap</w:t>
      </w:r>
      <w:r>
        <w:rPr>
          <w:rFonts w:ascii="Arial" w:hAnsi="Arial"/>
          <w:color w:val="000000"/>
          <w:sz w:val="20"/>
        </w:rPr>
        <w:t>: A cumulative lifetime federal student loan borrowing cap of $257,500 is established (excluding Parent PLUS).</w:t>
      </w:r>
    </w:p>
    <w:p>
      <w:pPr>
        <w:pStyle w:val="TextBody"/>
        <w:bidi w:val="0"/>
        <w:spacing w:before="200" w:after="200"/>
        <w:jc w:val="left"/>
        <w:rPr>
          <w:rFonts w:ascii="Arial" w:hAnsi="Arial"/>
          <w:color w:val="000000"/>
          <w:sz w:val="20"/>
        </w:rPr>
      </w:pPr>
      <w:r>
        <w:rPr>
          <w:rFonts w:ascii="Arial" w:hAnsi="Arial"/>
          <w:color w:val="000000"/>
          <w:sz w:val="20"/>
        </w:rPr>
        <w:t>Most of these changes recently went into effect on July 1, 2026, therefore U.S. students entering or returning to college in the fall of 2025 were unaffected, and while management actively monitors institutional adaptation to these regulatory updates, the longer-term impacts of the bill may impact U.S. student enrollment in undergraduate and postgraduate programs and could materially and adversely affect our revenue and results of operations.</w:t>
      </w:r>
    </w:p>
    <w:p>
      <w:pPr>
        <w:pStyle w:val="TextBody"/>
        <w:bidi w:val="0"/>
        <w:spacing w:before="0" w:after="200"/>
        <w:jc w:val="left"/>
        <w:rPr>
          <w:rFonts w:ascii="Arial" w:hAnsi="Arial"/>
          <w:color w:val="000000"/>
          <w:sz w:val="20"/>
        </w:rPr>
      </w:pPr>
      <w:r>
        <w:rPr>
          <w:rFonts w:ascii="Arial" w:hAnsi="Arial"/>
          <w:color w:val="000000"/>
          <w:sz w:val="20"/>
        </w:rPr>
        <w:t>In addition, in October 2025 the current administration introduced a proposed policy initiative known as the “Compact for Academic Excellence in Higher Education” (Compact), which would condition certain federal funding and grant eligibility for U.S. universities on compliance with a new set of policy standards. These standards reportedly include tuition caps, modifications to international student enrollment, changes to admissions criteria, and governance-related certifications. While the proposal remains under review and subject to public comment, its adoption - whether in its current or modified form - could materially affect the operating environment for higher-education institutions in the United States.</w:t>
      </w:r>
    </w:p>
    <w:p>
      <w:pPr>
        <w:pStyle w:val="TextBody"/>
        <w:bidi w:val="0"/>
        <w:spacing w:before="0" w:after="200"/>
        <w:jc w:val="left"/>
        <w:rPr>
          <w:rFonts w:ascii="Arial" w:hAnsi="Arial"/>
          <w:color w:val="000000"/>
          <w:sz w:val="20"/>
        </w:rPr>
      </w:pPr>
      <w:r>
        <w:rPr>
          <w:rFonts w:ascii="Arial" w:hAnsi="Arial"/>
          <w:color w:val="000000"/>
          <w:sz w:val="20"/>
        </w:rPr>
        <w:t>Many of our U.S. universities and colleges rely on federal funding for research, student aid, and institutional support. If the proposed Compact is implemented, universities may adjust enrollment levels, particularly of international students, or redirect administrative resources to compliance efforts. Such developments could reduce cross-border tuition payment volumes, delay new client implementations, or lead institutions to reevaluate third-party vendor relationships. These effects could, in turn, moderate revenue growth and increase client concentration risk within our education vertical.</w:t>
      </w:r>
    </w:p>
    <w:p>
      <w:pPr>
        <w:pStyle w:val="TextBody"/>
        <w:bidi w:val="0"/>
        <w:spacing w:before="0" w:after="200"/>
        <w:jc w:val="left"/>
        <w:rPr>
          <w:rFonts w:ascii="Arial" w:hAnsi="Arial"/>
          <w:color w:val="000000"/>
          <w:sz w:val="20"/>
        </w:rPr>
      </w:pPr>
      <w:r>
        <w:rPr>
          <w:rFonts w:ascii="Arial" w:hAnsi="Arial"/>
          <w:color w:val="000000"/>
          <w:sz w:val="20"/>
        </w:rPr>
        <w:t>At this stage, the potential financial impact of the Compact cannot be quantified, as the proposal has not yet been finalized or enacted. Many major American research universities explicitly rejected the Compact, citing severe threats to academic freedom, institutional autonomy, and First Amendment violations. A small number of ideologically aligned or smaller institutions formally moved to sign and adopt the Compact's conditions. While technically "in effect" for anyone willing to sign it, the true battle centers around federal funding. Major higher education associations (like the American Council on Education and NASFAA) continue to fiercely oppose the framework. Meanwhile, institutions that have refused the Compact have faced aggressive legal and financial pressure from the government, including the freezing of previously approved federal funds to leverage compliance.</w:t>
      </w:r>
    </w:p>
    <w:p>
      <w:pPr>
        <w:pStyle w:val="TextBody"/>
        <w:bidi w:val="0"/>
        <w:spacing w:before="0" w:after="200"/>
        <w:jc w:val="left"/>
        <w:rPr>
          <w:rFonts w:ascii="Arial" w:hAnsi="Arial"/>
          <w:color w:val="000000"/>
          <w:sz w:val="20"/>
        </w:rPr>
      </w:pPr>
      <w:r>
        <w:rPr>
          <w:rFonts w:ascii="Arial" w:hAnsi="Arial"/>
          <w:color w:val="000000"/>
          <w:sz w:val="20"/>
        </w:rPr>
        <w:t>Management continues to monitor the policy’s development and is engaging with industry associations and higher-education partners to assess potential outcomes. To mitigate exposure, Flywire is taking several proactive steps,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Diversifying our education client base internationally to reduce reliance on U.S. higher-education volumes;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Expanding into adjacent services (e.g., housing payments, student refunds, and education-related B2B flows) to offset potential domestic revenue headwinds;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flexibility in pricing and support structures to accommodate clients undergoing funding or enrollment adjustments.</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While the proposed compact may not be implemented in its current form and was rejected in its initial form by most of the approached universities, uncertainty surrounding federal higher-education policy in the U.S. may influence the timing of new client contracts and the pace of adoption of our technology platform.</w:t>
      </w:r>
    </w:p>
    <w:p>
      <w:pPr>
        <w:pStyle w:val="TextBody"/>
        <w:bidi w:val="0"/>
        <w:spacing w:before="0" w:after="200"/>
        <w:jc w:val="left"/>
        <w:rPr>
          <w:rFonts w:ascii="Arial" w:hAnsi="Arial"/>
          <w:b/>
          <w:i/>
          <w:color w:val="000000"/>
          <w:sz w:val="20"/>
        </w:rPr>
      </w:pPr>
      <w:r>
        <w:rPr>
          <w:rFonts w:ascii="Arial" w:hAnsi="Arial"/>
          <w:b/>
          <w:i/>
          <w:color w:val="000000"/>
          <w:sz w:val="20"/>
        </w:rPr>
        <w:t>Diversified Mix of Clients</w:t>
      </w:r>
    </w:p>
    <w:p>
      <w:pPr>
        <w:pStyle w:val="TextBody"/>
        <w:bidi w:val="0"/>
        <w:spacing w:before="0" w:after="200"/>
        <w:jc w:val="left"/>
        <w:rPr>
          <w:rFonts w:ascii="Arial" w:hAnsi="Arial"/>
          <w:color w:val="000000"/>
          <w:sz w:val="20"/>
        </w:rPr>
      </w:pPr>
      <w:r>
        <w:rPr>
          <w:rFonts w:ascii="Arial" w:hAnsi="Arial"/>
          <w:color w:val="000000"/>
          <w:sz w:val="20"/>
        </w:rPr>
        <w:t>We have a wide range of clients across our education, healthcare, travel and B2B verticals. Volumes and revenue from clients in education, our largest vertical, rely on international enrollments and student school preferences, which can fluctuate over time.</w:t>
      </w:r>
    </w:p>
    <w:p>
      <w:pPr>
        <w:pStyle w:val="TextBody"/>
        <w:bidi w:val="0"/>
        <w:spacing w:before="0" w:after="200"/>
        <w:jc w:val="left"/>
        <w:rPr>
          <w:rFonts w:ascii="Arial" w:hAnsi="Arial"/>
          <w:b/>
          <w:i/>
          <w:color w:val="000000"/>
          <w:sz w:val="20"/>
        </w:rPr>
      </w:pPr>
      <w:r>
        <w:rPr>
          <w:rFonts w:ascii="Arial" w:hAnsi="Arial"/>
          <w:b/>
          <w:i/>
          <w:color w:val="000000"/>
          <w:sz w:val="20"/>
        </w:rPr>
        <w:t>Dynamic Changes to Client Communication and Product Solutions</w:t>
      </w:r>
    </w:p>
    <w:p>
      <w:pPr>
        <w:pStyle w:val="TextBody"/>
        <w:bidi w:val="0"/>
        <w:spacing w:before="0" w:after="200"/>
        <w:jc w:val="left"/>
        <w:rPr>
          <w:rFonts w:ascii="Arial" w:hAnsi="Arial"/>
          <w:color w:val="000000"/>
          <w:sz w:val="20"/>
        </w:rPr>
      </w:pPr>
      <w:r>
        <w:rPr>
          <w:rFonts w:ascii="Arial" w:hAnsi="Arial"/>
          <w:color w:val="000000"/>
          <w:sz w:val="20"/>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pStyle w:val="TextBody"/>
        <w:bidi w:val="0"/>
        <w:spacing w:before="0" w:after="200"/>
        <w:jc w:val="left"/>
        <w:rPr>
          <w:rFonts w:ascii="Arial" w:hAnsi="Arial"/>
          <w:b/>
          <w:i/>
          <w:color w:val="000000"/>
          <w:sz w:val="20"/>
        </w:rPr>
      </w:pPr>
      <w:r>
        <w:rPr>
          <w:rFonts w:ascii="Arial" w:hAnsi="Arial"/>
          <w:b/>
          <w:i/>
          <w:color w:val="000000"/>
          <w:sz w:val="20"/>
        </w:rPr>
        <w:t>Business Continuity</w:t>
      </w:r>
    </w:p>
    <w:p>
      <w:pPr>
        <w:pStyle w:val="TextBody"/>
        <w:bidi w:val="0"/>
        <w:spacing w:before="0" w:after="200"/>
        <w:jc w:val="left"/>
        <w:rPr>
          <w:rFonts w:ascii="Arial" w:hAnsi="Arial"/>
          <w:color w:val="000000"/>
          <w:sz w:val="20"/>
        </w:rPr>
      </w:pPr>
      <w:r>
        <w:rPr>
          <w:rFonts w:ascii="Arial" w:hAnsi="Arial"/>
          <w:color w:val="000000"/>
          <w:sz w:val="20"/>
        </w:rPr>
        <w:t>We have a history of operating losses and while we have experienced significant revenue growth in recent years and achieved profitability on a GAAP basis for the years ended December 31, 2024 and 2025 and the six months ended June 30, 2026,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In addition, we are expanding our payment processing capabilities to offer a more comprehensive solution to our clients. While this new capability is expected to be a source of future growth, it is characterized by a lower gross margin profile. We are addressing operating losses by making continued improvements designed to create operating efficiencies and a focus on cost discipline, including investing in automation and product development to further enhance our offerings with a focus on scale and productivity across all areas. Beginning in the first quarter of 2025 and continuing into the second quarter of 2025, we implemented our Restructuring Plan designed to improve operational efficiencies, reduce operating costs and better align our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As of the date of this report, we expect that our clients’ business and our business will continue to be adversely impacted, directly or indirectly, by the ongoing macroeconomic and geopolitical issues. However, the extent of the ongoing impact of these macroeconomic events on our and our clients’ business, our markets and on global economic activity, is uncertain and the related financial impact cannot be reasonably estimated with any certainty at this time.</w:t>
      </w:r>
    </w:p>
    <w:p>
      <w:pPr>
        <w:pStyle w:val="TextBody"/>
        <w:bidi w:val="0"/>
        <w:jc w:val="left"/>
        <w:rPr>
          <w:rFonts w:ascii="Arial" w:hAnsi="Arial"/>
          <w:color w:val="000000"/>
          <w:sz w:val="20"/>
        </w:rPr>
      </w:pPr>
      <w:r>
        <w:rPr>
          <w:rFonts w:ascii="Arial" w:hAnsi="Arial"/>
          <w:color w:val="000000"/>
          <w:sz w:val="20"/>
        </w:rPr>
        <w:t>The conflict between the U.S., Israel, and Iran has prompted a resumption of active workforce planning to implement safety measures for FlyMates in Israel and support the business without interruption.</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r>
        <w:rPr>
          <w:rFonts w:ascii="Arial" w:hAnsi="Arial"/>
          <w:b/>
          <w:color w:val="000000"/>
          <w:sz w:val="20"/>
        </w:rPr>
        <w:t>Components of Results of Operations</w:t>
      </w:r>
    </w:p>
    <w:p>
      <w:pPr>
        <w:pStyle w:val="TextBody"/>
        <w:bidi w:val="0"/>
        <w:spacing w:before="200" w:after="200"/>
        <w:jc w:val="left"/>
        <w:rPr>
          <w:rFonts w:ascii="Arial" w:hAnsi="Arial"/>
          <w:b/>
          <w:i/>
          <w:color w:val="000000"/>
          <w:sz w:val="20"/>
        </w:rPr>
      </w:pPr>
      <w:r>
        <w:rPr>
          <w:rFonts w:ascii="Arial" w:hAnsi="Arial"/>
          <w:b/>
          <w:i/>
          <w:color w:val="000000"/>
          <w:sz w:val="20"/>
        </w:rPr>
        <w:t>Revenue</w:t>
      </w:r>
    </w:p>
    <w:p>
      <w:pPr>
        <w:pStyle w:val="TextBody"/>
        <w:bidi w:val="0"/>
        <w:spacing w:before="0" w:after="200"/>
        <w:jc w:val="left"/>
        <w:rPr>
          <w:rFonts w:ascii="Arial" w:hAnsi="Arial"/>
          <w:color w:val="000000"/>
          <w:sz w:val="20"/>
        </w:rPr>
      </w:pPr>
      <w:r>
        <w:rPr>
          <w:rFonts w:ascii="Arial" w:hAnsi="Arial"/>
          <w:color w:val="000000"/>
          <w:sz w:val="20"/>
        </w:rPr>
        <w:t>We generate revenue from transactions and platform and other fees as described above under “Our Revenue Model”.</w:t>
      </w:r>
    </w:p>
    <w:p>
      <w:pPr>
        <w:pStyle w:val="TextBody"/>
        <w:bidi w:val="0"/>
        <w:spacing w:before="0" w:after="200"/>
        <w:jc w:val="left"/>
        <w:rPr>
          <w:rFonts w:ascii="Arial" w:hAnsi="Arial"/>
          <w:b/>
          <w:i/>
          <w:color w:val="000000"/>
          <w:sz w:val="20"/>
        </w:rPr>
      </w:pPr>
      <w:r>
        <w:rPr>
          <w:rFonts w:ascii="Arial" w:hAnsi="Arial"/>
          <w:b/>
          <w:i/>
          <w:color w:val="000000"/>
          <w:sz w:val="20"/>
        </w:rPr>
        <w:t>Payment Processing Services Costs</w:t>
      </w:r>
    </w:p>
    <w:p>
      <w:pPr>
        <w:pStyle w:val="TextBody"/>
        <w:bidi w:val="0"/>
        <w:spacing w:before="0" w:after="200"/>
        <w:jc w:val="left"/>
        <w:rPr>
          <w:rFonts w:ascii="Arial" w:hAnsi="Arial"/>
          <w:color w:val="000000"/>
          <w:sz w:val="20"/>
        </w:rPr>
      </w:pPr>
      <w:r>
        <w:rPr>
          <w:rFonts w:ascii="Arial" w:hAnsi="Arial"/>
          <w:color w:val="000000"/>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bidi w:val="0"/>
        <w:spacing w:before="0" w:after="200"/>
        <w:jc w:val="left"/>
        <w:rPr>
          <w:rFonts w:ascii="Arial" w:hAnsi="Arial"/>
          <w:b/>
          <w:i/>
          <w:color w:val="000000"/>
          <w:sz w:val="20"/>
        </w:rPr>
      </w:pPr>
      <w:r>
        <w:rPr>
          <w:rFonts w:ascii="Arial" w:hAnsi="Arial"/>
          <w:b/>
          <w:i/>
          <w:color w:val="000000"/>
          <w:sz w:val="20"/>
        </w:rPr>
        <w:t>Technology and Development</w:t>
      </w:r>
    </w:p>
    <w:p>
      <w:pPr>
        <w:pStyle w:val="TextBody"/>
        <w:bidi w:val="0"/>
        <w:spacing w:before="0" w:after="200"/>
        <w:jc w:val="left"/>
        <w:rPr>
          <w:rFonts w:ascii="Arial" w:hAnsi="Arial"/>
          <w:color w:val="000000"/>
          <w:sz w:val="20"/>
        </w:rPr>
      </w:pPr>
      <w:r>
        <w:rPr>
          <w:rFonts w:ascii="Arial" w:hAnsi="Arial"/>
          <w:color w:val="000000"/>
          <w:sz w:val="20"/>
        </w:rPr>
        <w:t>Technology and development includes (i) costs incurred in connection with the development of our solution and the improvement of existing solutions, including the amortization of software and website development costs incurred in developing our solution, which are capitalized, and acquired developed technology, (ii) site operations and other infrastructure costs incurred, (iii) amortization related to capitalized cost to fulfill a contract, (iv) personnel-related expenses, including salaries, stock-based compensation and other expenses, (v) hardware and software engineering, consultant services, and other costs associated with our technology platform and products, (vi) research materials and facilities, and (vii) depreciation and maintenance expense.</w:t>
      </w:r>
    </w:p>
    <w:p>
      <w:pPr>
        <w:pStyle w:val="TextBody"/>
        <w:bidi w:val="0"/>
        <w:spacing w:before="0" w:after="200"/>
        <w:jc w:val="left"/>
        <w:rPr>
          <w:rFonts w:ascii="Arial" w:hAnsi="Arial"/>
          <w:color w:val="000000"/>
          <w:sz w:val="20"/>
        </w:rPr>
      </w:pPr>
      <w:r>
        <w:rPr>
          <w:rFonts w:ascii="Arial" w:hAnsi="Arial"/>
          <w:color w:val="000000"/>
          <w:sz w:val="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bidi w:val="0"/>
        <w:spacing w:before="0" w:after="200"/>
        <w:jc w:val="left"/>
        <w:rPr>
          <w:rFonts w:ascii="Arial" w:hAnsi="Arial"/>
          <w:b/>
          <w:i/>
          <w:color w:val="000000"/>
          <w:sz w:val="20"/>
        </w:rPr>
      </w:pPr>
      <w:r>
        <w:rPr>
          <w:rFonts w:ascii="Arial" w:hAnsi="Arial"/>
          <w:b/>
          <w:i/>
          <w:color w:val="000000"/>
          <w:sz w:val="20"/>
        </w:rPr>
        <w:t>Selling and Marketing</w:t>
      </w:r>
    </w:p>
    <w:p>
      <w:pPr>
        <w:pStyle w:val="TextBody"/>
        <w:bidi w:val="0"/>
        <w:spacing w:before="0" w:after="200"/>
        <w:jc w:val="left"/>
        <w:rPr>
          <w:rFonts w:ascii="Arial" w:hAnsi="Arial"/>
          <w:color w:val="000000"/>
          <w:sz w:val="20"/>
        </w:rPr>
      </w:pPr>
      <w:r>
        <w:rPr>
          <w:rFonts w:ascii="Arial" w:hAnsi="Arial"/>
          <w:color w:val="000000"/>
          <w:sz w:val="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pStyle w:val="TextBody"/>
        <w:bidi w:val="0"/>
        <w:spacing w:before="0" w:after="200"/>
        <w:jc w:val="left"/>
        <w:rPr>
          <w:rFonts w:ascii="Arial" w:hAnsi="Arial"/>
          <w:color w:val="000000"/>
          <w:sz w:val="20"/>
        </w:rPr>
      </w:pPr>
      <w:r>
        <w:rPr>
          <w:rFonts w:ascii="Arial" w:hAnsi="Arial"/>
          <w:color w:val="000000"/>
          <w:sz w:val="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bidi w:val="0"/>
        <w:spacing w:before="0" w:after="200"/>
        <w:jc w:val="left"/>
        <w:rPr>
          <w:rFonts w:ascii="Arial" w:hAnsi="Arial"/>
          <w:b/>
          <w:i/>
          <w:color w:val="000000"/>
          <w:sz w:val="20"/>
        </w:rPr>
      </w:pPr>
      <w:r>
        <w:rPr>
          <w:rFonts w:ascii="Arial" w:hAnsi="Arial"/>
          <w:b/>
          <w:i/>
          <w:color w:val="000000"/>
          <w:sz w:val="20"/>
        </w:rPr>
        <w:t>General and Administrative</w:t>
      </w:r>
    </w:p>
    <w:p>
      <w:pPr>
        <w:pStyle w:val="TextBody"/>
        <w:bidi w:val="0"/>
        <w:spacing w:before="0" w:after="200"/>
        <w:jc w:val="left"/>
        <w:rPr>
          <w:rFonts w:ascii="Arial" w:hAnsi="Arial"/>
          <w:color w:val="000000"/>
          <w:sz w:val="20"/>
        </w:rPr>
      </w:pPr>
      <w:r>
        <w:rPr>
          <w:rFonts w:ascii="Arial" w:hAnsi="Arial"/>
          <w:color w:val="000000"/>
          <w:sz w:val="20"/>
        </w:rPr>
        <w:t>General and administrative expenses consist of personnel-related expenses, including stock-based compensation expense for finance, risk management, legal and compliance, human resources, IT and other administrative functions, costs incurred for external professional services, as well as rent, and facility and insurance costs. We expect to incur additional general and administrative expenses as we continue to invest in our planned growth of our business, including certain costs incurred relating to our digital transformation initiative as described above under “Key Factors Affecting Our Performance”.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pStyle w:val="TextBody"/>
        <w:bidi w:val="0"/>
        <w:spacing w:before="0" w:after="200"/>
        <w:jc w:val="left"/>
        <w:rPr>
          <w:rFonts w:ascii="Arial" w:hAnsi="Arial"/>
          <w:b/>
          <w:i/>
          <w:color w:val="000000"/>
          <w:sz w:val="20"/>
        </w:rPr>
      </w:pPr>
      <w:r>
        <w:rPr>
          <w:rFonts w:ascii="Arial" w:hAnsi="Arial"/>
          <w:b/>
          <w:i/>
          <w:color w:val="000000"/>
          <w:sz w:val="20"/>
        </w:rPr>
        <w:t>Restructuring</w:t>
      </w:r>
    </w:p>
    <w:p>
      <w:pPr>
        <w:pStyle w:val="TextBody"/>
        <w:bidi w:val="0"/>
        <w:spacing w:before="0" w:after="200"/>
        <w:jc w:val="left"/>
        <w:rPr>
          <w:rFonts w:ascii="Times New Roman" w:hAnsi="Times New Roman"/>
          <w:sz w:val="20"/>
        </w:rPr>
      </w:pPr>
      <w:r>
        <w:rPr>
          <w:rFonts w:ascii="Arial" w:hAnsi="Arial"/>
          <w:color w:val="000000"/>
          <w:sz w:val="20"/>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Restructuring Plan announced in February 2025, related to employee transition, notice period, severance, employee benefits and facilitation costs.</w:t>
      </w:r>
    </w:p>
    <w:p>
      <w:pPr>
        <w:pStyle w:val="TextBody"/>
        <w:bidi w:val="0"/>
        <w:spacing w:before="0" w:after="200"/>
        <w:jc w:val="left"/>
        <w:rPr>
          <w:rFonts w:ascii="Arial" w:hAnsi="Arial"/>
          <w:b/>
          <w:i/>
          <w:color w:val="000000"/>
          <w:sz w:val="20"/>
        </w:rPr>
      </w:pPr>
      <w:r>
        <w:rPr>
          <w:rFonts w:ascii="Arial" w:hAnsi="Arial"/>
          <w:b/>
          <w:i/>
          <w:color w:val="000000"/>
          <w:sz w:val="20"/>
        </w:rPr>
        <w:t>Interest Expense</w:t>
      </w:r>
    </w:p>
    <w:p>
      <w:pPr>
        <w:pStyle w:val="TextBody"/>
        <w:bidi w:val="0"/>
        <w:spacing w:before="0" w:after="200"/>
        <w:jc w:val="left"/>
        <w:rPr>
          <w:rFonts w:ascii="Arial" w:hAnsi="Arial"/>
          <w:color w:val="000000"/>
          <w:sz w:val="20"/>
        </w:rPr>
      </w:pPr>
      <w:r>
        <w:rPr>
          <w:rFonts w:ascii="Arial" w:hAnsi="Arial"/>
          <w:color w:val="000000"/>
          <w:sz w:val="20"/>
        </w:rPr>
        <w:t>On February 23, 2024, we entered into an Amended and Restated Credit Agreement for a five-year senior secured revolving credit syndication loan (2024 Revolving Credit Facility) with four banks for a total commitment of $125.0 million. On August 1, 2025, we entered into an amendment (the 2025 Revolving Credit Facility Amendment) to the 2024 Revolving Credit Facility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w:t>
      </w:r>
    </w:p>
    <w:p>
      <w:pPr>
        <w:pStyle w:val="TextBody"/>
        <w:bidi w:val="0"/>
        <w:spacing w:before="0" w:after="200"/>
        <w:jc w:val="left"/>
        <w:rPr>
          <w:rFonts w:ascii="Arial" w:hAnsi="Arial"/>
          <w:color w:val="000000"/>
          <w:sz w:val="20"/>
        </w:rPr>
      </w:pPr>
      <w:r>
        <w:rPr>
          <w:rFonts w:ascii="Arial" w:hAnsi="Arial"/>
          <w:color w:val="000000"/>
          <w:sz w:val="20"/>
        </w:rPr>
        <w:t>Interest expense consists of interest, amortization of debt issuance costs, and unused commitment fees on our 2024 Amended Revolving Credit Facility. As of June 30, 2026 and December 31, 2025, there was no outstanding indebtedness under the 2024 Amended Revolving Credit Facility.</w:t>
      </w:r>
    </w:p>
    <w:p>
      <w:pPr>
        <w:pStyle w:val="TextBody"/>
        <w:bidi w:val="0"/>
        <w:spacing w:before="0" w:after="200"/>
        <w:jc w:val="left"/>
        <w:rPr>
          <w:rFonts w:ascii="Arial" w:hAnsi="Arial"/>
          <w:b/>
          <w:i/>
          <w:color w:val="000000"/>
          <w:sz w:val="20"/>
        </w:rPr>
      </w:pPr>
      <w:r>
        <w:rPr>
          <w:rFonts w:ascii="Arial" w:hAnsi="Arial"/>
          <w:b/>
          <w:i/>
          <w:color w:val="000000"/>
          <w:sz w:val="20"/>
        </w:rPr>
        <w:t>Interest Income</w:t>
      </w:r>
    </w:p>
    <w:p>
      <w:pPr>
        <w:pStyle w:val="TextBody"/>
        <w:bidi w:val="0"/>
        <w:spacing w:before="0" w:after="200"/>
        <w:jc w:val="left"/>
        <w:rPr>
          <w:rFonts w:ascii="Arial" w:hAnsi="Arial"/>
          <w:color w:val="000000"/>
          <w:sz w:val="20"/>
        </w:rPr>
      </w:pPr>
      <w:r>
        <w:rPr>
          <w:rFonts w:ascii="Arial" w:hAnsi="Arial"/>
          <w:color w:val="000000"/>
          <w:sz w:val="20"/>
        </w:rPr>
        <w:t>Interest income consists of interest on cash held in interest bearing operating accounts, including money market funds, and investments in available-for-sale debt securities.</w:t>
      </w:r>
    </w:p>
    <w:p>
      <w:pPr>
        <w:pStyle w:val="TextBody"/>
        <w:bidi w:val="0"/>
        <w:spacing w:before="0" w:after="200"/>
        <w:jc w:val="left"/>
        <w:rPr>
          <w:rFonts w:ascii="Arial" w:hAnsi="Arial"/>
          <w:b/>
          <w:i/>
          <w:color w:val="000000"/>
          <w:sz w:val="20"/>
        </w:rPr>
      </w:pPr>
      <w:r>
        <w:rPr>
          <w:rFonts w:ascii="Arial" w:hAnsi="Arial"/>
          <w:b/>
          <w:i/>
          <w:color w:val="000000"/>
          <w:sz w:val="20"/>
        </w:rPr>
        <w:t>(Loss) Gain from Remeasurement of Foreign Currency</w:t>
      </w:r>
    </w:p>
    <w:p>
      <w:pPr>
        <w:pStyle w:val="TextBody"/>
        <w:bidi w:val="0"/>
        <w:spacing w:before="0" w:after="200"/>
        <w:jc w:val="left"/>
        <w:rPr>
          <w:rFonts w:ascii="Arial" w:hAnsi="Arial"/>
          <w:color w:val="000000"/>
          <w:sz w:val="20"/>
        </w:rPr>
      </w:pPr>
      <w:r>
        <w:rPr>
          <w:rFonts w:ascii="Arial" w:hAnsi="Arial"/>
          <w:color w:val="000000"/>
          <w:sz w:val="20"/>
        </w:rPr>
        <w:t>(Loss) gain from remeasurement of foreign currency consists of realized and unrealized gains and losses from the remeasurement of foreign currency transactions into its functional currency, partially offset by foreign currency exchange forward contracts to hedge our foreign currency exposure.</w:t>
      </w:r>
    </w:p>
    <w:p>
      <w:pPr>
        <w:pStyle w:val="TextBody"/>
        <w:bidi w:val="0"/>
        <w:spacing w:before="0" w:after="200"/>
        <w:jc w:val="left"/>
        <w:rPr>
          <w:rFonts w:ascii="Arial" w:hAnsi="Arial"/>
          <w:b/>
          <w:i/>
          <w:color w:val="000000"/>
          <w:sz w:val="20"/>
        </w:rPr>
      </w:pPr>
      <w:r>
        <w:rPr>
          <w:rFonts w:ascii="Arial" w:hAnsi="Arial"/>
          <w:b/>
          <w:i/>
          <w:color w:val="000000"/>
          <w:sz w:val="20"/>
        </w:rPr>
        <w:t>Provision for Income Taxes</w:t>
      </w:r>
    </w:p>
    <w:p>
      <w:pPr>
        <w:pStyle w:val="TextBody"/>
        <w:bidi w:val="0"/>
        <w:spacing w:before="0" w:after="200"/>
        <w:jc w:val="left"/>
        <w:rPr>
          <w:rFonts w:ascii="Arial" w:hAnsi="Arial"/>
          <w:color w:val="000000"/>
          <w:sz w:val="20"/>
        </w:rPr>
      </w:pPr>
      <w:r>
        <w:rPr>
          <w:rFonts w:ascii="Arial" w:hAnsi="Arial"/>
          <w:color w:val="000000"/>
          <w:sz w:val="20"/>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pStyle w:val="TextBody"/>
        <w:bidi w:val="0"/>
        <w:jc w:val="left"/>
        <w:rPr>
          <w:rFonts w:ascii="Arial" w:hAnsi="Arial"/>
          <w:color w:val="000000"/>
          <w:sz w:val="20"/>
        </w:rPr>
      </w:pPr>
      <w:r>
        <w:rPr>
          <w:rFonts w:ascii="Arial" w:hAnsi="Arial"/>
          <w:color w:val="000000"/>
          <w:sz w:val="20"/>
        </w:rPr>
        <w:t>We have a valuation allowance on our net U.S. deferred tax assets, including federal and state NOLs. We expect to maintain these valuation allowances until it becomes more likely than not that the benefit of our deferred tax assets is realized through future taxable income generated in these jurisdictions.</w:t>
      </w:r>
    </w:p>
    <w:p>
      <w:pPr>
        <w:pStyle w:val="TextBody"/>
        <w:bidi w:val="0"/>
        <w:spacing w:before="200" w:after="283"/>
        <w:jc w:val="left"/>
        <w:rPr>
          <w:rFonts w:ascii="Arial" w:hAnsi="Arial"/>
          <w:b/>
          <w:color w:val="000000"/>
          <w:sz w:val="20"/>
        </w:rPr>
      </w:pPr>
      <w:r>
        <w:rPr>
          <w:rFonts w:ascii="Arial" w:hAnsi="Arial"/>
          <w:b/>
          <w:color w:val="000000"/>
          <w:sz w:val="20"/>
        </w:rPr>
        <w:t>Results of Operations</w:t>
      </w:r>
    </w:p>
    <w:p>
      <w:pPr>
        <w:pStyle w:val="TextBody"/>
        <w:bidi w:val="0"/>
        <w:spacing w:before="200" w:after="200"/>
        <w:jc w:val="left"/>
        <w:rPr>
          <w:rFonts w:ascii="Arial" w:hAnsi="Arial"/>
          <w:b/>
          <w:i/>
          <w:color w:val="000000"/>
          <w:sz w:val="20"/>
        </w:rPr>
      </w:pPr>
      <w:r>
        <w:rPr>
          <w:rFonts w:ascii="Arial" w:hAnsi="Arial"/>
          <w:b/>
          <w:i/>
          <w:color w:val="000000"/>
          <w:sz w:val="20"/>
        </w:rPr>
        <w:t>Comparison of results for the three months ended June 30, 2026 and 2025</w:t>
      </w:r>
    </w:p>
    <w:p>
      <w:pPr>
        <w:pStyle w:val="TextBody"/>
        <w:bidi w:val="0"/>
        <w:spacing w:before="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following table sets forth our consolidated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5215"/>
        <w:gridCol w:w="146"/>
        <w:gridCol w:w="305"/>
        <w:gridCol w:w="828"/>
        <w:gridCol w:w="211"/>
        <w:gridCol w:w="305"/>
        <w:gridCol w:w="848"/>
        <w:gridCol w:w="146"/>
        <w:gridCol w:w="243"/>
        <w:gridCol w:w="538"/>
        <w:gridCol w:w="146"/>
        <w:gridCol w:w="1274"/>
      </w:tblGrid>
      <w:tr>
        <w:trPr/>
        <w:tc>
          <w:tcPr>
            <w:tcW w:w="5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5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27.2%</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38.6%</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7.6%</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27.5%</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(100.0)%</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69.2%</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70.0%</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(36.4)%</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(174.4)%</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(162.5)%</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32.5%</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(56.1)%</w:t>
            </w:r>
          </w:p>
        </w:tc>
      </w:tr>
      <w:tr>
        <w:trPr/>
        <w:tc>
          <w:tcPr>
            <w:tcW w:w="5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losses on available-for-sale debt securities,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r>
    </w:tbl>
    <w:p>
      <w:pPr>
        <w:pStyle w:val="TextBody"/>
        <w:bidi w:val="0"/>
        <w:spacing w:before="200" w:after="200"/>
        <w:jc w:val="left"/>
        <w:rPr>
          <w:rFonts w:ascii="Arial" w:hAnsi="Arial"/>
          <w:i/>
          <w:color w:val="000000"/>
          <w:sz w:val="20"/>
        </w:rPr>
      </w:pPr>
      <w:r>
        <w:rPr>
          <w:rFonts w:ascii="Arial" w:hAnsi="Arial"/>
          <w:i/>
          <w:color w:val="000000"/>
          <w:sz w:val="20"/>
        </w:rPr>
        <w:t>Revenue</w:t>
      </w:r>
    </w:p>
    <w:p>
      <w:pPr>
        <w:pStyle w:val="TextBody"/>
        <w:bidi w:val="0"/>
        <w:spacing w:before="0" w:after="200"/>
        <w:jc w:val="left"/>
        <w:rPr>
          <w:rFonts w:ascii="Arial" w:hAnsi="Arial"/>
          <w:color w:val="000000"/>
          <w:sz w:val="20"/>
        </w:rPr>
      </w:pPr>
      <w:r>
        <w:rPr>
          <w:rFonts w:ascii="Arial" w:hAnsi="Arial"/>
          <w:color w:val="000000"/>
          <w:sz w:val="20"/>
        </w:rPr>
        <w:t>Revenue was $167.7 million for the three months ended June 30, 2026, compared to $131.9 million for the three months ended June 30, 2025, an increase of $35.8 million or 27.2%. Revenue is comprised of transaction revenue and platform and other revenues as follows:</w:t>
      </w:r>
    </w:p>
    <w:tbl>
      <w:tblPr>
        <w:tblW w:w="7100" w:type="dxa"/>
        <w:jc w:val="left"/>
        <w:tblInd w:w="0" w:type="dxa"/>
        <w:tblLayout w:type="fixed"/>
        <w:tblCellMar>
          <w:top w:w="28" w:type="dxa"/>
          <w:left w:w="28" w:type="dxa"/>
          <w:bottom w:w="28" w:type="dxa"/>
          <w:right w:w="28" w:type="dxa"/>
        </w:tblCellMar>
      </w:tblPr>
      <w:tblGrid>
        <w:gridCol w:w="2431"/>
        <w:gridCol w:w="146"/>
        <w:gridCol w:w="324"/>
        <w:gridCol w:w="876"/>
        <w:gridCol w:w="224"/>
        <w:gridCol w:w="324"/>
        <w:gridCol w:w="876"/>
        <w:gridCol w:w="146"/>
        <w:gridCol w:w="243"/>
        <w:gridCol w:w="538"/>
        <w:gridCol w:w="146"/>
        <w:gridCol w:w="82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Transaction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r>
    </w:tbl>
    <w:p>
      <w:pPr>
        <w:pStyle w:val="TextBody"/>
        <w:bidi w:val="0"/>
        <w:spacing w:before="200" w:after="200"/>
        <w:jc w:val="left"/>
        <w:rPr>
          <w:rFonts w:ascii="Arial" w:hAnsi="Arial"/>
          <w:color w:val="000000"/>
          <w:sz w:val="20"/>
        </w:rPr>
      </w:pPr>
      <w:r>
        <w:rPr>
          <w:rFonts w:ascii="Arial" w:hAnsi="Arial"/>
          <w:color w:val="000000"/>
          <w:sz w:val="20"/>
        </w:rPr>
        <w:t>Transaction revenue was $135.9 million for the three months ended June 30, 2026, compared to $100.6 million for the three months ended June 30, 2025, an increase of $35.3 million or 35.1%. The increase in transaction revenue was primarily driven by growth in transaction payment volumes for the three months ended June 30, 2026 from both our existing clients and new clients added during the three months ended June 30, 2026 compared to the prior period. Our transaction payment volume outpaced our revenue growth during the three months ended June 30, 2025, primarily due to the increase in domestic transactions that have a lower average monetization rate. Transaction payment volume increased 43.1% during the three months ended June 30, 2026, to $7.1 billion compared to $5.0 billion during the three months ended June 30, 2025.</w:t>
      </w:r>
    </w:p>
    <w:p>
      <w:pPr>
        <w:pStyle w:val="TextBody"/>
        <w:bidi w:val="0"/>
        <w:spacing w:before="0" w:after="200"/>
        <w:jc w:val="left"/>
        <w:rPr>
          <w:rFonts w:ascii="Arial" w:hAnsi="Arial"/>
          <w:color w:val="000000"/>
          <w:sz w:val="20"/>
        </w:rPr>
      </w:pPr>
      <w:r>
        <w:rPr>
          <w:rFonts w:ascii="Arial" w:hAnsi="Arial"/>
          <w:color w:val="000000"/>
          <w:sz w:val="20"/>
        </w:rPr>
        <w:t>Platform and other revenues were $31.8 million for the three months ended June 30, 2026, compared to $31.3 million for the three months ended June 30, 2025, an increase of $0.5 million or 1.7%. The increase in platform and other revenues was driven by an increase in utilization in our healthcare and SFS platform products, offset by our insurance business.</w:t>
      </w:r>
    </w:p>
    <w:p>
      <w:pPr>
        <w:pStyle w:val="TextBody"/>
        <w:bidi w:val="0"/>
        <w:spacing w:before="0" w:after="200"/>
        <w:jc w:val="left"/>
        <w:rPr>
          <w:rFonts w:ascii="Arial" w:hAnsi="Arial"/>
          <w:i/>
          <w:color w:val="000000"/>
          <w:sz w:val="20"/>
        </w:rPr>
      </w:pPr>
      <w:r>
        <w:rPr>
          <w:rFonts w:ascii="Arial" w:hAnsi="Arial"/>
          <w:i/>
          <w:color w:val="000000"/>
          <w:sz w:val="20"/>
        </w:rPr>
        <w:t>Payment Processing Services Costs</w:t>
      </w:r>
    </w:p>
    <w:p>
      <w:pPr>
        <w:pStyle w:val="TextBody"/>
        <w:bidi w:val="0"/>
        <w:spacing w:before="0" w:after="200"/>
        <w:jc w:val="left"/>
        <w:rPr>
          <w:rFonts w:ascii="Times New Roman" w:hAnsi="Times New Roman"/>
          <w:sz w:val="20"/>
        </w:rPr>
      </w:pPr>
      <w:r>
        <w:rPr>
          <w:rFonts w:ascii="Arial" w:hAnsi="Arial"/>
          <w:color w:val="000000"/>
          <w:sz w:val="20"/>
        </w:rPr>
        <w:t>Payment processing services costs were $74.7 million for the three months ended June 30, 2026, compared to $53.9 million for the three months ended June 30, 2025, an increase of $20.8 million or 38.6%. The increase in payment processing services costs was correlated with the increase in transaction payment volume of 43.1% over the same period. The increase was further driven by shifts in our business mix, including the expansion of our payment processing</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capabilities, which carry higher payment processing costs.</w:t>
      </w:r>
    </w:p>
    <w:p>
      <w:pPr>
        <w:pStyle w:val="TextBody"/>
        <w:bidi w:val="0"/>
        <w:spacing w:before="0" w:after="200"/>
        <w:jc w:val="left"/>
        <w:rPr>
          <w:rFonts w:ascii="Arial" w:hAnsi="Arial"/>
          <w:i/>
          <w:color w:val="000000"/>
          <w:sz w:val="20"/>
        </w:rPr>
      </w:pPr>
      <w:r>
        <w:rPr>
          <w:rFonts w:ascii="Arial" w:hAnsi="Arial"/>
          <w:i/>
          <w:color w:val="000000"/>
          <w:sz w:val="20"/>
        </w:rPr>
        <w:t>Technology and Development</w:t>
      </w:r>
    </w:p>
    <w:p>
      <w:pPr>
        <w:pStyle w:val="TextBody"/>
        <w:bidi w:val="0"/>
        <w:spacing w:before="0" w:after="200"/>
        <w:jc w:val="left"/>
        <w:rPr>
          <w:rFonts w:ascii="Times New Roman" w:hAnsi="Times New Roman"/>
          <w:sz w:val="20"/>
        </w:rPr>
      </w:pPr>
      <w:r>
        <w:rPr>
          <w:rFonts w:ascii="Arial" w:hAnsi="Arial"/>
          <w:color w:val="000000"/>
          <w:sz w:val="20"/>
        </w:rPr>
        <w:t>Technology and development expenses were $18.4 million for the three months ended June 30, 2026, compared to $17.1 million for the three months ended June 30, 2025, an increase of $1.3 million or 7.6%. The increase in technology and development cost was primarily driven by an increase in personnel costs, offset by a decrease in stock-based compensation and software tools.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Personnel costs were $12.8 million for the three months ended June 30, 2026 compared to $10.8 million for the three months ended June 30, 2025, an increase of $2.0 million or 18.7%. The increase in personnel costs was primarily driven by higher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Stock-based compensation expense was $2.5 million for the three months ended June 30, 2026 compared to $3.2 million for the three months ended June 30, 2025, a decrease of $0.6 million or 20.0%. The decrease in stock-based compensation was primarily driven by an initiative to control shareholder dilution by lowering the volume of equity awards granted to FlyMates, partially offset by growth in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Software tools were $1.1 million for the three months ended June 30, 2026 compared to $1.3 million for the three months ended June 30, 2025, a decrease of $0.1 million or 8.2%. The decrease in software tools was primarily due to optimization of our technology infrastructure.</w:t>
      </w:r>
    </w:p>
    <w:p>
      <w:pPr>
        <w:pStyle w:val="TextBody"/>
        <w:bidi w:val="0"/>
        <w:spacing w:before="200" w:after="200"/>
        <w:jc w:val="left"/>
        <w:rPr>
          <w:rFonts w:ascii="Arial" w:hAnsi="Arial"/>
          <w:i/>
          <w:color w:val="000000"/>
          <w:sz w:val="20"/>
        </w:rPr>
      </w:pPr>
      <w:r>
        <w:rPr>
          <w:rFonts w:ascii="Arial" w:hAnsi="Arial"/>
          <w:i/>
          <w:color w:val="000000"/>
          <w:sz w:val="20"/>
        </w:rPr>
        <w:t>Selling and Marketing</w:t>
      </w:r>
    </w:p>
    <w:p>
      <w:pPr>
        <w:pStyle w:val="TextBody"/>
        <w:bidi w:val="0"/>
        <w:spacing w:before="0" w:after="200"/>
        <w:jc w:val="left"/>
        <w:rPr>
          <w:rFonts w:ascii="Arial" w:hAnsi="Arial"/>
          <w:color w:val="000000"/>
          <w:sz w:val="20"/>
        </w:rPr>
      </w:pPr>
      <w:r>
        <w:rPr>
          <w:rFonts w:ascii="Arial" w:hAnsi="Arial"/>
          <w:color w:val="000000"/>
          <w:sz w:val="20"/>
        </w:rPr>
        <w:t>Selling and marketing expenses were $38.9 million for the three months ended June 30, 2026, compared to $38.4 million for the three months ended June 30, 2025, an increase of $0.5 million or 1.3%. The increase in selling and marketing expenses was primarily driven by stock-based compensation and personnel costs, offset by a decrease in engineering tools and professional fees.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Personnel costs were $18.9 million for the three months ended June 30, 2026, compared to $17.6 million for the three months ended June 30, 2025, an increase of $1.3 million or 7.2%. The increase in personnel costs was primarily due to the appointment of a new product head and higher employer payroll taxes incurred on equity award vesting events as a result of an increase in our stock price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Stock-based compensation was $5.9 million for the three months ended June 30, 2026, compared to $4.9 million for the three months ended June 30, 2025, an increase of $1.0 million or 21.3%. The increase in stock-based compensation was primarily due to the appointment of a new product head and to the new issuance of equity awards, related to our FlyMates from the acquisition of Sertifi, offset by our initiative to control shareholder dilution by lowering the volume of equity awards granted to FlyMates.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Engineering tools were $0.6 million for the three months ended June 30, 2026, compared to $1.3 million for the three months ended June 30, 2025, a decrease of $0.7 million or 53.8%. The decrease in engineering tools was primarily driven by the optimization of our technology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Professional fees were $5.2 million for the three months ended June 30, 2026, compared to $5.8 million for the three months ended June 30, 2025, a decrease of $0.6 million or 10.4%. The decrease in professional fees was primarily driven by a decrease in third-party fees due to contract optimization.</w:t>
      </w:r>
    </w:p>
    <w:p>
      <w:pPr>
        <w:pStyle w:val="TextBody"/>
        <w:bidi w:val="0"/>
        <w:spacing w:before="200" w:after="200"/>
        <w:jc w:val="left"/>
        <w:rPr>
          <w:rFonts w:ascii="Arial" w:hAnsi="Arial"/>
          <w:i/>
          <w:color w:val="000000"/>
          <w:sz w:val="20"/>
        </w:rPr>
      </w:pPr>
      <w:r>
        <w:rPr>
          <w:rFonts w:ascii="Arial" w:hAnsi="Arial"/>
          <w:i/>
          <w:color w:val="000000"/>
          <w:sz w:val="20"/>
        </w:rPr>
        <w:t>General and Administrative</w:t>
      </w:r>
    </w:p>
    <w:p>
      <w:pPr>
        <w:pStyle w:val="TextBody"/>
        <w:bidi w:val="0"/>
        <w:spacing w:before="0" w:after="200"/>
        <w:jc w:val="left"/>
        <w:rPr>
          <w:rFonts w:ascii="Arial" w:hAnsi="Arial"/>
          <w:color w:val="000000"/>
          <w:sz w:val="20"/>
        </w:rPr>
      </w:pPr>
      <w:r>
        <w:rPr>
          <w:rFonts w:ascii="Arial" w:hAnsi="Arial"/>
          <w:color w:val="000000"/>
          <w:sz w:val="20"/>
        </w:rPr>
        <w:t>General and administrative expenses were $38.5 million for the three months ended June 30, 2026, compared to $30.2 million for the three months ended June 30, 2025, an increase of $8.3 million or 27.5%. The increase in general and administrative expenses was primarily driven by an increase in engineering tools, professional fees, net hedging activity gains, and personnel costs.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Engineering tools were $5.0 million for the three months ended June 30, 2026, compared to $2.7 million for the three months ended June 30, 2025, an increase of $2.3 million or 84.2%. The increase in engineering tools was attributable to higher cloud hosting and infrastructure costs resulting from increased data processing and storage volumes and increased software licensing and subscription fees associated with headcount growth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Professional fees expense was $4.6 million for the three months ended June 30, 2026, compared to $2.7 million for the three months ended June 30, 2025, an increase of $2.0 million or 75.0%. The increase in professional fees was primarily driven by an increase in external consultants and legal fees.</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Net hedging activity losses were $1.0 million for the three months ended June 30, 2026, compared to a gain of $0.6 million for the three months ended June 30, 2025, a decrease of $1.6 million or 281.3%. The decrease in net hedging activity was primarily driven by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Personnel costs were $13.9 million for the three months ended June 30, 2026, compared to $12.5 million for the three months ended June 30, 2025, an increase of $1.4 million or 11.3%. The increase in personnel costs was primarily driven by higher headcount.</w:t>
      </w:r>
    </w:p>
    <w:p>
      <w:pPr>
        <w:pStyle w:val="TextBody"/>
        <w:bidi w:val="0"/>
        <w:spacing w:before="200" w:after="200"/>
        <w:jc w:val="left"/>
        <w:rPr>
          <w:rFonts w:ascii="Arial" w:hAnsi="Arial"/>
          <w:i/>
          <w:color w:val="000000"/>
          <w:sz w:val="20"/>
        </w:rPr>
      </w:pPr>
      <w:r>
        <w:rPr>
          <w:rFonts w:ascii="Arial" w:hAnsi="Arial"/>
          <w:i/>
          <w:color w:val="000000"/>
          <w:sz w:val="20"/>
        </w:rPr>
        <w:t>Restructuring</w:t>
      </w:r>
    </w:p>
    <w:p>
      <w:pPr>
        <w:pStyle w:val="TextBody"/>
        <w:bidi w:val="0"/>
        <w:spacing w:before="0" w:after="200"/>
        <w:jc w:val="left"/>
        <w:rPr>
          <w:rFonts w:ascii="Arial" w:hAnsi="Arial"/>
          <w:color w:val="000000"/>
          <w:sz w:val="20"/>
        </w:rPr>
      </w:pPr>
      <w:r>
        <w:rPr>
          <w:rFonts w:ascii="Arial" w:hAnsi="Arial"/>
          <w:color w:val="000000"/>
          <w:sz w:val="20"/>
        </w:rPr>
        <w:t>There were no restructuring expenses during the three months ended June 30, 2026, compared to $1.4 million for the three months ended June 30, 2025. Restructuring expenses for the three months ended June 30, 2025, included restructuring and restructuring-related expenses incurred as part of the Restructuring Plan announced in February 2025, related primarily to severance payments, employee benefits, and facilitation costs of $1.2 million and $0.2 million of expense related to the acceleration of stock-based compensation for terminated employees.</w:t>
      </w:r>
    </w:p>
    <w:p>
      <w:pPr>
        <w:pStyle w:val="TextBody"/>
        <w:bidi w:val="0"/>
        <w:spacing w:before="0" w:after="200"/>
        <w:jc w:val="left"/>
        <w:rPr>
          <w:rFonts w:ascii="Arial" w:hAnsi="Arial"/>
          <w:i/>
          <w:color w:val="000000"/>
          <w:sz w:val="20"/>
        </w:rPr>
      </w:pPr>
      <w:r>
        <w:rPr>
          <w:rFonts w:ascii="Arial" w:hAnsi="Arial"/>
          <w:i/>
          <w:color w:val="000000"/>
          <w:sz w:val="20"/>
        </w:rPr>
        <w:t>Interest Expense</w:t>
      </w:r>
    </w:p>
    <w:p>
      <w:pPr>
        <w:pStyle w:val="TextBody"/>
        <w:bidi w:val="0"/>
        <w:spacing w:before="0" w:after="200"/>
        <w:jc w:val="left"/>
        <w:rPr>
          <w:rFonts w:ascii="Arial" w:hAnsi="Arial"/>
          <w:color w:val="000000"/>
          <w:sz w:val="20"/>
        </w:rPr>
      </w:pPr>
      <w:r>
        <w:rPr>
          <w:rFonts w:ascii="Arial" w:hAnsi="Arial"/>
          <w:color w:val="000000"/>
          <w:sz w:val="20"/>
        </w:rPr>
        <w:t>Interest expense was $0.3 million for the three months ended June 30, 2026, compared to $1.0 million for the three months ended June 30, 2025, a decrease of $0.7 million or 70.0%. During the three months ended June 30, 2026, there was no outstanding indebtedness under the 2024 Amended Revolving Credit Facility. During the three months ended June 30, 2025, there was $60.0 million outstanding indebtedness under the 2024 Amended Revolving Credit Facility. Interest expense consists primarily of interest expense, amortization of debt issuance costs and unused commitment fees related to our 2024 Amended Revolving Credit Facility and our former 2024 Revolving Credit Facility.</w:t>
      </w:r>
    </w:p>
    <w:p>
      <w:pPr>
        <w:pStyle w:val="TextBody"/>
        <w:bidi w:val="0"/>
        <w:spacing w:before="0" w:after="200"/>
        <w:jc w:val="left"/>
        <w:rPr>
          <w:rFonts w:ascii="Arial" w:hAnsi="Arial"/>
          <w:i/>
          <w:color w:val="000000"/>
          <w:sz w:val="20"/>
        </w:rPr>
      </w:pPr>
      <w:r>
        <w:rPr>
          <w:rFonts w:ascii="Arial" w:hAnsi="Arial"/>
          <w:i/>
          <w:color w:val="000000"/>
          <w:sz w:val="20"/>
        </w:rPr>
        <w:t>Interest Income</w:t>
      </w:r>
    </w:p>
    <w:p>
      <w:pPr>
        <w:pStyle w:val="TextBody"/>
        <w:bidi w:val="0"/>
        <w:spacing w:before="0" w:after="200"/>
        <w:jc w:val="left"/>
        <w:rPr>
          <w:rFonts w:ascii="Arial" w:hAnsi="Arial"/>
          <w:color w:val="000000"/>
          <w:sz w:val="20"/>
        </w:rPr>
      </w:pPr>
      <w:r>
        <w:rPr>
          <w:rFonts w:ascii="Arial" w:hAnsi="Arial"/>
          <w:color w:val="000000"/>
          <w:sz w:val="20"/>
        </w:rPr>
        <w:t>Interest income was $0.7 million for the three months ended June 30, 2026, compared to $1.1 million for the three months ended June 30, 2025, a decrease of $0.4 million or 36.4%. The decrease in interest income was primarily attributable to the decrease in our investments.</w:t>
      </w:r>
    </w:p>
    <w:p>
      <w:pPr>
        <w:pStyle w:val="TextBody"/>
        <w:bidi w:val="0"/>
        <w:spacing w:before="0" w:after="200"/>
        <w:jc w:val="left"/>
        <w:rPr>
          <w:rFonts w:ascii="Arial" w:hAnsi="Arial"/>
          <w:i/>
          <w:color w:val="000000"/>
          <w:sz w:val="20"/>
        </w:rPr>
      </w:pPr>
      <w:r>
        <w:rPr>
          <w:rFonts w:ascii="Arial" w:hAnsi="Arial"/>
          <w:i/>
          <w:color w:val="000000"/>
          <w:sz w:val="20"/>
        </w:rPr>
        <w:t>(Loss) Gain from Remeasurement of Foreign Currency</w:t>
      </w:r>
    </w:p>
    <w:p>
      <w:pPr>
        <w:pStyle w:val="TextBody"/>
        <w:bidi w:val="0"/>
        <w:spacing w:before="0" w:after="200"/>
        <w:jc w:val="left"/>
        <w:rPr>
          <w:rFonts w:ascii="Arial" w:hAnsi="Arial"/>
          <w:color w:val="000000"/>
          <w:sz w:val="20"/>
        </w:rPr>
      </w:pPr>
      <w:r>
        <w:rPr>
          <w:rFonts w:ascii="Arial" w:hAnsi="Arial"/>
          <w:color w:val="000000"/>
          <w:sz w:val="20"/>
        </w:rPr>
        <w:t>Loss from remeasurement of foreign currency was $2.9 million for the three months ended June 30, 2026, compared to a gain of $3.9 million for three months ended June 30, 2025, a decrease of $6.8 million or 174.4%. The decrease was primarily the result of the remeasurement of foreign currency intercompany loan and related hedging instruments and the impact of fluctuations in exchange rates during respective remeasurement periods.</w:t>
      </w:r>
    </w:p>
    <w:p>
      <w:pPr>
        <w:pStyle w:val="TextBody"/>
        <w:bidi w:val="0"/>
        <w:spacing w:before="0" w:after="200"/>
        <w:jc w:val="left"/>
        <w:rPr>
          <w:rFonts w:ascii="Arial" w:hAnsi="Arial"/>
          <w:i/>
          <w:color w:val="000000"/>
          <w:sz w:val="20"/>
        </w:rPr>
      </w:pPr>
      <w:r>
        <w:rPr>
          <w:rFonts w:ascii="Arial" w:hAnsi="Arial"/>
          <w:i/>
          <w:color w:val="000000"/>
          <w:sz w:val="20"/>
        </w:rPr>
        <w:t>Gain on available-for-sale debt securities</w:t>
      </w:r>
    </w:p>
    <w:p>
      <w:pPr>
        <w:pStyle w:val="TextBody"/>
        <w:bidi w:val="0"/>
        <w:spacing w:before="0" w:after="200"/>
        <w:jc w:val="left"/>
        <w:rPr>
          <w:rFonts w:ascii="Arial" w:hAnsi="Arial"/>
          <w:color w:val="000000"/>
          <w:sz w:val="20"/>
        </w:rPr>
      </w:pPr>
      <w:r>
        <w:rPr>
          <w:rFonts w:ascii="Arial" w:hAnsi="Arial"/>
          <w:color w:val="000000"/>
          <w:sz w:val="20"/>
        </w:rPr>
        <w:t>There was no gain or loss on available-for-sale debt securities for the three months ended June 30, 2026, compared to a gain of less than $0.1 million for the three months ended June 30, 2025.</w:t>
      </w:r>
    </w:p>
    <w:p>
      <w:pPr>
        <w:pStyle w:val="TextBody"/>
        <w:bidi w:val="0"/>
        <w:spacing w:before="0" w:after="200"/>
        <w:jc w:val="left"/>
        <w:rPr>
          <w:rFonts w:ascii="Arial" w:hAnsi="Arial"/>
          <w:i/>
          <w:color w:val="000000"/>
          <w:sz w:val="20"/>
        </w:rPr>
      </w:pPr>
      <w:r>
        <w:rPr>
          <w:rFonts w:ascii="Arial" w:hAnsi="Arial"/>
          <w:i/>
          <w:color w:val="000000"/>
          <w:sz w:val="20"/>
        </w:rPr>
        <w:t>Provision for Income Taxes</w:t>
      </w:r>
    </w:p>
    <w:p>
      <w:pPr>
        <w:pStyle w:val="TextBody"/>
        <w:bidi w:val="0"/>
        <w:jc w:val="left"/>
        <w:rPr>
          <w:rFonts w:ascii="Arial" w:hAnsi="Arial"/>
          <w:color w:val="000000"/>
          <w:sz w:val="20"/>
        </w:rPr>
      </w:pPr>
      <w:r>
        <w:rPr>
          <w:rFonts w:ascii="Arial" w:hAnsi="Arial"/>
          <w:color w:val="000000"/>
          <w:sz w:val="20"/>
        </w:rPr>
        <w:t>Provision for income taxes was $2.8 million during the three months ended June 30, 2026, compared to $7.0 million during the three months ended June 30, 2025, a decrease of $4.2 million or 59.5%. The provision for income taxes for the three months ended June 30, 2026 and 2025, was primarily attributable to activity in our foreign subsidiaries and U.S. state taxes. Our effective tax rate was (53.2%) for the three months ended June 30, 2026, compared to (138.8%) for three months ended June 30, 2025.</w:t>
      </w:r>
    </w:p>
    <w:p>
      <w:pPr>
        <w:pStyle w:val="TextBody"/>
        <w:bidi w:val="0"/>
        <w:spacing w:before="200" w:after="200"/>
        <w:jc w:val="left"/>
        <w:rPr>
          <w:rFonts w:ascii="Arial" w:hAnsi="Arial"/>
          <w:b/>
          <w:i/>
          <w:color w:val="000000"/>
          <w:sz w:val="20"/>
        </w:rPr>
      </w:pPr>
      <w:r>
        <w:rPr>
          <w:rFonts w:ascii="Arial" w:hAnsi="Arial"/>
          <w:b/>
          <w:i/>
          <w:color w:val="000000"/>
          <w:sz w:val="20"/>
        </w:rPr>
        <w:t>Comparison of results for the six months ended June 30, 2026 and 2025</w:t>
      </w:r>
    </w:p>
    <w:p>
      <w:pPr>
        <w:pStyle w:val="TextBody"/>
        <w:bidi w:val="0"/>
        <w:spacing w:before="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following table sets forth our consolidated results of operations for periods presented:</w:t>
      </w:r>
    </w:p>
    <w:tbl>
      <w:tblPr>
        <w:tblW w:w="10205" w:type="dxa"/>
        <w:jc w:val="left"/>
        <w:tblInd w:w="0" w:type="dxa"/>
        <w:tblLayout w:type="fixed"/>
        <w:tblCellMar>
          <w:top w:w="28" w:type="dxa"/>
          <w:left w:w="28" w:type="dxa"/>
          <w:bottom w:w="28" w:type="dxa"/>
          <w:right w:w="28" w:type="dxa"/>
        </w:tblCellMar>
      </w:tblPr>
      <w:tblGrid>
        <w:gridCol w:w="5375"/>
        <w:gridCol w:w="146"/>
        <w:gridCol w:w="285"/>
        <w:gridCol w:w="772"/>
        <w:gridCol w:w="197"/>
        <w:gridCol w:w="285"/>
        <w:gridCol w:w="791"/>
        <w:gridCol w:w="146"/>
        <w:gridCol w:w="243"/>
        <w:gridCol w:w="538"/>
        <w:gridCol w:w="146"/>
        <w:gridCol w:w="1281"/>
      </w:tblGrid>
      <w:tr>
        <w:trPr/>
        <w:tc>
          <w:tcPr>
            <w:tcW w:w="5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5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34.1%</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45.6%</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11.2%</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6.0%</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24.1%</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(100.0)%</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140.0%</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66.7%</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(60.0)%</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(94.7)%</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(100.0)%</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127.2%</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(78.5)%</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losses on available-for-sale debt securities,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190.0%</w:t>
            </w:r>
          </w:p>
        </w:tc>
      </w:tr>
    </w:tbl>
    <w:p>
      <w:pPr>
        <w:pStyle w:val="TextBody"/>
        <w:bidi w:val="0"/>
        <w:spacing w:before="200" w:after="200"/>
        <w:jc w:val="left"/>
        <w:rPr>
          <w:rFonts w:ascii="Arial" w:hAnsi="Arial"/>
          <w:i/>
          <w:color w:val="000000"/>
          <w:sz w:val="20"/>
        </w:rPr>
      </w:pPr>
      <w:r>
        <w:rPr>
          <w:rFonts w:ascii="Arial" w:hAnsi="Arial"/>
          <w:i/>
          <w:color w:val="000000"/>
          <w:sz w:val="20"/>
        </w:rPr>
        <w:t>Revenue</w:t>
      </w:r>
    </w:p>
    <w:p>
      <w:pPr>
        <w:pStyle w:val="TextBody"/>
        <w:bidi w:val="0"/>
        <w:spacing w:before="0" w:after="200"/>
        <w:jc w:val="left"/>
        <w:rPr>
          <w:rFonts w:ascii="Arial" w:hAnsi="Arial"/>
          <w:color w:val="000000"/>
          <w:sz w:val="20"/>
        </w:rPr>
      </w:pPr>
      <w:r>
        <w:rPr>
          <w:rFonts w:ascii="Arial" w:hAnsi="Arial"/>
          <w:color w:val="000000"/>
          <w:sz w:val="20"/>
        </w:rPr>
        <w:t>Revenue was $355.9 million for the six months ended June 30, 2026, compared to $265.3 million for the six months ended June 30, 2025, an increase of $90.6 million or 34.1%. Revenue is comprised of transaction revenue and platform and other revenues as follows:</w:t>
      </w:r>
    </w:p>
    <w:tbl>
      <w:tblPr>
        <w:tblW w:w="6874" w:type="dxa"/>
        <w:jc w:val="left"/>
        <w:tblInd w:w="0" w:type="dxa"/>
        <w:tblLayout w:type="fixed"/>
        <w:tblCellMar>
          <w:top w:w="28" w:type="dxa"/>
          <w:left w:w="28" w:type="dxa"/>
          <w:bottom w:w="28" w:type="dxa"/>
          <w:right w:w="28" w:type="dxa"/>
        </w:tblCellMar>
      </w:tblPr>
      <w:tblGrid>
        <w:gridCol w:w="2431"/>
        <w:gridCol w:w="146"/>
        <w:gridCol w:w="296"/>
        <w:gridCol w:w="801"/>
        <w:gridCol w:w="204"/>
        <w:gridCol w:w="296"/>
        <w:gridCol w:w="801"/>
        <w:gridCol w:w="146"/>
        <w:gridCol w:w="243"/>
        <w:gridCol w:w="538"/>
        <w:gridCol w:w="146"/>
        <w:gridCol w:w="82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Transaction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r>
    </w:tbl>
    <w:p>
      <w:pPr>
        <w:pStyle w:val="TextBody"/>
        <w:bidi w:val="0"/>
        <w:spacing w:before="200" w:after="200"/>
        <w:jc w:val="left"/>
        <w:rPr>
          <w:rFonts w:ascii="Arial" w:hAnsi="Arial"/>
          <w:color w:val="000000"/>
          <w:sz w:val="20"/>
        </w:rPr>
      </w:pPr>
      <w:r>
        <w:rPr>
          <w:rFonts w:ascii="Arial" w:hAnsi="Arial"/>
          <w:color w:val="000000"/>
          <w:sz w:val="20"/>
        </w:rPr>
        <w:t>Transaction revenue was $291.1 million for the six months ended June 30, 2026, compared to $209.1 million for the six months ended June 30, 2025, an increase of $82.0 million or 39.2%. The increase in transaction revenue was primarily driven by growth in transaction payment volumes for the six months ended June 30, 2026 from both our existing clients and new clients added during the six months ended June 30, 2026 compared to the prior period. The increase also included the full-period impact of the Sertifi acquisition that occurred in February 2025, including higher payment volumes from SertifiPay. Our transaction payment volume outpaced our revenue growth during the six months ended June 30, 2026, due to payment mix which impacts our monetization rates. Transaction payment volume increased 44.3% during the six months ended June 30, 2026, to $16.5 billion compared to $11.4 billion during the six months ended June 30, 2025.</w:t>
      </w:r>
    </w:p>
    <w:p>
      <w:pPr>
        <w:pStyle w:val="TextBody"/>
        <w:bidi w:val="0"/>
        <w:spacing w:before="0" w:after="200"/>
        <w:jc w:val="left"/>
        <w:rPr>
          <w:rFonts w:ascii="Arial" w:hAnsi="Arial"/>
          <w:color w:val="000000"/>
          <w:sz w:val="20"/>
        </w:rPr>
      </w:pPr>
      <w:r>
        <w:rPr>
          <w:rFonts w:ascii="Arial" w:hAnsi="Arial"/>
          <w:color w:val="000000"/>
          <w:sz w:val="20"/>
        </w:rPr>
        <w:t>Platform and other revenues were $64.8 million for the six months ended June 30, 2026, compared to $56.3 million for the six months ended June 30, 2025, an increase of $8.5 million or 15.1%. The increase in platform and other revenues was driven by the Sertifi acquisition and an increase in utilization in our healthcare and SFS platform products, offset by our insurance business.</w:t>
      </w:r>
    </w:p>
    <w:p>
      <w:pPr>
        <w:pStyle w:val="TextBody"/>
        <w:bidi w:val="0"/>
        <w:spacing w:before="0" w:after="200"/>
        <w:jc w:val="left"/>
        <w:rPr>
          <w:rFonts w:ascii="Arial" w:hAnsi="Arial"/>
          <w:i/>
          <w:color w:val="000000"/>
          <w:sz w:val="20"/>
        </w:rPr>
      </w:pPr>
      <w:r>
        <w:rPr>
          <w:rFonts w:ascii="Arial" w:hAnsi="Arial"/>
          <w:i/>
          <w:color w:val="000000"/>
          <w:sz w:val="20"/>
        </w:rPr>
        <w:t>Payment Processing Services Costs</w:t>
      </w:r>
    </w:p>
    <w:p>
      <w:pPr>
        <w:pStyle w:val="TextBody"/>
        <w:bidi w:val="0"/>
        <w:spacing w:before="0" w:after="200"/>
        <w:jc w:val="left"/>
        <w:rPr>
          <w:rFonts w:ascii="Times New Roman" w:hAnsi="Times New Roman"/>
          <w:sz w:val="20"/>
        </w:rPr>
      </w:pPr>
      <w:r>
        <w:rPr>
          <w:rFonts w:ascii="Arial" w:hAnsi="Arial"/>
          <w:color w:val="000000"/>
          <w:sz w:val="20"/>
        </w:rPr>
        <w:t>Payment processing services costs were $152.2 million for the six months ended June 30, 2026, compared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$104.5 million for the six months ended June 30, 2025, an increase of $47.7 million or 45.6%. The increase in payment processing services costs was correlated with the increase in transaction payment volume of 44.3% over the same period. The increase was further driven by shifts in our business mix, including the expansion of our payment processing capabilities, which carry higher payment processing costs.</w:t>
      </w:r>
    </w:p>
    <w:p>
      <w:pPr>
        <w:pStyle w:val="TextBody"/>
        <w:bidi w:val="0"/>
        <w:spacing w:before="0" w:after="200"/>
        <w:jc w:val="left"/>
        <w:rPr>
          <w:rFonts w:ascii="Arial" w:hAnsi="Arial"/>
          <w:i/>
          <w:color w:val="000000"/>
          <w:sz w:val="20"/>
        </w:rPr>
      </w:pPr>
      <w:r>
        <w:rPr>
          <w:rFonts w:ascii="Arial" w:hAnsi="Arial"/>
          <w:i/>
          <w:color w:val="000000"/>
          <w:sz w:val="20"/>
        </w:rPr>
        <w:t>Technology and Development</w:t>
      </w:r>
    </w:p>
    <w:p>
      <w:pPr>
        <w:pStyle w:val="TextBody"/>
        <w:bidi w:val="0"/>
        <w:spacing w:before="0" w:after="200"/>
        <w:jc w:val="left"/>
        <w:rPr>
          <w:rFonts w:ascii="Times New Roman" w:hAnsi="Times New Roman"/>
          <w:sz w:val="20"/>
        </w:rPr>
      </w:pPr>
      <w:r>
        <w:rPr>
          <w:rFonts w:ascii="Arial" w:hAnsi="Arial"/>
          <w:color w:val="000000"/>
          <w:sz w:val="20"/>
        </w:rPr>
        <w:t>Technology and development expenses were $37.8 million for the six months ended June 30, 2026, compared to $34.0 million for the six months ended June 30, 2025, an increase of $3.8 million or 11.2%. The increase in technology and development cost was primarily driven by an increase in personnel costs, offset by a decrease in stock-based compensation.</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Personnel costs were $25.9 million for the six months ended June 30, 2026, compared to $21.6 million for the six months ended June 30, 2025, an increase of $4.3 million or 20.0%. The increase in personnel costs was primarily driven by higher headcount, including the full-period impact of the Sertifi acquisition completed on February 24, 2025, compared to only a partial period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Stock-based compensation expense was $5.7 million for the six months ended June 30, 2026, compared to $6.3 million for the six months ended June 30, 2025, a decrease of $0.6 million or 9.0%. The decrease in stock-based compensation was primarily driven by an initiative to control shareholder dilution by lowering the volume of equity awards granted to FlyMates, partially offset by growth in headcount.</w:t>
      </w:r>
    </w:p>
    <w:p>
      <w:pPr>
        <w:pStyle w:val="TextBody"/>
        <w:bidi w:val="0"/>
        <w:spacing w:before="200" w:after="200"/>
        <w:jc w:val="left"/>
        <w:rPr>
          <w:rFonts w:ascii="Arial" w:hAnsi="Arial"/>
          <w:i/>
          <w:color w:val="000000"/>
          <w:sz w:val="20"/>
        </w:rPr>
      </w:pPr>
      <w:r>
        <w:rPr>
          <w:rFonts w:ascii="Arial" w:hAnsi="Arial"/>
          <w:i/>
          <w:color w:val="000000"/>
          <w:sz w:val="20"/>
        </w:rPr>
        <w:t>Selling and Marketing</w:t>
      </w:r>
    </w:p>
    <w:p>
      <w:pPr>
        <w:pStyle w:val="TextBody"/>
        <w:bidi w:val="0"/>
        <w:spacing w:before="0" w:after="200"/>
        <w:jc w:val="left"/>
        <w:rPr>
          <w:rFonts w:ascii="Arial" w:hAnsi="Arial"/>
          <w:color w:val="000000"/>
          <w:sz w:val="20"/>
        </w:rPr>
      </w:pPr>
      <w:r>
        <w:rPr>
          <w:rFonts w:ascii="Arial" w:hAnsi="Arial"/>
          <w:color w:val="000000"/>
          <w:sz w:val="20"/>
        </w:rPr>
        <w:t>Selling and marketing expenses were $79.4 million for the six months ended June 30, 2026, compared to $74.9 million for the six months ended June 30, 2025, an increase of $4.5 million or 6.0%. The increase in selling and marketing expenses was primarily driven by an increase in depreciation and amortization and stock-based compensation.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Depreciation and amortization were $9.7 million for the six months ended June 30, 2026, compared to $7.3 million for the six months ended June 30, 2025, an increase of $2.4 million or 32.4%. The increase in depreciation and amortization was primarily due to acquired intangibles relating to the Sertifi acquisition completed in February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Stock-based compensation was $10.9 million for the six months ended June 30, 2026, compared to $9.2 million for the six months ended June 30, 2025, an increase of $1.7 million or 18.7%. The increase in stock-based compensation was primarily due to the appointment of a new product head and to the scheduled issuance of second-year equity awards, related to our FlyMates from the acquisition of Sertifi, offset by our initiative to control shareholder dilution by lowering the volume of equity awards granted to FlyMates.</w:t>
      </w:r>
    </w:p>
    <w:p>
      <w:pPr>
        <w:pStyle w:val="TextBody"/>
        <w:bidi w:val="0"/>
        <w:spacing w:before="200" w:after="200"/>
        <w:jc w:val="left"/>
        <w:rPr>
          <w:rFonts w:ascii="Arial" w:hAnsi="Arial"/>
          <w:i/>
          <w:color w:val="000000"/>
          <w:sz w:val="20"/>
        </w:rPr>
      </w:pPr>
      <w:r>
        <w:rPr>
          <w:rFonts w:ascii="Arial" w:hAnsi="Arial"/>
          <w:i/>
          <w:color w:val="000000"/>
          <w:sz w:val="20"/>
        </w:rPr>
        <w:t>General and Administrative</w:t>
      </w:r>
    </w:p>
    <w:p>
      <w:pPr>
        <w:pStyle w:val="TextBody"/>
        <w:bidi w:val="0"/>
        <w:spacing w:before="0" w:after="200"/>
        <w:jc w:val="left"/>
        <w:rPr>
          <w:rFonts w:ascii="Arial" w:hAnsi="Arial"/>
          <w:color w:val="000000"/>
          <w:sz w:val="20"/>
        </w:rPr>
      </w:pPr>
      <w:r>
        <w:rPr>
          <w:rFonts w:ascii="Arial" w:hAnsi="Arial"/>
          <w:color w:val="000000"/>
          <w:sz w:val="20"/>
        </w:rPr>
        <w:t>General and administrative expenses were $78.4 million for the six months ended June 30, 2026, compared to $63.2 million for the six months ended June 30, 2025, an increase of $15.2 million or 24.1%. The increase in general and administrative expenses was primarily driven by increases in personnel costs, engineering tools, professional fees, the change in fair value of contingent consideration, offset by a decrease in acquisition costs.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Personnel costs were $29.1 million for the six months ended June 30, 2026, compared to $24.2 million for the six months ended June 30, 2025, an increase of $4.9 million or 20.0%. The increase in personnel costs was attributable to an increase in headcount, including the full-period impact of the Sertifi acquisition completed on February 24,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Engineering tools were $9.3 million for the six months ended June 30, 2026, compared to $5.3 million for the six months ended June 30, 2025, an increase of $4.0 million or 73.8%. The increase in engineering tools was primarily driven by an higher cloud hosting and infrastructure costs resulting from increased data processing and storage volumes and increased software licensing and subscription fees associated with headcount growth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Professional fees expense was $9.5 million for the six months ended June 30, 2026, compared to $6.3 million for the six months ended June 30, 2025, an increase of $3.2 million or 50.6%. The increase in professional fees was primarily driven by an increase in external consultants and legal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change in the fair value of contingent consideration was $1.7 million for the six months ended June 30, 2026, compared to a reduction of $0.5 million for the six months ended June 30, 2025, an increase of $2.2 million or 445.6%. The increase in the change in the fair value of contingent consideration was primarily driven by the Sertifi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were no acquisition costs for the six months ended June 30, 2026, compared to $2.5 million for the six months ended June 30, 2025, a decrease of $2.5 million or 100.0%. The decrease in acquisition costs was attributable to the Sertifi acquisition during the three months ended March 31, 2025.</w:t>
      </w:r>
    </w:p>
    <w:p>
      <w:pPr>
        <w:pStyle w:val="TextBody"/>
        <w:bidi w:val="0"/>
        <w:spacing w:before="200" w:after="200"/>
        <w:jc w:val="left"/>
        <w:rPr>
          <w:rFonts w:ascii="Arial" w:hAnsi="Arial"/>
          <w:i/>
          <w:color w:val="000000"/>
          <w:sz w:val="20"/>
        </w:rPr>
      </w:pPr>
      <w:r>
        <w:rPr>
          <w:rFonts w:ascii="Arial" w:hAnsi="Arial"/>
          <w:i/>
          <w:color w:val="000000"/>
          <w:sz w:val="20"/>
        </w:rPr>
        <w:t>Restructuring</w:t>
      </w:r>
    </w:p>
    <w:p>
      <w:pPr>
        <w:pStyle w:val="TextBody"/>
        <w:bidi w:val="0"/>
        <w:spacing w:before="0" w:after="200"/>
        <w:jc w:val="left"/>
        <w:rPr>
          <w:rFonts w:ascii="Times New Roman" w:hAnsi="Times New Roman"/>
          <w:sz w:val="20"/>
        </w:rPr>
      </w:pPr>
      <w:r>
        <w:rPr>
          <w:rFonts w:ascii="Arial" w:hAnsi="Arial"/>
          <w:color w:val="000000"/>
          <w:sz w:val="20"/>
        </w:rPr>
        <w:t>There were no restructuring expenses during the six months ended June 30, 2026, compared to $8.7 million for the six months ended June 30, 2025. Restructuring expenses for the six months ended June 30, 2025, included restructuring and restructuring-related expenses incurred as part of the Restructuring Plan announced in February 2025, related primarily to severance payments, employee benefits, and facilitation costs</w:t>
      </w:r>
      <w:r>
        <w:rPr>
          <w:rFonts w:ascii="Times New Roman" w:hAnsi="Times New Roman"/>
          <w:color w:val="000000"/>
          <w:sz w:val="20"/>
        </w:rPr>
        <w:t xml:space="preserve"> </w:t>
      </w:r>
      <w:r>
        <w:rPr>
          <w:rFonts w:ascii="Arial" w:hAnsi="Arial"/>
          <w:color w:val="000000"/>
          <w:sz w:val="20"/>
        </w:rPr>
        <w:t>of $6.3 million and $2.4 million of expense related to the acceleration of stock-based compensation for terminated employees</w:t>
      </w:r>
      <w:r>
        <w:rPr>
          <w:rFonts w:ascii="Times New Roman" w:hAnsi="Times New Roman"/>
          <w:color w:val="000000"/>
          <w:sz w:val="20"/>
        </w:rPr>
        <w:t>.</w:t>
      </w:r>
    </w:p>
    <w:p>
      <w:pPr>
        <w:pStyle w:val="TextBody"/>
        <w:bidi w:val="0"/>
        <w:spacing w:before="0" w:after="200"/>
        <w:jc w:val="left"/>
        <w:rPr>
          <w:rFonts w:ascii="Arial" w:hAnsi="Arial"/>
          <w:i/>
          <w:color w:val="000000"/>
          <w:sz w:val="20"/>
        </w:rPr>
      </w:pPr>
      <w:r>
        <w:rPr>
          <w:rFonts w:ascii="Arial" w:hAnsi="Arial"/>
          <w:i/>
          <w:color w:val="000000"/>
          <w:sz w:val="20"/>
        </w:rPr>
        <w:t>Interest Expense</w:t>
      </w:r>
    </w:p>
    <w:p>
      <w:pPr>
        <w:pStyle w:val="TextBody"/>
        <w:bidi w:val="0"/>
        <w:spacing w:before="0" w:after="200"/>
        <w:jc w:val="left"/>
        <w:rPr>
          <w:rFonts w:ascii="Arial" w:hAnsi="Arial"/>
          <w:color w:val="000000"/>
          <w:sz w:val="20"/>
        </w:rPr>
      </w:pPr>
      <w:r>
        <w:rPr>
          <w:rFonts w:ascii="Arial" w:hAnsi="Arial"/>
          <w:color w:val="000000"/>
          <w:sz w:val="20"/>
        </w:rPr>
        <w:t>Interest expense was $0.6 million for the six months ended June 30, 2026, compared to $1.8 million for the six months ended June 30, 2025, a decrease of $1.2 million or 66.7%. During the six months ended June 30, 2026, there was no outstanding indebtedness under the 2024 Amended Revolving Credit Facility. During the six months ended June 30, 2025, we drew down $125.0 million to partially fund the acquisition of Sertifi and repaid $65.0 million from our 2024 Amended Revolving Credit Facility. Interest expense consists primarily of interest expense, amortization of debt issuance costs and unused commitment fees related to our 2024 Amended Revolving Credit Facility and our former 2024 Revolving Credit Facility.</w:t>
      </w:r>
    </w:p>
    <w:p>
      <w:pPr>
        <w:pStyle w:val="TextBody"/>
        <w:bidi w:val="0"/>
        <w:spacing w:before="0" w:after="200"/>
        <w:jc w:val="left"/>
        <w:rPr>
          <w:rFonts w:ascii="Arial" w:hAnsi="Arial"/>
          <w:i/>
          <w:color w:val="000000"/>
          <w:sz w:val="20"/>
        </w:rPr>
      </w:pPr>
      <w:r>
        <w:rPr>
          <w:rFonts w:ascii="Arial" w:hAnsi="Arial"/>
          <w:i/>
          <w:color w:val="000000"/>
          <w:sz w:val="20"/>
        </w:rPr>
        <w:t>Interest Income</w:t>
      </w:r>
    </w:p>
    <w:p>
      <w:pPr>
        <w:pStyle w:val="TextBody"/>
        <w:bidi w:val="0"/>
        <w:spacing w:before="0" w:after="200"/>
        <w:jc w:val="left"/>
        <w:rPr>
          <w:rFonts w:ascii="Arial" w:hAnsi="Arial"/>
          <w:color w:val="000000"/>
          <w:sz w:val="20"/>
        </w:rPr>
      </w:pPr>
      <w:r>
        <w:rPr>
          <w:rFonts w:ascii="Arial" w:hAnsi="Arial"/>
          <w:color w:val="000000"/>
          <w:sz w:val="20"/>
        </w:rPr>
        <w:t>Interest income was $1.6 million for the six months ended June 30, 2026, compared to $4.0 million for the six months ended June 30, 2025, a decrease of $2.4 million or 60.0%. The decrease in interest income was primarily attributable to the decrease in our cash and cash equivalents, short-term investments, and long-term investments as a result of the use of cash for the acquisition of Sertifi on February 24, 2025.</w:t>
      </w:r>
    </w:p>
    <w:p>
      <w:pPr>
        <w:pStyle w:val="TextBody"/>
        <w:bidi w:val="0"/>
        <w:spacing w:before="0" w:after="200"/>
        <w:jc w:val="left"/>
        <w:rPr>
          <w:rFonts w:ascii="Arial" w:hAnsi="Arial"/>
          <w:i/>
          <w:color w:val="000000"/>
          <w:sz w:val="20"/>
        </w:rPr>
      </w:pPr>
      <w:r>
        <w:rPr>
          <w:rFonts w:ascii="Arial" w:hAnsi="Arial"/>
          <w:i/>
          <w:color w:val="000000"/>
          <w:sz w:val="20"/>
        </w:rPr>
        <w:t>Gain from Remeasurement of Foreign Currency</w:t>
      </w:r>
    </w:p>
    <w:p>
      <w:pPr>
        <w:pStyle w:val="TextBody"/>
        <w:bidi w:val="0"/>
        <w:spacing w:before="0" w:after="200"/>
        <w:jc w:val="left"/>
        <w:rPr>
          <w:rFonts w:ascii="Arial" w:hAnsi="Arial"/>
          <w:color w:val="000000"/>
          <w:sz w:val="20"/>
        </w:rPr>
      </w:pPr>
      <w:r>
        <w:rPr>
          <w:rFonts w:ascii="Arial" w:hAnsi="Arial"/>
          <w:color w:val="000000"/>
          <w:sz w:val="20"/>
        </w:rPr>
        <w:t>Gain from remeasurement of foreign currency was $0.4 million for the six months ended June 30, 2026, compared to $7.5 million for the six months ended June 30, 2025, a decrease of $7.1 million or 94.7%. The decrease was primarily the result of the remeasurement of foreign currency intercompany loans and related hedging instruments and the impact of fluctuations in exchange rates during respective remeasurement periods.</w:t>
      </w:r>
    </w:p>
    <w:p>
      <w:pPr>
        <w:pStyle w:val="TextBody"/>
        <w:bidi w:val="0"/>
        <w:spacing w:before="0" w:after="200"/>
        <w:jc w:val="left"/>
        <w:rPr>
          <w:rFonts w:ascii="Arial" w:hAnsi="Arial"/>
          <w:i/>
          <w:color w:val="000000"/>
          <w:sz w:val="20"/>
        </w:rPr>
      </w:pPr>
      <w:r>
        <w:rPr>
          <w:rFonts w:ascii="Arial" w:hAnsi="Arial"/>
          <w:i/>
          <w:color w:val="000000"/>
          <w:sz w:val="20"/>
        </w:rPr>
        <w:t>Gain on Available-for-Sale Debt Securities</w:t>
      </w:r>
    </w:p>
    <w:p>
      <w:pPr>
        <w:pStyle w:val="TextBody"/>
        <w:bidi w:val="0"/>
        <w:spacing w:before="0" w:after="200"/>
        <w:jc w:val="left"/>
        <w:rPr>
          <w:rFonts w:ascii="Arial" w:hAnsi="Arial"/>
          <w:color w:val="000000"/>
          <w:sz w:val="20"/>
        </w:rPr>
      </w:pPr>
      <w:r>
        <w:rPr>
          <w:rFonts w:ascii="Arial" w:hAnsi="Arial"/>
          <w:color w:val="000000"/>
          <w:sz w:val="20"/>
        </w:rPr>
        <w:t>There were no gains or losses from the sale of available-for-sale debt securities for the six months ended June 30, 2026, compared to $0.2 million gain from the sale of available-for-sale debt securities for the six months ended June 30, 2025, a decrease of $0.2 million or 100.0%.</w:t>
      </w:r>
    </w:p>
    <w:p>
      <w:pPr>
        <w:pStyle w:val="TextBody"/>
        <w:bidi w:val="0"/>
        <w:spacing w:before="0" w:after="200"/>
        <w:jc w:val="left"/>
        <w:rPr>
          <w:rFonts w:ascii="Arial" w:hAnsi="Arial"/>
          <w:i/>
          <w:color w:val="000000"/>
          <w:sz w:val="20"/>
        </w:rPr>
      </w:pPr>
      <w:r>
        <w:rPr>
          <w:rFonts w:ascii="Arial" w:hAnsi="Arial"/>
          <w:i/>
          <w:color w:val="000000"/>
          <w:sz w:val="20"/>
        </w:rPr>
        <w:t>Provision for Income Taxes</w:t>
      </w:r>
    </w:p>
    <w:p>
      <w:pPr>
        <w:pStyle w:val="TextBody"/>
        <w:bidi w:val="0"/>
        <w:jc w:val="left"/>
        <w:rPr>
          <w:rFonts w:ascii="Arial" w:hAnsi="Arial"/>
          <w:color w:val="000000"/>
          <w:sz w:val="20"/>
        </w:rPr>
      </w:pPr>
      <w:r>
        <w:rPr>
          <w:rFonts w:ascii="Arial" w:hAnsi="Arial"/>
          <w:color w:val="000000"/>
          <w:sz w:val="20"/>
        </w:rPr>
        <w:t>Provision for income taxes was $5.0 million during the six months ended June 30, 2026, compared to $6.1 million during the six months ended June 30, 2025, a decrease of $1.1 million or 18.0%. The provision for income taxes for the six months ended June 30, 2026 and 2025, was primarily attributable to activity in our foreign subsidiaries and U.S. state taxes. Our effective tax rate was 53.4% for the six months ended June 30, 2026, compared to (60.5%) for the six months ended June 30, 2025.</w:t>
      </w:r>
    </w:p>
    <w:p>
      <w:pPr>
        <w:pStyle w:val="TextBody"/>
        <w:bidi w:val="0"/>
        <w:spacing w:before="200" w:after="283"/>
        <w:jc w:val="left"/>
        <w:rPr>
          <w:rFonts w:ascii="Arial" w:hAnsi="Arial"/>
          <w:b/>
          <w:color w:val="000000"/>
          <w:sz w:val="20"/>
        </w:rPr>
      </w:pPr>
      <w:r>
        <w:rPr>
          <w:rFonts w:ascii="Arial" w:hAnsi="Arial"/>
          <w:b/>
          <w:color w:val="000000"/>
          <w:sz w:val="20"/>
        </w:rPr>
        <w:t>Key Operating Metrics and Non-GAAP Financial Measures</w:t>
      </w:r>
    </w:p>
    <w:p>
      <w:pPr>
        <w:pStyle w:val="TextBody"/>
        <w:bidi w:val="0"/>
        <w:spacing w:before="200" w:after="200"/>
        <w:jc w:val="left"/>
        <w:rPr>
          <w:rFonts w:ascii="Arial" w:hAnsi="Arial"/>
          <w:color w:val="000000"/>
          <w:sz w:val="20"/>
        </w:rPr>
      </w:pPr>
      <w:r>
        <w:rPr>
          <w:rFonts w:ascii="Arial" w:hAnsi="Arial"/>
          <w:color w:val="000000"/>
          <w:sz w:val="20"/>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163" w:type="dxa"/>
        <w:jc w:val="left"/>
        <w:tblInd w:w="0" w:type="dxa"/>
        <w:tblLayout w:type="fixed"/>
        <w:tblCellMar>
          <w:top w:w="28" w:type="dxa"/>
          <w:left w:w="28" w:type="dxa"/>
          <w:bottom w:w="28" w:type="dxa"/>
          <w:right w:w="28" w:type="dxa"/>
        </w:tblCellMar>
      </w:tblPr>
      <w:tblGrid>
        <w:gridCol w:w="2806"/>
        <w:gridCol w:w="146"/>
        <w:gridCol w:w="275"/>
        <w:gridCol w:w="941"/>
        <w:gridCol w:w="190"/>
        <w:gridCol w:w="275"/>
        <w:gridCol w:w="941"/>
        <w:gridCol w:w="146"/>
        <w:gridCol w:w="227"/>
        <w:gridCol w:w="892"/>
        <w:gridCol w:w="157"/>
        <w:gridCol w:w="227"/>
        <w:gridCol w:w="940"/>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19,624.8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14,302.5</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155.6</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160.4</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r>
    </w:tbl>
    <w:p>
      <w:pPr>
        <w:pStyle w:val="TextBody"/>
        <w:bidi w:val="0"/>
        <w:spacing w:before="200" w:after="283"/>
        <w:jc w:val="left"/>
        <w:rPr>
          <w:rFonts w:ascii="Arial" w:hAnsi="Arial"/>
          <w:color w:val="000000"/>
          <w:sz w:val="20"/>
        </w:rPr>
      </w:pPr>
      <w:r>
        <w:rPr>
          <w:rFonts w:ascii="Arial" w:hAnsi="Arial"/>
          <w:color w:val="000000"/>
          <w:sz w:val="20"/>
        </w:rPr>
        <w:t>For the three months ended June 30, 2026, transaction revenue and platform and other revenues represented 81.0% and 19.0% of our revenue, respectively. For the three months ended June 30, 2026, transaction revenue and platform and other revenues represented 82.9% and 17.1% of our total revenue less ancillary services, respectively. For the three months ended June 30, 2026, our total payment volume was approximately $8.2 billion, consisting of $7.1 billion of total payment volume from transactions included in transaction revenue and $1.1 billion of total payment volume from transactions included in platform and other revenues.</w:t>
      </w:r>
    </w:p>
    <w:p>
      <w:pPr>
        <w:pStyle w:val="TextBody"/>
        <w:bidi w:val="0"/>
        <w:spacing w:before="200" w:after="283"/>
        <w:jc w:val="left"/>
        <w:rPr>
          <w:rFonts w:ascii="Arial" w:hAnsi="Arial"/>
          <w:color w:val="000000"/>
          <w:sz w:val="20"/>
        </w:rPr>
      </w:pPr>
      <w:r>
        <w:rPr>
          <w:rFonts w:ascii="Arial" w:hAnsi="Arial"/>
          <w:color w:val="000000"/>
          <w:sz w:val="20"/>
        </w:rPr>
        <w:t>For the six months ended June 30, 2026, transaction revenue and platform and other revenues represented 81.8% and 18.2% of our revenue, respectively. For the six months ended June 30, 2026, transaction revenue and platform and other revenues represented 83.7% and 16.3% of our total revenue less ancillary services, respectively. For the six months ended June 30, 2026, our total payment volume was approximately $19.6 billion, consisting of $16.5 billion of total payment volume from transactions included in transaction revenue and $3.2 billion of total payment volume from transactions included in platform and other revenues.</w:t>
      </w:r>
    </w:p>
    <w:p>
      <w:pPr>
        <w:pStyle w:val="TextBody"/>
        <w:bidi w:val="0"/>
        <w:spacing w:before="200" w:after="283"/>
        <w:jc w:val="left"/>
        <w:rPr>
          <w:rFonts w:ascii="Arial" w:hAnsi="Arial"/>
          <w:color w:val="000000"/>
          <w:sz w:val="20"/>
        </w:rPr>
      </w:pPr>
      <w:r>
        <w:rPr>
          <w:rFonts w:ascii="Arial" w:hAnsi="Arial"/>
          <w:color w:val="000000"/>
          <w:sz w:val="20"/>
        </w:rPr>
        <w:t>For the three months ended June 30, 2025, transaction revenue and platform and other revenues represented 76.3% and 23.7% of our revenue, respectively. For the three months ended June 30, 2025, transaction revenue and platform and other revenues represented 78.8% and 21.2% of our total revenue less ancillary services, respectively. For the three months ended June 30, 2025, our total payment volume was approximately $5.9 billion, consisting of $5.0 billion of total payment volume from transactions included in transaction revenue and $0.9 billion of total payment volume from transactions included in platform and other revenues.</w:t>
      </w:r>
    </w:p>
    <w:p>
      <w:pPr>
        <w:pStyle w:val="TextBody"/>
        <w:bidi w:val="0"/>
        <w:spacing w:before="200" w:after="283"/>
        <w:jc w:val="left"/>
        <w:rPr>
          <w:rFonts w:ascii="Arial" w:hAnsi="Arial"/>
          <w:color w:val="000000"/>
          <w:sz w:val="20"/>
        </w:rPr>
      </w:pPr>
      <w:r>
        <w:rPr>
          <w:rFonts w:ascii="Arial" w:hAnsi="Arial"/>
          <w:color w:val="000000"/>
          <w:sz w:val="20"/>
        </w:rPr>
        <w:t>For the six months ended June 30, 2025, transaction revenue and platform and other revenues represented 78.8% and 21.2% of our revenue, respectively. For the six months ended June 30, 2025, transaction revenue and platform and other revenues represented 81.4% and 18.6% of our total revenue less ancillary services, respectively. For the six months ended June 30, 2025, our total payment volume was approximately $14.3 billion, consisting of $11.4 billion of total payment volume from transactions included in transaction revenue and $2.9 billion of total payment volume from transactions included in platform and other revenues.</w:t>
      </w:r>
    </w:p>
    <w:p>
      <w:pPr>
        <w:pStyle w:val="TextBody"/>
        <w:bidi w:val="0"/>
        <w:spacing w:before="200" w:after="200"/>
        <w:jc w:val="left"/>
        <w:rPr>
          <w:rFonts w:ascii="Arial" w:hAnsi="Arial"/>
          <w:b/>
          <w:i/>
          <w:color w:val="000000"/>
          <w:sz w:val="20"/>
        </w:rPr>
      </w:pPr>
      <w:r>
        <w:rPr>
          <w:rFonts w:ascii="Arial" w:hAnsi="Arial"/>
          <w:b/>
          <w:i/>
          <w:color w:val="000000"/>
          <w:sz w:val="20"/>
        </w:rPr>
        <w:t>Revenue Less Ancillary Services, FX Neutral Revenue Less Ancillary Services, Adjusted Gross Profit, Adjusted Gross Margin, EBITDA, Adjusted EBITDA, Adjusted EBITDA Margin and Non-GAAP Operating Expenses</w:t>
      </w:r>
    </w:p>
    <w:p>
      <w:pPr>
        <w:pStyle w:val="TextBody"/>
        <w:bidi w:val="0"/>
        <w:spacing w:before="0" w:after="200"/>
        <w:jc w:val="left"/>
        <w:rPr>
          <w:rFonts w:ascii="Arial" w:hAnsi="Arial"/>
          <w:color w:val="000000"/>
          <w:sz w:val="20"/>
        </w:rPr>
      </w:pPr>
      <w:r>
        <w:rPr>
          <w:rFonts w:ascii="Arial" w:hAnsi="Arial"/>
          <w:color w:val="000000"/>
          <w:sz w:val="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jc w:val="left"/>
        <w:rPr>
          <w:rFonts w:ascii="Arial" w:hAnsi="Arial"/>
          <w:color w:val="000000"/>
          <w:sz w:val="20"/>
        </w:rPr>
      </w:pPr>
      <w:r>
        <w:rPr>
          <w:rFonts w:ascii="Arial" w:hAnsi="Arial"/>
          <w:color w:val="000000"/>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Revenue Less Ancillary Services</w:t>
      </w:r>
      <w:r>
        <w:rPr>
          <w:color w:val="000000"/>
        </w:rPr>
        <w:t xml:space="preserve"> </w:t>
      </w:r>
      <w:r>
        <w:rPr>
          <w:rFonts w:ascii="Arial" w:hAnsi="Arial"/>
          <w:color w:val="000000"/>
          <w:sz w:val="20"/>
        </w:rPr>
        <w:t xml:space="preserve">- represents our consolidated revenue in accordance with GAAP less (i) pass-through cost for printing and mailing services and (ii) marketing fees. We exclude these amounts to arrive at this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supplemental non-GAAP financial measure as we view these services as ancillary to the primary services we provide to our clients.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 xml:space="preserve">FX Neutral Revenue Less Ancillary Services </w:t>
      </w:r>
      <w:r>
        <w:rPr>
          <w:rFonts w:ascii="Arial" w:hAnsi="Arial"/>
          <w:color w:val="000000"/>
          <w:sz w:val="20"/>
        </w:rPr>
        <w:t>- represents Revenue Less Ancillary Services adjusted to show presentation on a FX Neutral basis. The FX Neutral information presented is calculated by translating current period results using prior period weighted average foreign currency exchange rates. We analyze FX Neutral Revenue Less Ancillary Services on an FX Neutral basis to provide a comparable framework for assessing how the business performed excluding the effect of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Adjusted Gross Profit and Adjusted Gross Margin</w:t>
      </w:r>
      <w:r>
        <w:rPr>
          <w:color w:val="000000"/>
        </w:rPr>
        <w:t xml:space="preserve"> </w:t>
      </w:r>
      <w:r>
        <w:rPr>
          <w:rFonts w:ascii="Arial" w:hAnsi="Arial"/>
          <w:color w:val="000000"/>
          <w:sz w:val="20"/>
        </w:rPr>
        <w:t>-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our payment processing-related services, which are the primary services we provide to our clients.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Adjusted EBITDA</w:t>
      </w:r>
      <w:r>
        <w:rPr>
          <w:color w:val="000000"/>
        </w:rPr>
        <w:t xml:space="preserve"> </w:t>
      </w:r>
      <w:r>
        <w:rPr>
          <w:rFonts w:ascii="Arial" w:hAnsi="Arial"/>
          <w:color w:val="000000"/>
          <w:sz w:val="20"/>
        </w:rPr>
        <w:t>- EBITDA represents our consolidated net income (loss) in accordance with GAAP adjusted to exclude (i) interest expense, (ii) interest income, (iii) provision for (benefit from) income taxes, and (iv) depreciation and amortization.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Adjusted EBITDA Margin</w:t>
      </w:r>
      <w:r>
        <w:rPr>
          <w:color w:val="000000"/>
        </w:rPr>
        <w:t xml:space="preserve"> </w:t>
      </w:r>
      <w:r>
        <w:rPr>
          <w:rFonts w:ascii="Arial" w:hAnsi="Arial"/>
          <w:color w:val="000000"/>
          <w:sz w:val="20"/>
        </w:rPr>
        <w:t>- represents Adjusted EBITDA divided by Revenue Less Ancillary Services. Management believes this presentation supplements the GAAP presentation of gross margin with a useful measure of the gross margin of our payment processing-related services, which are the primary services we provide to our clients.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Non-GAAP Operating Expenses</w:t>
      </w:r>
      <w:r>
        <w:rPr>
          <w:color w:val="000000"/>
        </w:rPr>
        <w:t xml:space="preserve"> </w:t>
      </w:r>
      <w:r>
        <w:rPr>
          <w:rFonts w:ascii="Arial" w:hAnsi="Arial"/>
          <w:color w:val="000000"/>
          <w:sz w:val="20"/>
        </w:rPr>
        <w:t>-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pStyle w:val="TextBody"/>
        <w:bidi w:val="0"/>
        <w:spacing w:before="200" w:after="200"/>
        <w:jc w:val="left"/>
        <w:rPr>
          <w:rFonts w:ascii="Arial" w:hAnsi="Arial"/>
          <w:color w:val="000000"/>
          <w:sz w:val="20"/>
        </w:rPr>
      </w:pPr>
      <w:r>
        <w:rPr>
          <w:rFonts w:ascii="Arial" w:hAnsi="Arial"/>
          <w:color w:val="000000"/>
          <w:sz w:val="20"/>
        </w:rPr>
        <w:t>These non-GAAP financial measures are not meant to be considered as indicators of performance in isolation from or as a substitute for revenue, gross profit, gross margin, operating expenses, or net income (loss) prepared in accordance with GAAP and should be read only in conjunction with financial information presented on a GAAP basis. Reconciliations of these non-GAAP financial measures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pStyle w:val="TextBody"/>
        <w:bidi w:val="0"/>
        <w:spacing w:before="0" w:after="200"/>
        <w:jc w:val="left"/>
        <w:rPr>
          <w:rFonts w:ascii="Arial" w:hAnsi="Arial"/>
          <w:b/>
          <w:i/>
          <w:color w:val="000000"/>
          <w:sz w:val="20"/>
        </w:rPr>
      </w:pPr>
      <w:r>
        <w:rPr>
          <w:rFonts w:ascii="Arial" w:hAnsi="Arial"/>
          <w:b/>
          <w:i/>
          <w:color w:val="000000"/>
          <w:sz w:val="20"/>
        </w:rPr>
        <w:t>Reconciliations of Non-GAAP Financial Measures</w:t>
      </w:r>
    </w:p>
    <w:p>
      <w:pPr>
        <w:pStyle w:val="TextBody"/>
        <w:bidi w:val="0"/>
        <w:spacing w:before="0" w:after="200"/>
        <w:jc w:val="left"/>
        <w:rPr>
          <w:rFonts w:ascii="Arial" w:hAnsi="Arial"/>
          <w:color w:val="000000"/>
          <w:sz w:val="20"/>
        </w:rPr>
      </w:pPr>
      <w:r>
        <w:rPr>
          <w:rFonts w:ascii="Arial" w:hAnsi="Arial"/>
          <w:color w:val="000000"/>
          <w:sz w:val="20"/>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Revenue Less Ancillary Services, Adjusted Gross Profit and Adjusted Gross Margin:</w:t>
      </w:r>
    </w:p>
    <w:tbl>
      <w:tblPr>
        <w:tblW w:w="10205" w:type="dxa"/>
        <w:jc w:val="left"/>
        <w:tblInd w:w="0" w:type="dxa"/>
        <w:tblLayout w:type="fixed"/>
        <w:tblCellMar>
          <w:top w:w="28" w:type="dxa"/>
          <w:left w:w="28" w:type="dxa"/>
          <w:bottom w:w="28" w:type="dxa"/>
          <w:right w:w="28" w:type="dxa"/>
        </w:tblCellMar>
      </w:tblPr>
      <w:tblGrid>
        <w:gridCol w:w="5213"/>
        <w:gridCol w:w="146"/>
        <w:gridCol w:w="281"/>
        <w:gridCol w:w="828"/>
        <w:gridCol w:w="194"/>
        <w:gridCol w:w="281"/>
        <w:gridCol w:w="828"/>
        <w:gridCol w:w="146"/>
        <w:gridCol w:w="260"/>
        <w:gridCol w:w="765"/>
        <w:gridCol w:w="179"/>
        <w:gridCol w:w="260"/>
        <w:gridCol w:w="824"/>
      </w:tblGrid>
      <w:tr>
        <w:trPr/>
        <w:tc>
          <w:tcPr>
            <w:tcW w:w="5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5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Hosting and amortization costs within technology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Exclude printing and mailing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Offset marketing fees against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Exclude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155.6</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160.4</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w:t>
            </w:r>
          </w:p>
        </w:tc>
      </w:tr>
    </w:tbl>
    <w:p>
      <w:pPr>
        <w:pStyle w:val="TextBody"/>
        <w:bidi w:val="0"/>
        <w:spacing w:before="200" w:after="200"/>
        <w:jc w:val="left"/>
        <w:rPr>
          <w:rFonts w:ascii="Arial" w:hAnsi="Arial"/>
          <w:i/>
          <w:color w:val="000000"/>
          <w:sz w:val="20"/>
        </w:rPr>
      </w:pPr>
      <w:r>
        <w:rPr>
          <w:rFonts w:ascii="Arial" w:hAnsi="Arial"/>
          <w:i/>
          <w:color w:val="000000"/>
          <w:sz w:val="20"/>
        </w:rPr>
        <w:t>Revenue Less Ancillary Services Disaggregated by Revenue Type:</w:t>
      </w:r>
    </w:p>
    <w:tbl>
      <w:tblPr>
        <w:tblW w:w="10205" w:type="dxa"/>
        <w:jc w:val="left"/>
        <w:tblInd w:w="0" w:type="dxa"/>
        <w:tblLayout w:type="fixed"/>
        <w:tblCellMar>
          <w:top w:w="28" w:type="dxa"/>
          <w:left w:w="28" w:type="dxa"/>
          <w:bottom w:w="28" w:type="dxa"/>
          <w:right w:w="28" w:type="dxa"/>
        </w:tblCellMar>
      </w:tblPr>
      <w:tblGrid>
        <w:gridCol w:w="2197"/>
        <w:gridCol w:w="146"/>
        <w:gridCol w:w="303"/>
        <w:gridCol w:w="823"/>
        <w:gridCol w:w="148"/>
        <w:gridCol w:w="454"/>
        <w:gridCol w:w="1040"/>
        <w:gridCol w:w="148"/>
        <w:gridCol w:w="223"/>
        <w:gridCol w:w="694"/>
        <w:gridCol w:w="146"/>
        <w:gridCol w:w="303"/>
        <w:gridCol w:w="823"/>
        <w:gridCol w:w="148"/>
        <w:gridCol w:w="454"/>
        <w:gridCol w:w="1039"/>
        <w:gridCol w:w="148"/>
        <w:gridCol w:w="222"/>
        <w:gridCol w:w="746"/>
      </w:tblGrid>
      <w:tr>
        <w:trPr/>
        <w:tc>
          <w:tcPr>
            <w:tcW w:w="2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 2025</w:t>
            </w:r>
          </w:p>
        </w:tc>
      </w:tr>
      <w:tr>
        <w:trPr/>
        <w:tc>
          <w:tcPr>
            <w:tcW w:w="2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100.5</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303"/>
        <w:gridCol w:w="823"/>
        <w:gridCol w:w="146"/>
        <w:gridCol w:w="468"/>
        <w:gridCol w:w="1038"/>
        <w:gridCol w:w="146"/>
        <w:gridCol w:w="211"/>
        <w:gridCol w:w="687"/>
        <w:gridCol w:w="146"/>
        <w:gridCol w:w="303"/>
        <w:gridCol w:w="823"/>
        <w:gridCol w:w="146"/>
        <w:gridCol w:w="468"/>
        <w:gridCol w:w="1038"/>
        <w:gridCol w:w="146"/>
        <w:gridCol w:w="211"/>
        <w:gridCol w:w="736"/>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2025</w:t>
            </w:r>
          </w:p>
        </w:tc>
      </w:tr>
      <w:tr>
        <w:trPr/>
        <w:tc>
          <w:tcPr>
            <w:tcW w:w="2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FX Neutral Revenue Less Ancillary Services:</w:t>
      </w:r>
    </w:p>
    <w:tbl>
      <w:tblPr>
        <w:tblW w:w="10205" w:type="dxa"/>
        <w:jc w:val="left"/>
        <w:tblInd w:w="0" w:type="dxa"/>
        <w:tblLayout w:type="fixed"/>
        <w:tblCellMar>
          <w:top w:w="28" w:type="dxa"/>
          <w:left w:w="28" w:type="dxa"/>
          <w:bottom w:w="28" w:type="dxa"/>
          <w:right w:w="28" w:type="dxa"/>
        </w:tblCellMar>
      </w:tblPr>
      <w:tblGrid>
        <w:gridCol w:w="3281"/>
        <w:gridCol w:w="146"/>
        <w:gridCol w:w="305"/>
        <w:gridCol w:w="825"/>
        <w:gridCol w:w="211"/>
        <w:gridCol w:w="305"/>
        <w:gridCol w:w="825"/>
        <w:gridCol w:w="146"/>
        <w:gridCol w:w="146"/>
        <w:gridCol w:w="621"/>
        <w:gridCol w:w="146"/>
        <w:gridCol w:w="282"/>
        <w:gridCol w:w="763"/>
        <w:gridCol w:w="194"/>
        <w:gridCol w:w="282"/>
        <w:gridCol w:w="763"/>
        <w:gridCol w:w="146"/>
        <w:gridCol w:w="146"/>
        <w:gridCol w:w="672"/>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Growth</w:t>
            </w:r>
          </w:p>
        </w:tc>
      </w:tr>
      <w:tr>
        <w:trPr/>
        <w:tc>
          <w:tcPr>
            <w:tcW w:w="3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Rate</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Ancillary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Effects of foreign currency rate fluctuations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FX Neutral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r>
    </w:tbl>
    <w:p>
      <w:pPr>
        <w:pStyle w:val="TextBody"/>
        <w:bidi w:val="0"/>
        <w:spacing w:before="200" w:after="200"/>
        <w:jc w:val="left"/>
        <w:rPr>
          <w:rFonts w:ascii="Arial" w:hAnsi="Arial"/>
          <w:i/>
          <w:color w:val="000000"/>
          <w:sz w:val="20"/>
        </w:rPr>
      </w:pPr>
      <w:r>
        <w:rPr>
          <w:rFonts w:ascii="Arial" w:hAnsi="Arial"/>
          <w:i/>
          <w:color w:val="000000"/>
          <w:sz w:val="20"/>
        </w:rPr>
        <w:t>EBITDA, Adjusted EBITDA, and Adjusted EBITDA Margin:</w:t>
      </w:r>
    </w:p>
    <w:tbl>
      <w:tblPr>
        <w:tblW w:w="9905" w:type="dxa"/>
        <w:jc w:val="left"/>
        <w:tblInd w:w="0" w:type="dxa"/>
        <w:tblLayout w:type="fixed"/>
        <w:tblCellMar>
          <w:top w:w="28" w:type="dxa"/>
          <w:left w:w="28" w:type="dxa"/>
          <w:bottom w:w="28" w:type="dxa"/>
          <w:right w:w="28" w:type="dxa"/>
        </w:tblCellMar>
      </w:tblPr>
      <w:tblGrid>
        <w:gridCol w:w="4546"/>
        <w:gridCol w:w="146"/>
        <w:gridCol w:w="302"/>
        <w:gridCol w:w="905"/>
        <w:gridCol w:w="209"/>
        <w:gridCol w:w="302"/>
        <w:gridCol w:w="905"/>
        <w:gridCol w:w="146"/>
        <w:gridCol w:w="275"/>
        <w:gridCol w:w="823"/>
        <w:gridCol w:w="190"/>
        <w:gridCol w:w="275"/>
        <w:gridCol w:w="88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(gain)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taxes related to intercompany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Acquisition-related transaction costs</w:t>
            </w:r>
            <w:r>
              <w:rPr>
                <w:rFonts w:ascii="Times New Roman" w:hAnsi="Times New Roman"/>
                <w:color w:val="000000"/>
                <w:sz w:val="18"/>
              </w:rPr>
              <w:t> </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r>
    </w:tbl>
    <w:p>
      <w:pPr>
        <w:pStyle w:val="TextBody"/>
        <w:pBdr>
          <w:bottom w:val="single" w:sz="6" w:space="1" w:color="000000"/>
        </w:pBdr>
        <w:bidi w:val="0"/>
        <w:spacing w:before="0" w:after="40"/>
        <w:jc w:val="left"/>
        <w:rPr/>
      </w:pPr>
      <w:r>
        <w:rPr/>
        <w:t> </w:t>
      </w:r>
    </w:p>
    <w:p>
      <w:pPr>
        <w:pStyle w:val="TextBody"/>
        <w:bidi w:val="0"/>
        <w:spacing w:before="0" w:after="6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Acquisition-related transaction costs consisted of legal and advisory fees incurred in connection with the Sertifi acquisition.</w:t>
      </w:r>
    </w:p>
    <w:p>
      <w:pPr>
        <w:pStyle w:val="TextBody"/>
        <w:bidi w:val="0"/>
        <w:spacing w:before="140" w:after="200"/>
        <w:jc w:val="left"/>
        <w:rPr>
          <w:rFonts w:ascii="Arial" w:hAnsi="Arial"/>
          <w:i/>
          <w:color w:val="000000"/>
          <w:sz w:val="20"/>
        </w:rPr>
      </w:pPr>
      <w:r>
        <w:rPr>
          <w:rFonts w:ascii="Arial" w:hAnsi="Arial"/>
          <w:i/>
          <w:color w:val="000000"/>
          <w:sz w:val="20"/>
        </w:rPr>
        <w:t>Net Margin, EBITDA Margin, Adjusted EBITDA Margin and Adjusted EBITDA Margin:</w:t>
      </w:r>
    </w:p>
    <w:tbl>
      <w:tblPr>
        <w:tblW w:w="8345" w:type="dxa"/>
        <w:jc w:val="left"/>
        <w:tblInd w:w="0" w:type="dxa"/>
        <w:tblLayout w:type="fixed"/>
        <w:tblCellMar>
          <w:top w:w="28" w:type="dxa"/>
          <w:left w:w="28" w:type="dxa"/>
          <w:bottom w:w="28" w:type="dxa"/>
          <w:right w:w="28" w:type="dxa"/>
        </w:tblCellMar>
      </w:tblPr>
      <w:tblGrid>
        <w:gridCol w:w="2986"/>
        <w:gridCol w:w="146"/>
        <w:gridCol w:w="302"/>
        <w:gridCol w:w="905"/>
        <w:gridCol w:w="209"/>
        <w:gridCol w:w="302"/>
        <w:gridCol w:w="905"/>
        <w:gridCol w:w="146"/>
        <w:gridCol w:w="275"/>
        <w:gridCol w:w="823"/>
        <w:gridCol w:w="190"/>
        <w:gridCol w:w="275"/>
        <w:gridCol w:w="88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margin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margin using RLAS (C/B)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 Margin (D/B)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 (E/B)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Reconciliation of GAAP Operating Expenses to Non-GAAP Operating Expenses:</w:t>
      </w:r>
    </w:p>
    <w:tbl>
      <w:tblPr>
        <w:tblW w:w="10132" w:type="dxa"/>
        <w:jc w:val="left"/>
        <w:tblInd w:w="0" w:type="dxa"/>
        <w:tblLayout w:type="fixed"/>
        <w:tblCellMar>
          <w:top w:w="28" w:type="dxa"/>
          <w:left w:w="28" w:type="dxa"/>
          <w:bottom w:w="28" w:type="dxa"/>
          <w:right w:w="28" w:type="dxa"/>
        </w:tblCellMar>
      </w:tblPr>
      <w:tblGrid>
        <w:gridCol w:w="4771"/>
        <w:gridCol w:w="146"/>
        <w:gridCol w:w="362"/>
        <w:gridCol w:w="825"/>
        <w:gridCol w:w="250"/>
        <w:gridCol w:w="362"/>
        <w:gridCol w:w="825"/>
        <w:gridCol w:w="146"/>
        <w:gridCol w:w="289"/>
        <w:gridCol w:w="803"/>
        <w:gridCol w:w="200"/>
        <w:gridCol w:w="289"/>
        <w:gridCol w:w="864"/>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w:t>
            </w:r>
          </w:p>
        </w:tc>
        <w:tc>
          <w:tcPr>
            <w:tcW w:w="2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58.4</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Acquisition related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Liquidity and Capital Resources</w:t>
      </w:r>
    </w:p>
    <w:p>
      <w:pPr>
        <w:pStyle w:val="TextBody"/>
        <w:bidi w:val="0"/>
        <w:spacing w:before="200" w:after="200"/>
        <w:jc w:val="left"/>
        <w:rPr>
          <w:rFonts w:ascii="Arial" w:hAnsi="Arial"/>
          <w:color w:val="000000"/>
          <w:sz w:val="20"/>
        </w:rPr>
      </w:pPr>
      <w:r>
        <w:rPr>
          <w:rFonts w:ascii="Arial" w:hAnsi="Arial"/>
          <w:color w:val="000000"/>
          <w:sz w:val="20"/>
        </w:rPr>
        <w:t>As of June 30, 2026, our principal source of liquidity is cash and cash equivalents of $282.4 million, short-term available-for-sale debt securities of $11.8 million, and the available balance under our 2024 Amended Revolving Credit Facility of $300.0 million. Cash equivalents is comprised primarily of money market funds. Our short-term available-for-sale debt securities are comprised of corporate bonds, U.S. Government obligations, and asset backed securities.</w:t>
      </w:r>
    </w:p>
    <w:p>
      <w:pPr>
        <w:pStyle w:val="TextBody"/>
        <w:bidi w:val="0"/>
        <w:spacing w:before="0" w:after="200"/>
        <w:jc w:val="left"/>
        <w:rPr>
          <w:rFonts w:ascii="Times New Roman" w:hAnsi="Times New Roman"/>
          <w:sz w:val="20"/>
        </w:rPr>
      </w:pPr>
      <w:r>
        <w:rPr>
          <w:rFonts w:ascii="Arial" w:hAnsi="Arial"/>
          <w:color w:val="000000"/>
          <w:sz w:val="20"/>
        </w:rPr>
        <w:t>On August 6, 2024, we announced the Repurchase Program. On July 30, 2025, our board of directors approved an increase in the aggregate amount of voting and non-voting common stock outstanding that may be repurchased under the Repurchase Program by an additional $150.0 million, bringing the total authorized amount under the Repurchase Program to $300.0 million. For additional information on our Repurchase Program, see</w:t>
      </w:r>
      <w:r>
        <w:rPr>
          <w:rFonts w:ascii="Times New Roman" w:hAnsi="Times New Roman"/>
          <w:color w:val="000000"/>
          <w:sz w:val="20"/>
        </w:rPr>
        <w:t xml:space="preserve"> </w:t>
      </w:r>
      <w:r>
        <w:rPr>
          <w:rFonts w:ascii="Arial" w:hAnsi="Arial"/>
          <w:i/>
          <w:color w:val="000000"/>
          <w:sz w:val="20"/>
        </w:rPr>
        <w:t>Note 13 - Stockholders’ Equity</w:t>
      </w:r>
      <w:r>
        <w:rPr>
          <w:rFonts w:ascii="Times New Roman" w:hAnsi="Times New Roman"/>
          <w:color w:val="000000"/>
          <w:sz w:val="20"/>
        </w:rPr>
        <w:t xml:space="preserve"> </w:t>
      </w:r>
      <w:r>
        <w:rPr>
          <w:rFonts w:ascii="Arial" w:hAnsi="Arial"/>
          <w:color w:val="000000"/>
          <w:sz w:val="20"/>
        </w:rPr>
        <w:t>in our condensed consolidated financial statements included elsewhere in this Quarterly Report on Form 10-Q. During the six months ended June 30, 2026, the Company repurchased 4,047,247 shares of its common stock for an aggregate amount, including commissions and accrued excise tax, of $59.5 million under the Repurchase Program. With the exception of the Non-Voting Common Stock Repurchase discussed below, the repurchased shares are held as treasury stock. Since the inception of the share repurchase program, we have deployed $177.3 million in total share repurchases. As of June 30, 2026, approximately $122.7 million of the authorized $300 million amount under the Repurchase Program remained available for future repurchases.</w:t>
      </w:r>
    </w:p>
    <w:p>
      <w:pPr>
        <w:pStyle w:val="TextBody"/>
        <w:bidi w:val="0"/>
        <w:spacing w:before="0" w:after="200"/>
        <w:jc w:val="left"/>
        <w:rPr>
          <w:rFonts w:ascii="Arial" w:hAnsi="Arial"/>
          <w:color w:val="000000"/>
          <w:sz w:val="20"/>
        </w:rPr>
      </w:pPr>
      <w:r>
        <w:rPr>
          <w:rFonts w:ascii="Arial" w:hAnsi="Arial"/>
          <w:color w:val="000000"/>
          <w:sz w:val="20"/>
        </w:rPr>
        <w:t>On May 13, 2026, we entered into a privately negotiated securities repurchase agreement with a pre-IPO stockholder to repurchase all of the 1,873,320 shares of our outstanding non-voting common stock from the stockholder (the Non-Voting Common Stock Repurchase). The transaction had an aggregate purchase price of approximately $29.0 million, representing approximately $15.50 per share. The Company funded the transaction entirely with cash on its balance sheet under the Repurchase Program. Following the completion of the repurchase, the shares of non-voting common stock were retired and no shares of non-voting common stock were outstanding.</w:t>
      </w:r>
    </w:p>
    <w:p>
      <w:pPr>
        <w:pStyle w:val="TextBody"/>
        <w:bidi w:val="0"/>
        <w:spacing w:before="0" w:after="200"/>
        <w:jc w:val="left"/>
        <w:rPr>
          <w:rFonts w:ascii="Arial" w:hAnsi="Arial"/>
          <w:color w:val="000000"/>
          <w:sz w:val="20"/>
        </w:rPr>
      </w:pPr>
      <w:r>
        <w:rPr>
          <w:rFonts w:ascii="Arial" w:hAnsi="Arial"/>
          <w:color w:val="000000"/>
          <w:sz w:val="20"/>
        </w:rPr>
        <w:t>On February 23, 2024, we entered into our 2024 Revolving Credit Facility for a total commitment of $125.0 million, which replaced the 2021 Revolving Credit Facility of $50.0 million that was in effect as of December 31, 2023. On August 1, 2025, we entered into an amendment to the 2024 Revolving Credit Facility (2025 Revolving Credit Facility Amendment)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pStyle w:val="TextBody"/>
        <w:bidi w:val="0"/>
        <w:spacing w:before="0" w:after="200"/>
        <w:jc w:val="left"/>
        <w:rPr>
          <w:rFonts w:ascii="Times New Roman" w:hAnsi="Times New Roman"/>
          <w:sz w:val="20"/>
        </w:rPr>
      </w:pPr>
      <w:r>
        <w:rPr>
          <w:rFonts w:ascii="Arial" w:hAnsi="Arial"/>
          <w:color w:val="000000"/>
          <w:sz w:val="20"/>
        </w:rPr>
        <w:t>During the six months ended June 30, 2025, we drew down $125.0 million under the 2024 Amended Revolving Credit Facility in connection with the acquisition of Sertifi. During the six months ended June 30, 2025, we repaid $65.0</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million against the 2024 Amended Revolving Credit Facility. There was no outstanding balance of the 2024 Amended Revolving Credit Facility at June 30, 2026 and December 31, 2025.</w:t>
      </w:r>
    </w:p>
    <w:p>
      <w:pPr>
        <w:pStyle w:val="TextBody"/>
        <w:bidi w:val="0"/>
        <w:jc w:val="left"/>
        <w:rPr>
          <w:rFonts w:ascii="Arial" w:hAnsi="Arial"/>
          <w:color w:val="000000"/>
          <w:sz w:val="20"/>
        </w:rPr>
      </w:pPr>
      <w:r>
        <w:rPr>
          <w:rFonts w:ascii="Arial" w:hAnsi="Arial"/>
          <w:color w:val="000000"/>
          <w:sz w:val="20"/>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Cash Flows</w:t>
      </w:r>
    </w:p>
    <w:p>
      <w:pPr>
        <w:pStyle w:val="TextBody"/>
        <w:bidi w:val="0"/>
        <w:spacing w:before="200" w:after="200"/>
        <w:jc w:val="left"/>
        <w:rPr>
          <w:rFonts w:ascii="Arial" w:hAnsi="Arial"/>
          <w:color w:val="000000"/>
          <w:sz w:val="20"/>
        </w:rPr>
      </w:pPr>
      <w:r>
        <w:rPr>
          <w:rFonts w:ascii="Arial" w:hAnsi="Arial"/>
          <w:color w:val="000000"/>
          <w:sz w:val="20"/>
        </w:rPr>
        <w:t>The following table sets forth a summary of our cash flow information for the periods presented. All dollar amounts in the table below are rounded and as a result, certain amounts may not recalculate using the rounded amounts provided.</w:t>
      </w:r>
    </w:p>
    <w:p>
      <w:pPr>
        <w:pStyle w:val="TextBody"/>
        <w:bidi w:val="0"/>
        <w:jc w:val="left"/>
        <w:rPr/>
      </w:pPr>
      <w:r>
        <w:rPr/>
        <w:t> </w:t>
      </w:r>
    </w:p>
    <w:tbl>
      <w:tblPr>
        <w:tblW w:w="7938" w:type="dxa"/>
        <w:jc w:val="left"/>
        <w:tblInd w:w="0" w:type="dxa"/>
        <w:tblLayout w:type="fixed"/>
        <w:tblCellMar>
          <w:top w:w="28" w:type="dxa"/>
          <w:left w:w="28" w:type="dxa"/>
          <w:bottom w:w="28" w:type="dxa"/>
          <w:right w:w="28" w:type="dxa"/>
        </w:tblCellMar>
      </w:tblPr>
      <w:tblGrid>
        <w:gridCol w:w="5496"/>
        <w:gridCol w:w="246"/>
        <w:gridCol w:w="685"/>
        <w:gridCol w:w="170"/>
        <w:gridCol w:w="246"/>
        <w:gridCol w:w="1095"/>
      </w:tblGrid>
      <w:tr>
        <w:trPr/>
        <w:tc>
          <w:tcPr>
            <w:tcW w:w="54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(60.9)</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(196.4)</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3.6</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Effect of exchange rates changes on cash and cash equivalents</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change in cash and cash equivalents</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(245.6)</w:t>
            </w:r>
          </w:p>
        </w:tc>
      </w:tr>
    </w:tbl>
    <w:p>
      <w:pPr>
        <w:pStyle w:val="TextBody"/>
        <w:bidi w:val="0"/>
        <w:spacing w:before="200" w:after="200"/>
        <w:jc w:val="left"/>
        <w:rPr>
          <w:rFonts w:ascii="Arial" w:hAnsi="Arial"/>
          <w:i/>
          <w:color w:val="000000"/>
          <w:sz w:val="20"/>
        </w:rPr>
      </w:pPr>
      <w:r>
        <w:rPr>
          <w:rFonts w:ascii="Arial" w:hAnsi="Arial"/>
          <w:i/>
          <w:color w:val="000000"/>
          <w:sz w:val="20"/>
        </w:rPr>
        <w:t>Operating Activities</w:t>
      </w:r>
    </w:p>
    <w:p>
      <w:pPr>
        <w:pStyle w:val="TextBody"/>
        <w:bidi w:val="0"/>
        <w:spacing w:before="0" w:after="200"/>
        <w:jc w:val="left"/>
        <w:rPr>
          <w:rFonts w:ascii="Arial" w:hAnsi="Arial"/>
          <w:color w:val="000000"/>
          <w:sz w:val="20"/>
        </w:rPr>
      </w:pPr>
      <w:r>
        <w:rPr>
          <w:rFonts w:ascii="Arial" w:hAnsi="Arial"/>
          <w:color w:val="000000"/>
          <w:sz w:val="20"/>
        </w:rPr>
        <w:t>Net cash provided by (used in) operating activities consists of net income (loss) adjusted for certain non-cash items and changes in operating assets and liabilities.</w:t>
      </w:r>
    </w:p>
    <w:p>
      <w:pPr>
        <w:pStyle w:val="TextBody"/>
        <w:bidi w:val="0"/>
        <w:spacing w:before="0" w:after="200"/>
        <w:jc w:val="left"/>
        <w:rPr>
          <w:rFonts w:ascii="Arial" w:hAnsi="Arial"/>
          <w:color w:val="000000"/>
          <w:sz w:val="20"/>
        </w:rPr>
      </w:pPr>
      <w:r>
        <w:rPr>
          <w:rFonts w:ascii="Arial" w:hAnsi="Arial"/>
          <w:color w:val="000000"/>
          <w:sz w:val="20"/>
        </w:rPr>
        <w:t>Net cash provided by operating activities was $5.3 million for the six months ended June 30, 2026, compared to net cash used in operating activities of $60.9 million for the six months ended June 30, 2025, representing a $66.1 million increase in net cash provided by operating activities. This variance was primarily attributable to a $37.7 million favorable change in our operating assets and liabilities, net of acquisitions, and a $28.4 million increase in net income adjusted for non-cash expenses.</w:t>
      </w:r>
    </w:p>
    <w:p>
      <w:pPr>
        <w:pStyle w:val="TextBody"/>
        <w:bidi w:val="0"/>
        <w:spacing w:before="0" w:after="200"/>
        <w:jc w:val="left"/>
        <w:rPr>
          <w:rFonts w:ascii="Arial" w:hAnsi="Arial"/>
          <w:color w:val="000000"/>
          <w:sz w:val="20"/>
        </w:rPr>
      </w:pPr>
      <w:r>
        <w:rPr>
          <w:rFonts w:ascii="Arial" w:hAnsi="Arial"/>
          <w:color w:val="000000"/>
          <w:sz w:val="20"/>
        </w:rPr>
        <w:t>For the six months ended June 30, 2026, net cash used for changes in operating assets and liabilities was $46.1 million, compared to $83.8 million for the six months ended June 30, 2025, resulting in a $37.7 million favorable change. This variance was primarily driven by an increase in the change in funds receivable from payment partners of $47.2 million, as a result of the timing of collections from our partners in the applicable period. This increase was partially offset by an increase in the change of funds payable to clients of $10.8 million, as a result of the timing of payments to our clients in the applicable period. The timing of collections from our partners will vary from period to period based on when our clients’ customer payment for a particular transaction is made, as well as the customer’s payment method which impacts the timing of settlement of the payment. The timing of payments to our clients will vary from period to period based on when our client's customer payment for a particular transaction is made and when we are contractually required to remit such payment to our client.</w:t>
      </w:r>
    </w:p>
    <w:p>
      <w:pPr>
        <w:pStyle w:val="TextBody"/>
        <w:bidi w:val="0"/>
        <w:spacing w:before="0" w:after="200"/>
        <w:jc w:val="left"/>
        <w:rPr>
          <w:rFonts w:ascii="Arial" w:hAnsi="Arial"/>
          <w:color w:val="000000"/>
          <w:sz w:val="20"/>
        </w:rPr>
      </w:pPr>
      <w:r>
        <w:rPr>
          <w:rFonts w:ascii="Arial" w:hAnsi="Arial"/>
          <w:color w:val="000000"/>
          <w:sz w:val="20"/>
        </w:rPr>
        <w:t>This net increase in cash provided by operating activities was further impacted by our operating cash flows from our net income (after adjustments for an increase in non-cash expenses of $7.9 million) which increased by $28.4 million for the six months ended June 30, 2026, compared to the prior period. This variance was primarily impacted by the increase in income from operations reflecting the growth in transaction payment volumes, from both our existing clients and new clients, net of the increase in payment processing costs.</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Investing Activities</w:t>
      </w:r>
    </w:p>
    <w:p>
      <w:pPr>
        <w:pStyle w:val="TextBody"/>
        <w:bidi w:val="0"/>
        <w:spacing w:before="0" w:after="200"/>
        <w:jc w:val="left"/>
        <w:rPr>
          <w:rFonts w:ascii="Arial" w:hAnsi="Arial"/>
          <w:color w:val="000000"/>
          <w:sz w:val="20"/>
        </w:rPr>
      </w:pPr>
      <w:r>
        <w:rPr>
          <w:rFonts w:ascii="Arial" w:hAnsi="Arial"/>
          <w:color w:val="000000"/>
          <w:sz w:val="20"/>
        </w:rPr>
        <w:t>Net cash provided by investing activities was $5.8 million for the six months ended June 30, 2026, compared to net cash used in investing activities of $196.4 million during the six months ended June 30, 2025. This $202.2 million change in cash flow from investing activities was primarily attributable to a $319.8 million decrease in cash paid for the acquisition of Sertifi during 2025, partially offset by a $129.6 million reduction in proceeds from the maturity and sale of investments that was used to facilitate our acquisition of Sertifi during the six months ended June 30, 2025.</w:t>
      </w:r>
    </w:p>
    <w:p>
      <w:pPr>
        <w:pStyle w:val="TextBody"/>
        <w:bidi w:val="0"/>
        <w:spacing w:before="0" w:after="200"/>
        <w:jc w:val="left"/>
        <w:rPr>
          <w:rFonts w:ascii="Arial" w:hAnsi="Arial"/>
          <w:i/>
          <w:color w:val="000000"/>
          <w:sz w:val="20"/>
        </w:rPr>
      </w:pPr>
      <w:r>
        <w:rPr>
          <w:rFonts w:ascii="Arial" w:hAnsi="Arial"/>
          <w:i/>
          <w:color w:val="000000"/>
          <w:sz w:val="20"/>
        </w:rPr>
        <w:t>Financing Activities</w:t>
      </w:r>
    </w:p>
    <w:p>
      <w:pPr>
        <w:pStyle w:val="TextBody"/>
        <w:bidi w:val="0"/>
        <w:spacing w:before="0" w:after="200"/>
        <w:jc w:val="left"/>
        <w:rPr>
          <w:rFonts w:ascii="Arial" w:hAnsi="Arial"/>
          <w:color w:val="000000"/>
          <w:sz w:val="20"/>
        </w:rPr>
      </w:pPr>
      <w:r>
        <w:rPr>
          <w:rFonts w:ascii="Arial" w:hAnsi="Arial"/>
          <w:color w:val="000000"/>
          <w:sz w:val="20"/>
        </w:rPr>
        <w:t>Net cash used in financing activities was $61.2 million for the six months ended June 30, 2026, compared to net cash provided by financing activities of $3.6 million during the six months ended June 30, 2025. This $64.8 million change was primarily due to a $125.0 million decrease in proceeds from the borrowings under our 2024 Amended Revolving Credit Facility. This decrease in cash inflow was partially offset by a $65.0 million reduction in repayments on our 2024 Amended Revolving Credit Facility.</w:t>
      </w:r>
    </w:p>
    <w:p>
      <w:pPr>
        <w:pStyle w:val="TextBody"/>
        <w:bidi w:val="0"/>
        <w:jc w:val="left"/>
        <w:rPr>
          <w:rFonts w:ascii="Arial" w:hAnsi="Arial"/>
          <w:color w:val="000000"/>
          <w:sz w:val="20"/>
        </w:rPr>
      </w:pPr>
      <w:r>
        <w:rPr>
          <w:rFonts w:ascii="Arial" w:hAnsi="Arial"/>
          <w:color w:val="000000"/>
          <w:sz w:val="20"/>
        </w:rPr>
        <w:t>As of June 30, 2026 and December 31, 2025, there was no outstanding indebtedness under the 2024 Amended Revolving Credit Facility.</w:t>
      </w:r>
    </w:p>
    <w:p>
      <w:pPr>
        <w:pStyle w:val="TextBody"/>
        <w:bidi w:val="0"/>
        <w:spacing w:before="200" w:after="283"/>
        <w:jc w:val="left"/>
        <w:rPr>
          <w:rFonts w:ascii="Arial" w:hAnsi="Arial"/>
          <w:b/>
          <w:color w:val="000000"/>
          <w:sz w:val="20"/>
        </w:rPr>
      </w:pPr>
      <w:r>
        <w:rPr>
          <w:rFonts w:ascii="Arial" w:hAnsi="Arial"/>
          <w:b/>
          <w:color w:val="000000"/>
          <w:sz w:val="20"/>
        </w:rPr>
        <w:t>Critical Accounting Policies</w:t>
      </w:r>
    </w:p>
    <w:p>
      <w:pPr>
        <w:pStyle w:val="TextBody"/>
        <w:bidi w:val="0"/>
        <w:spacing w:before="200" w:after="200"/>
        <w:jc w:val="left"/>
        <w:rPr>
          <w:rFonts w:ascii="Arial" w:hAnsi="Arial"/>
          <w:color w:val="000000"/>
          <w:sz w:val="20"/>
        </w:rPr>
      </w:pPr>
      <w:r>
        <w:rPr>
          <w:rFonts w:ascii="Arial" w:hAnsi="Arial"/>
          <w:color w:val="000000"/>
          <w:sz w:val="20"/>
        </w:rPr>
        <w:t>Our condensed consolidated financial statements and the related notes thereto included elsewhere in this Quarterly Report on Form 10-Q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jc w:val="left"/>
        <w:rPr>
          <w:rFonts w:ascii="Times New Roman" w:hAnsi="Times New Roman"/>
          <w:sz w:val="20"/>
        </w:rPr>
      </w:pPr>
      <w:r>
        <w:rPr>
          <w:rFonts w:ascii="Arial" w:hAnsi="Arial"/>
          <w:color w:val="000000"/>
          <w:sz w:val="20"/>
        </w:rPr>
        <w:t xml:space="preserve">There have been no material changes to our critical accounting policies as compared to the critical accounting policies and estimates described in the </w:t>
      </w:r>
      <w:r>
        <w:rPr>
          <w:rFonts w:ascii="Arial" w:hAnsi="Arial"/>
          <w:i/>
          <w:color w:val="000000"/>
          <w:sz w:val="20"/>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20"/>
        </w:rPr>
        <w:t>section of our Annual Report on Form 10-K for the year ended December 31, 2025.</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r>
        <w:rPr>
          <w:rFonts w:ascii="Arial" w:hAnsi="Arial"/>
          <w:b/>
          <w:color w:val="000000"/>
          <w:sz w:val="20"/>
        </w:rPr>
        <w:t>Recent Accounting Pronouncements</w:t>
      </w:r>
    </w:p>
    <w:p>
      <w:pPr>
        <w:pStyle w:val="TextBody"/>
        <w:bidi w:val="0"/>
        <w:spacing w:before="200" w:after="283"/>
        <w:jc w:val="left"/>
        <w:rPr>
          <w:rFonts w:ascii="Times New Roman" w:hAnsi="Times New Roman"/>
          <w:sz w:val="20"/>
        </w:rPr>
      </w:pPr>
      <w:r>
        <w:rPr>
          <w:rFonts w:ascii="Arial" w:hAnsi="Arial"/>
          <w:color w:val="000000"/>
          <w:sz w:val="20"/>
        </w:rPr>
        <w:t xml:space="preserve">We have reviewed all recently issued standards and have determined that, other than as disclosed in </w:t>
      </w:r>
      <w:r>
        <w:rPr>
          <w:rFonts w:ascii="Arial" w:hAnsi="Arial"/>
          <w:i/>
          <w:color w:val="000000"/>
          <w:sz w:val="20"/>
        </w:rPr>
        <w:t>Note 1 - Business Overview and Summary of Significant Accounting Policies</w:t>
      </w:r>
      <w:r>
        <w:rPr>
          <w:rFonts w:ascii="Times New Roman" w:hAnsi="Times New Roman"/>
          <w:color w:val="000000"/>
          <w:sz w:val="20"/>
        </w:rPr>
        <w:t xml:space="preserve"> </w:t>
      </w:r>
      <w:r>
        <w:rPr>
          <w:rFonts w:ascii="Arial" w:hAnsi="Arial"/>
          <w:color w:val="000000"/>
          <w:sz w:val="20"/>
        </w:rPr>
        <w:t>to our unaudited condensed consolidated financial statements appearing elsewhere in this Quarterly Report on Form 10-Q, such standards are not expected to have a material impact on our consolidated financial statements or do not otherwise apply to our operations.</w:t>
      </w:r>
    </w:p>
    <w:p>
      <w:pPr>
        <w:pStyle w:val="TextBody"/>
        <w:bidi w:val="0"/>
        <w:spacing w:before="200" w:after="283"/>
        <w:jc w:val="left"/>
        <w:rPr>
          <w:rFonts w:ascii="Arial" w:hAnsi="Arial"/>
          <w:b/>
          <w:color w:val="000000"/>
          <w:sz w:val="20"/>
        </w:rPr>
      </w:pPr>
      <w:bookmarkStart w:id="32" w:name="item_3_quantitative"/>
      <w:bookmarkEnd w:id="32"/>
      <w:r>
        <w:rPr>
          <w:rFonts w:ascii="Arial" w:hAnsi="Arial"/>
          <w:b/>
          <w:color w:val="000000"/>
          <w:sz w:val="20"/>
        </w:rPr>
        <w:t>Item 3. Quantitative and Qualitative Disclosures About Market Risk</w:t>
      </w:r>
    </w:p>
    <w:p>
      <w:pPr>
        <w:pStyle w:val="TextBody"/>
        <w:bidi w:val="0"/>
        <w:spacing w:before="200" w:after="200"/>
        <w:jc w:val="left"/>
        <w:rPr>
          <w:rFonts w:ascii="Arial" w:hAnsi="Arial"/>
          <w:color w:val="000000"/>
          <w:sz w:val="20"/>
        </w:rPr>
      </w:pPr>
      <w:r>
        <w:rPr>
          <w:rFonts w:ascii="Arial" w:hAnsi="Arial"/>
          <w:color w:val="000000"/>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pStyle w:val="TextBody"/>
        <w:bidi w:val="0"/>
        <w:spacing w:before="0" w:after="200"/>
        <w:jc w:val="left"/>
        <w:rPr>
          <w:rFonts w:ascii="Arial" w:hAnsi="Arial"/>
          <w:b/>
          <w:color w:val="000000"/>
          <w:sz w:val="20"/>
        </w:rPr>
      </w:pPr>
      <w:r>
        <w:rPr>
          <w:rFonts w:ascii="Arial" w:hAnsi="Arial"/>
          <w:b/>
          <w:color w:val="000000"/>
          <w:sz w:val="20"/>
        </w:rPr>
        <w:t>Interest Rate Risk</w:t>
      </w:r>
    </w:p>
    <w:p>
      <w:pPr>
        <w:pStyle w:val="TextBody"/>
        <w:bidi w:val="0"/>
        <w:jc w:val="left"/>
        <w:rPr>
          <w:rFonts w:ascii="Times New Roman" w:hAnsi="Times New Roman"/>
          <w:sz w:val="20"/>
        </w:rPr>
      </w:pPr>
      <w:r>
        <w:rPr>
          <w:rFonts w:ascii="Arial" w:hAnsi="Arial"/>
          <w:color w:val="000000"/>
          <w:sz w:val="20"/>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foreign agency securities, commercial paper, agency bond and asset-backed debt securities. An immediate 10% increase or decrease in interest rates would not have a material effect on our financial position, results of operations or cash flows.</w:t>
      </w:r>
    </w:p>
    <w:p>
      <w:pPr>
        <w:pStyle w:val="TextBody"/>
        <w:bidi w:val="0"/>
        <w:spacing w:before="200" w:after="283"/>
        <w:jc w:val="left"/>
        <w:rPr>
          <w:rFonts w:ascii="Arial" w:hAnsi="Arial"/>
          <w:color w:val="000000"/>
          <w:sz w:val="20"/>
        </w:rPr>
      </w:pPr>
      <w:r>
        <w:rPr>
          <w:rFonts w:ascii="Arial" w:hAnsi="Arial"/>
          <w:color w:val="000000"/>
          <w:sz w:val="20"/>
        </w:rPr>
        <w:t>We are also exposed to interest rate risk related to our 2024 Amended Revolving Credit Facility. Our 2024 Amended Revolving Credit Facility consists of ABR borrowings or Term SOFR borrowings, at our option.</w:t>
      </w:r>
    </w:p>
    <w:p>
      <w:pPr>
        <w:pStyle w:val="TextBody"/>
        <w:bidi w:val="0"/>
        <w:spacing w:before="200" w:after="283"/>
        <w:jc w:val="left"/>
        <w:rPr>
          <w:rFonts w:ascii="Arial" w:hAnsi="Arial"/>
          <w:color w:val="000000"/>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Amended Revolving Credit Facility incurs a commitment fee ranging from 0.25% to 0.35% based upon our consolidated total net leverage ratio as of the most recent consolidated financial information assessed on the average available commitment.</w:t>
      </w:r>
    </w:p>
    <w:p>
      <w:pPr>
        <w:pStyle w:val="TextBody"/>
        <w:bidi w:val="0"/>
        <w:spacing w:before="200" w:after="200"/>
        <w:jc w:val="left"/>
        <w:rPr>
          <w:rFonts w:ascii="Arial" w:hAnsi="Arial"/>
          <w:color w:val="000000"/>
          <w:sz w:val="20"/>
        </w:rPr>
      </w:pPr>
      <w:r>
        <w:rPr>
          <w:rFonts w:ascii="Arial" w:hAnsi="Arial"/>
          <w:color w:val="000000"/>
          <w:sz w:val="20"/>
        </w:rPr>
        <w:t>As of June 30, 2026 and December 31, 2025, there was no outstanding indebtedness under the 2024 Amended Revolving Credit Facility. An immediate 10% increase or decrease in interest rates would not have a material effect on our financial position, results of operations or cash flows.</w:t>
      </w:r>
    </w:p>
    <w:p>
      <w:pPr>
        <w:pStyle w:val="TextBody"/>
        <w:bidi w:val="0"/>
        <w:spacing w:before="0" w:after="200"/>
        <w:jc w:val="left"/>
        <w:rPr>
          <w:rFonts w:ascii="Arial" w:hAnsi="Arial"/>
          <w:color w:val="000000"/>
          <w:sz w:val="20"/>
        </w:rPr>
      </w:pPr>
      <w:r>
        <w:rPr>
          <w:rFonts w:ascii="Arial" w:hAnsi="Arial"/>
          <w:color w:val="000000"/>
          <w:sz w:val="20"/>
        </w:rPr>
        <w:t>Information provided by the sensitivity analysis is not a prediction of future events and does not necessarily represent the actual changes that would occur.</w:t>
      </w:r>
    </w:p>
    <w:p>
      <w:pPr>
        <w:pStyle w:val="TextBody"/>
        <w:bidi w:val="0"/>
        <w:spacing w:before="0" w:after="200"/>
        <w:jc w:val="left"/>
        <w:rPr>
          <w:rFonts w:ascii="Arial" w:hAnsi="Arial"/>
          <w:b/>
          <w:color w:val="000000"/>
          <w:sz w:val="20"/>
        </w:rPr>
      </w:pPr>
      <w:r>
        <w:rPr>
          <w:rFonts w:ascii="Arial" w:hAnsi="Arial"/>
          <w:b/>
          <w:color w:val="000000"/>
          <w:sz w:val="20"/>
        </w:rPr>
        <w:t>Foreign Currency Exchange Risk</w:t>
      </w:r>
    </w:p>
    <w:p>
      <w:pPr>
        <w:pStyle w:val="TextBody"/>
        <w:bidi w:val="0"/>
        <w:jc w:val="left"/>
        <w:rPr>
          <w:rFonts w:ascii="Arial" w:hAnsi="Arial"/>
          <w:color w:val="000000"/>
          <w:sz w:val="20"/>
        </w:rPr>
      </w:pPr>
      <w:r>
        <w:rPr>
          <w:rFonts w:ascii="Arial" w:hAnsi="Arial"/>
          <w:color w:val="000000"/>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help mitigate the volatility related to fluctuations in the foreign exchange rates. In addition, to mitigate the impact of foreign currency fluctuations on our net income (loss), beginning in July 2025, we entered into foreign currency forward contracts to economically hedge the variability in exchange rates associated with certain intercompany loans. As of June 30, 2026, we had one hedged intercompany loan.</w:t>
      </w:r>
    </w:p>
    <w:p>
      <w:pPr>
        <w:pStyle w:val="TextBody"/>
        <w:bidi w:val="0"/>
        <w:spacing w:before="200" w:after="283"/>
        <w:jc w:val="left"/>
        <w:rPr>
          <w:rFonts w:ascii="Arial" w:hAnsi="Arial"/>
          <w:color w:val="000000"/>
          <w:sz w:val="20"/>
        </w:rPr>
      </w:pPr>
      <w:r>
        <w:rPr>
          <w:rFonts w:ascii="Arial" w:hAnsi="Arial"/>
          <w:color w:val="000000"/>
          <w:sz w:val="20"/>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for the six months ended June 30, 2026, as the U.S. Dollar weakened against several currencies, including the British Pound, relative to the prior year, these foreign exchange impacts increased our reported revenue in U.S. Dollars by approximately $9.4 million compared to the prior year on a FX Neutral basis.</w:t>
      </w:r>
    </w:p>
    <w:p>
      <w:pPr>
        <w:pStyle w:val="TextBody"/>
        <w:bidi w:val="0"/>
        <w:spacing w:before="200" w:after="200"/>
        <w:jc w:val="left"/>
        <w:rPr>
          <w:rFonts w:ascii="Times New Roman" w:hAnsi="Times New Roman"/>
          <w:sz w:val="20"/>
        </w:rPr>
      </w:pPr>
      <w:r>
        <w:rPr>
          <w:rFonts w:ascii="Arial" w:hAnsi="Arial"/>
          <w:color w:val="000000"/>
          <w:sz w:val="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condensed consolidated statements of operations and comprehensive (loss) income. A potential change in foreign exchange rates of 10% from such remeasurement of assets and liabilities would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have impacted income (loss) before income taxes by approximately $24.0 million and $25.3 million as of June 30, 2026 and December 31, 2025, respectively.</w:t>
      </w:r>
    </w:p>
    <w:p>
      <w:pPr>
        <w:pStyle w:val="TextBody"/>
        <w:bidi w:val="0"/>
        <w:spacing w:before="0" w:after="200"/>
        <w:jc w:val="left"/>
        <w:rPr>
          <w:rFonts w:ascii="Arial" w:hAnsi="Arial"/>
          <w:b/>
          <w:color w:val="000000"/>
          <w:sz w:val="20"/>
        </w:rPr>
      </w:pPr>
      <w:r>
        <w:rPr>
          <w:rFonts w:ascii="Arial" w:hAnsi="Arial"/>
          <w:b/>
          <w:color w:val="000000"/>
          <w:sz w:val="20"/>
        </w:rPr>
        <w:t>Inflation Risk</w:t>
      </w:r>
    </w:p>
    <w:p>
      <w:pPr>
        <w:pStyle w:val="TextBody"/>
        <w:bidi w:val="0"/>
        <w:jc w:val="left"/>
        <w:rPr>
          <w:rFonts w:ascii="Arial" w:hAnsi="Arial"/>
          <w:color w:val="000000"/>
          <w:sz w:val="20"/>
        </w:rPr>
      </w:pPr>
      <w:r>
        <w:rPr>
          <w:rFonts w:ascii="Arial" w:hAnsi="Arial"/>
          <w:color w:val="000000"/>
          <w:sz w:val="20"/>
        </w:rPr>
        <w:t>Inflation did not have a material effect on our cash flows and results of operations during the six months ended June 30, 2026. If our costs were to become subject to significant inflationary pressures, we may not be able to fully offset such higher costs through increase in prices of our product offerings.</w:t>
      </w:r>
    </w:p>
    <w:p>
      <w:pPr>
        <w:pStyle w:val="TextBody"/>
        <w:bidi w:val="0"/>
        <w:spacing w:before="200" w:after="283"/>
        <w:jc w:val="left"/>
        <w:rPr>
          <w:rFonts w:ascii="Arial" w:hAnsi="Arial"/>
          <w:b/>
          <w:color w:val="000000"/>
          <w:sz w:val="20"/>
        </w:rPr>
      </w:pPr>
      <w:bookmarkStart w:id="33" w:name="item_4"/>
      <w:bookmarkEnd w:id="33"/>
      <w:r>
        <w:rPr>
          <w:rFonts w:ascii="Arial" w:hAnsi="Arial"/>
          <w:b/>
          <w:color w:val="000000"/>
          <w:sz w:val="20"/>
        </w:rPr>
        <w:t>Item 4. Controls and Procedures</w:t>
      </w:r>
    </w:p>
    <w:p>
      <w:pPr>
        <w:pStyle w:val="TextBody"/>
        <w:bidi w:val="0"/>
        <w:spacing w:before="200" w:after="200"/>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0" w:after="200"/>
        <w:jc w:val="left"/>
        <w:rPr>
          <w:rFonts w:ascii="Arial" w:hAnsi="Arial"/>
          <w:color w:val="000000"/>
          <w:sz w:val="20"/>
        </w:rPr>
      </w:pPr>
      <w:r>
        <w:rPr>
          <w:rFonts w:ascii="Arial" w:hAnsi="Arial"/>
          <w:color w:val="000000"/>
          <w:sz w:val="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June 30, 2026.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June 30, 2026, our disclosure controls and procedures were effective at the reasonable assurance level.</w:t>
      </w:r>
    </w:p>
    <w:p>
      <w:pPr>
        <w:pStyle w:val="TextBody"/>
        <w:bidi w:val="0"/>
        <w:spacing w:before="0" w:after="200"/>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0" w:after="200"/>
        <w:jc w:val="left"/>
        <w:rPr>
          <w:rFonts w:ascii="Arial" w:hAnsi="Arial"/>
          <w:color w:val="000000"/>
          <w:sz w:val="20"/>
        </w:rPr>
      </w:pPr>
      <w:r>
        <w:rPr>
          <w:rFonts w:ascii="Arial" w:hAnsi="Arial"/>
          <w:color w:val="000000"/>
          <w:sz w:val="20"/>
        </w:rPr>
        <w:t>There were no changes in our internal control over financial reporting identified in connection with the evaluation required by Rule 13a- 15(d) and 15d-15(d) of the Exchange Act that occurred during the quarter ended June 30, 2026 that has materially affected, or is reasonably likely to materially affect, our internal control over financial reporting.</w:t>
      </w:r>
    </w:p>
    <w:p>
      <w:pPr>
        <w:pStyle w:val="TextBody"/>
        <w:bidi w:val="0"/>
        <w:spacing w:before="0" w:after="200"/>
        <w:jc w:val="left"/>
        <w:rPr>
          <w:rFonts w:ascii="Arial" w:hAnsi="Arial"/>
          <w:b/>
          <w:color w:val="000000"/>
          <w:sz w:val="20"/>
        </w:rPr>
      </w:pPr>
      <w:r>
        <w:rPr>
          <w:rFonts w:ascii="Arial" w:hAnsi="Arial"/>
          <w:b/>
          <w:color w:val="000000"/>
          <w:sz w:val="20"/>
        </w:rPr>
        <w:t>Inherent Limitations on Effectiveness of Controls</w:t>
      </w:r>
    </w:p>
    <w:p>
      <w:pPr>
        <w:pStyle w:val="TextBody"/>
        <w:bidi w:val="0"/>
        <w:jc w:val="left"/>
        <w:rPr>
          <w:rFonts w:ascii="Arial" w:hAnsi="Arial"/>
          <w:color w:val="000000"/>
          <w:sz w:val="20"/>
        </w:rPr>
      </w:pPr>
      <w:r>
        <w:rPr>
          <w:rFonts w:ascii="Arial" w:hAnsi="Arial"/>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34" w:name="other_info"/>
      <w:bookmarkEnd w:id="34"/>
      <w:r>
        <w:rPr>
          <w:rFonts w:ascii="Arial" w:hAnsi="Arial"/>
          <w:b/>
          <w:color w:val="000000"/>
          <w:sz w:val="20"/>
        </w:rPr>
        <w:t>PART II - OTHER INFORMATION</w:t>
      </w:r>
    </w:p>
    <w:p>
      <w:pPr>
        <w:pStyle w:val="TextBody"/>
        <w:bidi w:val="0"/>
        <w:spacing w:before="200" w:after="200"/>
        <w:jc w:val="left"/>
        <w:rPr>
          <w:rFonts w:ascii="Arial" w:hAnsi="Arial"/>
          <w:b/>
          <w:color w:val="000000"/>
          <w:sz w:val="20"/>
        </w:rPr>
      </w:pPr>
      <w:bookmarkStart w:id="35" w:name="item_1"/>
      <w:bookmarkEnd w:id="35"/>
      <w:r>
        <w:rPr>
          <w:rFonts w:ascii="Arial" w:hAnsi="Arial"/>
          <w:b/>
          <w:color w:val="000000"/>
          <w:sz w:val="20"/>
        </w:rPr>
        <w:t>Item 1. Legal Proceedings</w:t>
      </w:r>
    </w:p>
    <w:p>
      <w:pPr>
        <w:pStyle w:val="TextBody"/>
        <w:bidi w:val="0"/>
        <w:spacing w:before="0" w:after="200"/>
        <w:jc w:val="left"/>
        <w:rPr>
          <w:rFonts w:ascii="Arial" w:hAnsi="Arial"/>
          <w:color w:val="000000"/>
          <w:sz w:val="20"/>
        </w:rPr>
      </w:pPr>
      <w:r>
        <w:rPr>
          <w:rFonts w:ascii="Arial" w:hAnsi="Arial"/>
          <w:color w:val="000000"/>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200"/>
        <w:jc w:val="left"/>
        <w:rPr>
          <w:rFonts w:ascii="Arial" w:hAnsi="Arial"/>
          <w:color w:val="000000"/>
          <w:sz w:val="20"/>
        </w:rPr>
      </w:pPr>
      <w:r>
        <w:rPr>
          <w:rFonts w:ascii="Arial" w:hAnsi="Arial"/>
          <w:color w:val="000000"/>
          <w:sz w:val="20"/>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pStyle w:val="TextBody"/>
        <w:bidi w:val="0"/>
        <w:spacing w:before="0" w:after="200"/>
        <w:jc w:val="left"/>
        <w:rPr>
          <w:rFonts w:ascii="Arial" w:hAnsi="Arial"/>
          <w:color w:val="000000"/>
          <w:sz w:val="20"/>
        </w:rPr>
      </w:pPr>
      <w:r>
        <w:rPr>
          <w:rFonts w:ascii="Arial" w:hAnsi="Arial"/>
          <w:color w:val="000000"/>
          <w:sz w:val="20"/>
        </w:rPr>
        <w:t>On July 25,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Plaintiffs’ counsel filed a second amended complaint on May 7, 2026, which among other matters, added new allegations and another named plaintiff. Plaintiffs allege that the defendants violated Sections 10(b) and 20(a) of the Exchange Act by purportedly overstating the strength and sustainability of our revenue growth and understating the negative impact of certain government permit and visa related policies on our business. The lawsuit seeks unspecified damages, costs, attorneys’ fees, and other relief. We believe we have strong defenses against the asserted claims and intend to vigorously defend ourselves, and we filed a motion to dismiss in response to the second amended complaint on June 15, 2026.</w:t>
      </w:r>
    </w:p>
    <w:p>
      <w:pPr>
        <w:pStyle w:val="TextBody"/>
        <w:bidi w:val="0"/>
        <w:jc w:val="left"/>
        <w:rPr>
          <w:rFonts w:ascii="Arial" w:hAnsi="Arial"/>
          <w:color w:val="000000"/>
          <w:sz w:val="20"/>
        </w:rPr>
      </w:pPr>
      <w:r>
        <w:rPr>
          <w:rFonts w:ascii="Arial" w:hAnsi="Arial"/>
          <w:color w:val="000000"/>
          <w:sz w:val="20"/>
        </w:rPr>
        <w:t>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pStyle w:val="TextBody"/>
        <w:bidi w:val="0"/>
        <w:spacing w:before="200" w:after="200"/>
        <w:jc w:val="left"/>
        <w:rPr>
          <w:rFonts w:ascii="Times New Roman" w:hAnsi="Times New Roman"/>
          <w:sz w:val="20"/>
        </w:rPr>
      </w:pPr>
      <w:bookmarkStart w:id="36" w:name="item_1a"/>
      <w:bookmarkEnd w:id="36"/>
      <w:r>
        <w:rPr>
          <w:rFonts w:ascii="Arial" w:hAnsi="Arial"/>
          <w:b/>
          <w:color w:val="000000"/>
          <w:sz w:val="20"/>
        </w:rPr>
        <w:t>It</w:t>
      </w:r>
      <w:bookmarkStart w:id="37" w:name="item_1a_risk_factors_1"/>
      <w:bookmarkEnd w:id="37"/>
      <w:r>
        <w:rPr>
          <w:rFonts w:ascii="Arial" w:hAnsi="Arial"/>
          <w:b/>
          <w:color w:val="000000"/>
          <w:sz w:val="20"/>
        </w:rPr>
        <w:t>em 1A. Risk Factors</w:t>
      </w:r>
    </w:p>
    <w:p>
      <w:pPr>
        <w:pStyle w:val="TextBody"/>
        <w:bidi w:val="0"/>
        <w:spacing w:before="0" w:after="200"/>
        <w:jc w:val="left"/>
        <w:rPr>
          <w:rFonts w:ascii="Arial" w:hAnsi="Arial"/>
          <w:i/>
          <w:color w:val="000000"/>
          <w:sz w:val="20"/>
        </w:rPr>
      </w:pPr>
      <w:r>
        <w:rPr>
          <w:rFonts w:ascii="Arial" w:hAnsi="Arial"/>
          <w:i/>
          <w:color w:val="000000"/>
          <w:sz w:val="20"/>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color w:val="000000"/>
          <w:sz w:val="20"/>
        </w:rPr>
      </w:pPr>
      <w:r>
        <w:rPr>
          <w:rFonts w:ascii="Arial" w:hAnsi="Arial"/>
          <w:b/>
          <w:color w:val="000000"/>
          <w:sz w:val="20"/>
        </w:rPr>
        <w:t>Risk Factors Summary</w:t>
      </w:r>
    </w:p>
    <w:p>
      <w:pPr>
        <w:pStyle w:val="TextBody"/>
        <w:bidi w:val="0"/>
        <w:spacing w:before="0" w:after="200"/>
        <w:jc w:val="left"/>
        <w:rPr>
          <w:rFonts w:ascii="Arial" w:hAnsi="Arial"/>
          <w:color w:val="000000"/>
          <w:sz w:val="20"/>
        </w:rPr>
      </w:pPr>
      <w:r>
        <w:rPr>
          <w:rFonts w:ascii="Arial" w:hAnsi="Arial"/>
          <w:color w:val="000000"/>
          <w:sz w:val="20"/>
        </w:rPr>
        <w:t>The summary of risks below is intended to provide an overview of the risks we face and should not be considered a substitute for the more fulsome risk factors discussed immediately following this summary.</w:t>
      </w:r>
    </w:p>
    <w:p>
      <w:pPr>
        <w:pStyle w:val="TextBody"/>
        <w:bidi w:val="0"/>
        <w:jc w:val="left"/>
        <w:rPr>
          <w:rFonts w:ascii="Arial" w:hAnsi="Arial"/>
          <w:b/>
          <w:i/>
          <w:color w:val="000000"/>
          <w:sz w:val="20"/>
        </w:rPr>
      </w:pPr>
      <w:r>
        <w:rPr>
          <w:rFonts w:ascii="Arial" w:hAnsi="Arial"/>
          <w:b/>
          <w:i/>
          <w:color w:val="000000"/>
          <w:sz w:val="20"/>
        </w:rPr>
        <w:t>Risks Related to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history of operating losses and may not achieve or sustain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short operating history at our current scale in a rapidly evolving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retain our current clients, attract new clients, and increase the number of our clients’ customers that use our solutions or sell additional functionality to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experience quarterly and annual fluctuations in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undertook restructuring activities that may not yield their intended efficiencies and could strain resources, negatively impact workforce morale, and slow down execution of our strategic plans.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operational and business portfolio reviews may not result in improvements to our financial performance, strategy, or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expect our revenue mix to vary over time, which could affect our gross profit, gross margin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our efforts to attract new clients and increase the number of our clients’ customers that use our solutions are unsuccessful, our revenue growth and operating results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expand our direct and channel sales capabilities, grow our marketing reach and increase sales productivity.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and operating results are subject to seasonality and cyclicality.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exposed to fluctuations in foreign currency exchange rates that could materially and adversely affect our cash flows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Certain of our key performance indicators are subject to inherent challenges in measurement.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depends, in large part, on our proprietary network of global, regional, and local banking partners and our relationships with other third-parties.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markets are highly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estimates of market opportunity and our ability to capture a meaningful share of this payment volume may prove to be inaccurate.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education business may be adversely affected by decreases in enrollment or tuition, cutbacks in governmental financial support, limitations or other restrictions on student visas to international students, actual and proposed U.S. policy changes and enforcement practices, or increased operating expenses for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healthcare industry is rapidly evolving.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travel business may be sensitive to events affecting the travel industry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enter or expand into new verticals or sub-verticals, including our B2B vertical.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could be consolidation in the payment processing or enablement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adversely impacted by global economic and political instability.</w:t>
      </w:r>
    </w:p>
    <w:p>
      <w:pPr>
        <w:pStyle w:val="TextBody"/>
        <w:bidi w:val="0"/>
        <w:spacing w:before="200" w:after="283"/>
        <w:jc w:val="left"/>
        <w:rPr>
          <w:rFonts w:ascii="Arial" w:hAnsi="Arial"/>
          <w:b/>
          <w:i/>
          <w:color w:val="000000"/>
          <w:sz w:val="20"/>
        </w:rPr>
      </w:pPr>
      <w:r>
        <w:rPr>
          <w:rFonts w:ascii="Arial" w:hAnsi="Arial"/>
          <w:b/>
          <w:i/>
          <w:color w:val="000000"/>
          <w:sz w:val="20"/>
        </w:rPr>
        <w:t>Risks Related to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be able to scale our business quickly enough to meet our growing client base, and our technology and systems transformation program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enable the transfer of large sums of funds to our clients daily and are subject to the risk of errors.</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Volatility in the banking and financial services sectors may impact our bank partnerships and relationships, which could adversely affect our operations and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management of our operating funds and those of our clients may be reliant on a limited number of our banking partners and other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maintain or expand our ability to offer a variety of local and international payment methods or grow and develop preferred payment choices.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Improper or unauthorized use of, disclosure of, or access to personal or sensitive data could harm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subject to cyberattacks or security vulnerabilities.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risk management efforts may not be effective to prevent fraudulent activities by our clients, FlyMates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fail to adapt and respond effectively to rapidly changing technology, evolving industry standards, changing regulations, and changing business needs, requirements, or preferences.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use of artificial intelligence (AI) may result in operational challenges, legal liability, reputational harm, competitive risks and enhanced regulatory and fraud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payment card networks fees or rules could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lose key members of our management team or are unable to attract and retain executives and employees we need to support our operations and growth, our business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could be harmed as a result of the risks associated with our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Systems failures and resulting interruptions in the availability of our solutions and core payment platform could harm our business.</w:t>
      </w:r>
    </w:p>
    <w:p>
      <w:pPr>
        <w:pStyle w:val="TextBody"/>
        <w:bidi w:val="0"/>
        <w:spacing w:before="200" w:after="283"/>
        <w:jc w:val="left"/>
        <w:rPr>
          <w:rFonts w:ascii="Arial" w:hAnsi="Arial"/>
          <w:b/>
          <w:i/>
          <w:color w:val="000000"/>
          <w:sz w:val="20"/>
        </w:rPr>
      </w:pPr>
      <w:r>
        <w:rPr>
          <w:rFonts w:ascii="Arial" w:hAnsi="Arial"/>
          <w:b/>
          <w:i/>
          <w:color w:val="000000"/>
          <w:sz w:val="20"/>
        </w:rPr>
        <w:t>Risks Related to Our Legal, Regulatory and Compliance Landscape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Payments and other financial services-related regulations and oversight are material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subject to governmental laws and requirements regarding economic and trade sanctions, AML, CFT and those applicable to a MSB.</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subject to governmental regulation and other legal obligations, particularly those related to privacy, data protection, information security, anti-corruption, anti-bribery, and similar laws.</w:t>
      </w:r>
    </w:p>
    <w:p>
      <w:pPr>
        <w:pStyle w:val="TextBody"/>
        <w:bidi w:val="0"/>
        <w:spacing w:before="200" w:after="283"/>
        <w:jc w:val="left"/>
        <w:rPr>
          <w:rFonts w:ascii="Arial" w:hAnsi="Arial"/>
          <w:b/>
          <w:i/>
          <w:color w:val="000000"/>
          <w:sz w:val="20"/>
        </w:rPr>
      </w:pPr>
      <w:r>
        <w:rPr>
          <w:rFonts w:ascii="Arial" w:hAnsi="Arial"/>
          <w:b/>
          <w:i/>
          <w:color w:val="000000"/>
          <w:sz w:val="20"/>
        </w:rPr>
        <w:t>Risks Related to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fail to continue to maintain proper effective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Estimates relating to our critical accounting policies may prove to be incorrect.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continue to incur increased costs as a public company.</w:t>
      </w:r>
    </w:p>
    <w:p>
      <w:pPr>
        <w:pStyle w:val="TextBody"/>
        <w:bidi w:val="0"/>
        <w:spacing w:before="200" w:after="283"/>
        <w:jc w:val="left"/>
        <w:rPr>
          <w:rFonts w:ascii="Arial" w:hAnsi="Arial"/>
          <w:b/>
          <w:i/>
          <w:color w:val="000000"/>
          <w:sz w:val="20"/>
        </w:rPr>
      </w:pPr>
      <w:r>
        <w:rPr>
          <w:rFonts w:ascii="Arial" w:hAnsi="Arial"/>
          <w:b/>
          <w:i/>
          <w:color w:val="000000"/>
          <w:sz w:val="20"/>
        </w:rPr>
        <w:t>Risks Related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Raising additional capital may cause dilution to our existing stockholders, restrict our operations, or require us to relinquish rights to our intellectual property on unfavorable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Repurchase Program may not achieve our goals or meet expectations.</w:t>
      </w:r>
    </w:p>
    <w:p>
      <w:pPr>
        <w:pStyle w:val="TextBody"/>
        <w:bidi w:val="0"/>
        <w:spacing w:before="200" w:after="200"/>
        <w:jc w:val="left"/>
        <w:rPr>
          <w:rFonts w:ascii="Arial" w:hAnsi="Arial"/>
          <w:b/>
          <w:color w:val="000000"/>
          <w:sz w:val="20"/>
        </w:rPr>
      </w:pPr>
      <w:r>
        <w:rPr>
          <w:rFonts w:ascii="Arial" w:hAnsi="Arial"/>
          <w:b/>
          <w:color w:val="000000"/>
          <w:sz w:val="20"/>
        </w:rPr>
        <w:t>Risks Related to Our Business and Industry</w:t>
      </w:r>
    </w:p>
    <w:p>
      <w:pPr>
        <w:pStyle w:val="TextBody"/>
        <w:bidi w:val="0"/>
        <w:spacing w:before="0" w:after="200"/>
        <w:jc w:val="left"/>
        <w:rPr>
          <w:rFonts w:ascii="Arial" w:hAnsi="Arial"/>
          <w:b/>
          <w:i/>
          <w:color w:val="000000"/>
          <w:sz w:val="20"/>
        </w:rPr>
      </w:pPr>
      <w:r>
        <w:rPr>
          <w:rFonts w:ascii="Arial" w:hAnsi="Arial"/>
          <w:b/>
          <w:i/>
          <w:color w:val="000000"/>
          <w:sz w:val="20"/>
        </w:rPr>
        <w:t>We have a history of operating losses and may not achieve or sustain profitability in the future.</w:t>
      </w:r>
    </w:p>
    <w:p>
      <w:pPr>
        <w:pStyle w:val="TextBody"/>
        <w:bidi w:val="0"/>
        <w:spacing w:before="0" w:after="200"/>
        <w:jc w:val="left"/>
        <w:rPr>
          <w:rFonts w:ascii="Times New Roman" w:hAnsi="Times New Roman"/>
          <w:sz w:val="20"/>
        </w:rPr>
      </w:pPr>
      <w:r>
        <w:rPr>
          <w:rFonts w:ascii="Arial" w:hAnsi="Arial"/>
          <w:color w:val="000000"/>
          <w:sz w:val="20"/>
        </w:rPr>
        <w:t>We were incorporated in 2009 and although we have only generated net income for the years ended December 31, 2024 and 2025, we have incurred net losses in the past, and may incur net losses in the future. We generated net income of $13.5 million and $2.9 million for the years ended December 31, 2025 and 2024, and generated net loss of $8.6 million for the year ended December 31, 2023, respectively, and net income of $4.4 million during the six months ended June 30, 2026 and a net loss of $16.2 million for the six months ended June 30, 2025. In addition, as of June 30, 2026, we had an accumulated deficit of $153.0 million. We have experienced significant revenue growth in recent periods and we are not certain whether or when we will obtain a high enough volume of revenue to sustain or increase our growth or maintain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w:t>
      </w:r>
      <w:r>
        <w:rPr>
          <w:rFonts w:ascii="Times New Roman" w:hAnsi="Times New Roman"/>
          <w:color w:val="000000"/>
          <w:sz w:val="20"/>
        </w:rPr>
        <w:t xml:space="preserve"> </w:t>
      </w:r>
      <w:r>
        <w:rPr>
          <w:rFonts w:ascii="Arial" w:hAnsi="Arial"/>
          <w:color w:val="000000"/>
          <w:sz w:val="20"/>
        </w:rPr>
        <w:t>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sustain profitability, the value of our business and common stock may significantly decrease.</w:t>
      </w:r>
    </w:p>
    <w:p>
      <w:pPr>
        <w:pStyle w:val="TextBody"/>
        <w:bidi w:val="0"/>
        <w:spacing w:before="0" w:after="200"/>
        <w:jc w:val="left"/>
        <w:rPr>
          <w:rFonts w:ascii="Arial" w:hAnsi="Arial"/>
          <w:color w:val="000000"/>
          <w:sz w:val="20"/>
        </w:rPr>
      </w:pPr>
      <w:r>
        <w:rPr>
          <w:rFonts w:ascii="Arial" w:hAnsi="Arial"/>
          <w:color w:val="000000"/>
          <w:sz w:val="20"/>
        </w:rPr>
        <w:t>If the assumptions we use to plan our business are incorrect or change in reaction to changes in our markets, or if we are unable to maintain consistent revenue or revenue growth, it may be difficult to maintain profitability. Our financial results from any prior quarterly or annual periods should not be relied upon as an indication of our future revenue or growth in revenue, gross profit, gross margins, volume of payments processed, or other operating results.</w:t>
      </w:r>
    </w:p>
    <w:p>
      <w:pPr>
        <w:pStyle w:val="TextBody"/>
        <w:bidi w:val="0"/>
        <w:jc w:val="left"/>
        <w:rPr>
          <w:rFonts w:ascii="Arial" w:hAnsi="Arial"/>
          <w:color w:val="000000"/>
          <w:sz w:val="20"/>
        </w:rPr>
      </w:pPr>
      <w:r>
        <w:rPr>
          <w:rFonts w:ascii="Arial" w:hAnsi="Arial"/>
          <w:color w:val="000000"/>
          <w:sz w:val="20"/>
        </w:rPr>
        <w:t>In addition, we expect to continue to expend substantial management time, financial and other resources 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marketing, relationship management and client support, including an expansion of our sales organization, and new client support and payer retention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technology infrastructure, including systems architecture, scalability, leveraging AI, availability, performance, and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technology development, including investments in our technology development team and the development of new solutions and new functionality;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expanding into more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retaining existing clients, attracting new clients and increasing the number of our clients’ customers that use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acquisitions or strategic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compliance and risk management;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administration, including increased insurance, legal and accounting expenses associated with being a public company.</w:t>
      </w:r>
    </w:p>
    <w:p>
      <w:pPr>
        <w:pStyle w:val="TextBody"/>
        <w:bidi w:val="0"/>
        <w:spacing w:before="200" w:after="283"/>
        <w:jc w:val="left"/>
        <w:rPr>
          <w:rFonts w:ascii="Arial" w:hAnsi="Arial"/>
          <w:color w:val="000000"/>
          <w:sz w:val="20"/>
        </w:rPr>
      </w:pPr>
      <w:r>
        <w:rPr>
          <w:rFonts w:ascii="Arial" w:hAnsi="Arial"/>
          <w:color w:val="000000"/>
          <w:sz w:val="20"/>
        </w:rPr>
        <w:t>These investments may not result in increased revenue growth in our business. If we are unable to increase our revenue at a rate sufficient to offset the increase in our costs, our business, financial position and operating results will be harmed, and we may not be able to achieve or maintain profitability over the long term.</w:t>
      </w:r>
    </w:p>
    <w:p>
      <w:pPr>
        <w:pStyle w:val="TextBody"/>
        <w:bidi w:val="0"/>
        <w:spacing w:before="200" w:after="283"/>
        <w:jc w:val="left"/>
        <w:rPr>
          <w:rFonts w:ascii="Arial" w:hAnsi="Arial"/>
          <w:b/>
          <w:i/>
          <w:color w:val="000000"/>
          <w:sz w:val="20"/>
        </w:rPr>
      </w:pPr>
      <w:r>
        <w:rPr>
          <w:rFonts w:ascii="Arial" w:hAnsi="Arial"/>
          <w:b/>
          <w:i/>
          <w:color w:val="000000"/>
          <w:sz w:val="20"/>
        </w:rPr>
        <w:t>We have a short operating history at our current scale in a rapidly and significantly evolving industry and, as a result, our past results may not be indicative of future operating performance.</w:t>
      </w:r>
    </w:p>
    <w:p>
      <w:pPr>
        <w:pStyle w:val="TextBody"/>
        <w:bidi w:val="0"/>
        <w:spacing w:before="200" w:after="283"/>
        <w:jc w:val="left"/>
        <w:rPr>
          <w:rFonts w:ascii="Arial" w:hAnsi="Arial"/>
          <w:color w:val="000000"/>
          <w:sz w:val="20"/>
        </w:rPr>
      </w:pPr>
      <w:r>
        <w:rPr>
          <w:rFonts w:ascii="Arial" w:hAnsi="Arial"/>
          <w:color w:val="000000"/>
          <w:sz w:val="20"/>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pStyle w:val="TextBody"/>
        <w:bidi w:val="0"/>
        <w:spacing w:before="200" w:after="283"/>
        <w:jc w:val="left"/>
        <w:rPr>
          <w:rFonts w:ascii="Arial" w:hAnsi="Arial"/>
          <w:color w:val="000000"/>
          <w:sz w:val="20"/>
        </w:rPr>
      </w:pPr>
      <w:r>
        <w:rPr>
          <w:rFonts w:ascii="Arial" w:hAnsi="Arial"/>
          <w:color w:val="000000"/>
          <w:sz w:val="20"/>
        </w:rPr>
        <w:t>Our future success will depend in large part upon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cost-effectively acquire new clients, retain existing clients, increase the number of our clients’ customers that use our solutions and sell additional functionality to our clients;</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and increase our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 pricing pressure on our solutions which would compress our margins;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market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enhance our existing solutions and develop new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 awareness of our brand and maintain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 new technologies, adapt to technology changes and evolving industry standards and to incorporate new technologies, such as artificial intelligence, into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offer seamless experience for our clients and their customers, including all user facing attributes ranging from the user interface to client and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our comprehensive, company-wide digital operational and systems transformation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 and respond to microeconomic and macroeconomic changes;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 our solutions and geographic reach, including with respect to B2B and travel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decision to exit certain markets, or our inability to process payments from certain jurisdictions we had previously served;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 and effectively respond to changing trends and the preferences of clients and their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 interruptions in our business from information technology (IT) downtime, an inability to manage emerging technology risks (including those posed by generative AI or other tools), cybersecurity breaches, or labor stoppages;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identify and manage risks, including foreign currency exchange risk;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integrate, and retain talented people at all levels of our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the quality of our technology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multiple, conflicting and changing governmental laws and regulations, including with respect to employment, tax, competition, workplace and sustainability and other social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pandemics, or other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retain our existing proprietary global network of banking and other payment partners and add new banking and other payment partners to scale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retain our existing technology partners that allow us to provide alternative payment methods and add new technology partners to scale our business.</w:t>
      </w:r>
    </w:p>
    <w:p>
      <w:pPr>
        <w:pStyle w:val="TextBody"/>
        <w:bidi w:val="0"/>
        <w:spacing w:before="200" w:after="283"/>
        <w:jc w:val="left"/>
        <w:rPr>
          <w:rFonts w:ascii="Arial" w:hAnsi="Arial"/>
          <w:color w:val="000000"/>
          <w:sz w:val="20"/>
        </w:rPr>
      </w:pPr>
      <w:r>
        <w:rPr>
          <w:rFonts w:ascii="Arial" w:hAnsi="Arial"/>
          <w:color w:val="000000"/>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pStyle w:val="TextBody"/>
        <w:bidi w:val="0"/>
        <w:spacing w:before="200" w:after="283"/>
        <w:jc w:val="left"/>
        <w:rPr>
          <w:rFonts w:ascii="Arial" w:hAnsi="Arial"/>
          <w:color w:val="000000"/>
          <w:sz w:val="20"/>
        </w:rPr>
      </w:pPr>
      <w:r>
        <w:rPr>
          <w:rFonts w:ascii="Arial" w:hAnsi="Arial"/>
          <w:color w:val="000000"/>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 and other operating results.</w:t>
      </w:r>
    </w:p>
    <w:p>
      <w:pPr>
        <w:pStyle w:val="TextBody"/>
        <w:bidi w:val="0"/>
        <w:spacing w:before="200" w:after="283"/>
        <w:jc w:val="left"/>
        <w:rPr>
          <w:rFonts w:ascii="Arial" w:hAnsi="Arial"/>
          <w:color w:val="000000"/>
          <w:sz w:val="20"/>
        </w:rPr>
      </w:pPr>
      <w:r>
        <w:rPr>
          <w:rFonts w:ascii="Arial" w:hAnsi="Arial"/>
          <w:color w:val="000000"/>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pStyle w:val="TextBody"/>
        <w:bidi w:val="0"/>
        <w:spacing w:before="200" w:after="283"/>
        <w:jc w:val="left"/>
        <w:rPr>
          <w:rFonts w:ascii="Arial" w:hAnsi="Arial"/>
          <w:color w:val="000000"/>
          <w:sz w:val="20"/>
        </w:rPr>
      </w:pPr>
      <w:r>
        <w:rPr>
          <w:rFonts w:ascii="Arial" w:hAnsi="Arial"/>
          <w:color w:val="000000"/>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pStyle w:val="TextBody"/>
        <w:bidi w:val="0"/>
        <w:spacing w:before="200" w:after="283"/>
        <w:jc w:val="left"/>
        <w:rPr>
          <w:rFonts w:ascii="Arial" w:hAnsi="Arial"/>
          <w:b/>
          <w:i/>
          <w:color w:val="000000"/>
          <w:sz w:val="20"/>
        </w:rPr>
      </w:pPr>
      <w:r>
        <w:rPr>
          <w:rFonts w:ascii="Arial" w:hAnsi="Arial"/>
          <w:b/>
          <w:i/>
          <w:color w:val="000000"/>
          <w:sz w:val="20"/>
        </w:rPr>
        <w:t>We may experience quarterly and annual fluctuations in our operating results, as well as our key metrics, due to a number of factors which make our future results difficult to predict and could cause our operating results to fall below expectations or our guidance.</w:t>
      </w:r>
    </w:p>
    <w:p>
      <w:pPr>
        <w:pStyle w:val="TextBody"/>
        <w:bidi w:val="0"/>
        <w:spacing w:before="200" w:after="283"/>
        <w:jc w:val="left"/>
        <w:rPr>
          <w:rFonts w:ascii="Arial" w:hAnsi="Arial"/>
          <w:color w:val="000000"/>
          <w:sz w:val="20"/>
        </w:rPr>
      </w:pPr>
      <w:r>
        <w:rPr>
          <w:rFonts w:ascii="Arial" w:hAnsi="Arial"/>
          <w:color w:val="000000"/>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pStyle w:val="TextBody"/>
        <w:bidi w:val="0"/>
        <w:spacing w:before="200" w:after="283"/>
        <w:jc w:val="left"/>
        <w:rPr>
          <w:rFonts w:ascii="Arial" w:hAnsi="Arial"/>
          <w:color w:val="000000"/>
          <w:sz w:val="20"/>
        </w:rPr>
      </w:pPr>
      <w:r>
        <w:rPr>
          <w:rFonts w:ascii="Arial" w:hAnsi="Arial"/>
          <w:color w:val="000000"/>
          <w:sz w:val="20"/>
        </w:rPr>
        <w:t>Our operating results have varied in the past and are expected to continue to do so in the future. In addition to other risk factors listed in this section titled “Risk Factors”, factors that may affect our quarterly and annual operating results, business and financial condition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demand for our solutions and the number, volume and timing of payments processed;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timing of tuition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threatened government restrictions or related suspensions, limitations or delays on the issuances of visas, such as those being implemented in the U.K., Canada, Australia, and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market acceptance of our current and future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revenue mix in a particular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mix of payment methods and currencies utilized by our clients’ customers in a particular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slowdown or delay in spending on IT and software by our current and/or prospective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cycles and performance of our direct and indirect sales force;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budgeting and implementation cycles of our current or potential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exchange rate fluctuations;</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management, performance and expansion of our domestic and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rate of renewals of contracts with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competitive dynamics of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control and predict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clients delaying purchasing decisions, including in anticipation of new products or product enhancements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seasonality and cyclical nature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successfully manage or integrate any acquisitions, including our most recent acquisition of Sertifi;</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outcome or publicity surrounding any pending or threatened lawsuits or government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level of scrutiny applied by regulators, clients, and investors on our social impact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events, including those resulting from climate change, international or civil conflicts and wars, or other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pandemics, or other public health emergencies and the responses thereto.</w:t>
      </w:r>
    </w:p>
    <w:p>
      <w:pPr>
        <w:pStyle w:val="TextBody"/>
        <w:bidi w:val="0"/>
        <w:spacing w:before="200" w:after="283"/>
        <w:jc w:val="left"/>
        <w:rPr>
          <w:rFonts w:ascii="Arial" w:hAnsi="Arial"/>
          <w:color w:val="000000"/>
          <w:sz w:val="20"/>
        </w:rPr>
      </w:pPr>
      <w:r>
        <w:rPr>
          <w:rFonts w:ascii="Arial" w:hAnsi="Arial"/>
          <w:color w:val="000000"/>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pStyle w:val="TextBody"/>
        <w:bidi w:val="0"/>
        <w:spacing w:before="200" w:after="283"/>
        <w:jc w:val="left"/>
        <w:rPr>
          <w:rFonts w:ascii="Arial" w:hAnsi="Arial"/>
          <w:color w:val="000000"/>
          <w:sz w:val="20"/>
        </w:rPr>
      </w:pPr>
      <w:r>
        <w:rPr>
          <w:rFonts w:ascii="Arial" w:hAnsi="Arial"/>
          <w:color w:val="000000"/>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pStyle w:val="TextBody"/>
        <w:bidi w:val="0"/>
        <w:spacing w:before="200" w:after="200"/>
        <w:jc w:val="left"/>
        <w:rPr>
          <w:rFonts w:ascii="Arial" w:hAnsi="Arial"/>
          <w:b/>
          <w:i/>
          <w:color w:val="000000"/>
          <w:sz w:val="20"/>
        </w:rPr>
      </w:pPr>
      <w:r>
        <w:rPr>
          <w:rFonts w:ascii="Arial" w:hAnsi="Arial"/>
          <w:b/>
          <w:i/>
          <w:color w:val="000000"/>
          <w:sz w:val="20"/>
        </w:rPr>
        <w:t>We undertook restructuring activities that may not yield their intended efficiencies and could strain resources, negatively impact workforce morale, and slow down execution of our strategic plans.</w:t>
      </w:r>
    </w:p>
    <w:p>
      <w:pPr>
        <w:pStyle w:val="TextBody"/>
        <w:bidi w:val="0"/>
        <w:spacing w:before="0" w:after="200"/>
        <w:jc w:val="left"/>
        <w:rPr>
          <w:rFonts w:ascii="Arial" w:hAnsi="Arial"/>
          <w:color w:val="000000"/>
          <w:sz w:val="20"/>
        </w:rPr>
      </w:pPr>
      <w:r>
        <w:rPr>
          <w:rFonts w:ascii="Arial" w:hAnsi="Arial"/>
          <w:color w:val="000000"/>
          <w:sz w:val="20"/>
        </w:rPr>
        <w:t>In February 2025, we announced a restructuring plan designed to improve operational efficiencies, reduce operating costs and better align our workforce with current business needs, top strategic priorities and key growth opportunities (Restructuring Plan). As part of the Restructuring Plan, we implemented a reduction in force. These actions and other additional measures we might take to reduce costs may potentially result in a strain on our workforce, divert management attention, yield attrition beyond our intended reduction in force, negatively impact employee morale and productivity, the loss of institutional knowledge and expertise,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implemented, and any other future reductions, may negatively impact our ability to attract, integrate, retain and motivate highly qualified employees, make it difficult for us to pursue new opportunities and initiatives, and may harm our reputation with current or prospective employees.</w:t>
      </w:r>
    </w:p>
    <w:p>
      <w:pPr>
        <w:pStyle w:val="TextBody"/>
        <w:bidi w:val="0"/>
        <w:spacing w:before="0" w:after="200"/>
        <w:jc w:val="left"/>
        <w:rPr>
          <w:rFonts w:ascii="Arial" w:hAnsi="Arial"/>
          <w:b/>
          <w:i/>
          <w:color w:val="000000"/>
          <w:sz w:val="20"/>
        </w:rPr>
      </w:pPr>
      <w:r>
        <w:rPr>
          <w:rFonts w:ascii="Arial" w:hAnsi="Arial"/>
          <w:b/>
          <w:i/>
          <w:color w:val="000000"/>
          <w:sz w:val="20"/>
        </w:rPr>
        <w:t>Our operational and business portfolio reviews may not result in improvements to our financial performance, strategy, or operations, and we face a number of risks related to such reviews.</w:t>
      </w:r>
    </w:p>
    <w:p>
      <w:pPr>
        <w:pStyle w:val="TextBody"/>
        <w:bidi w:val="0"/>
        <w:spacing w:before="0" w:after="200"/>
        <w:jc w:val="left"/>
        <w:rPr>
          <w:rFonts w:ascii="Times New Roman" w:hAnsi="Times New Roman"/>
          <w:sz w:val="20"/>
        </w:rPr>
      </w:pPr>
      <w:r>
        <w:rPr>
          <w:rFonts w:ascii="Arial" w:hAnsi="Arial"/>
          <w:color w:val="000000"/>
          <w:sz w:val="20"/>
        </w:rPr>
        <w:t>Our operational and business portfolio reviews are ongoing, and are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estimated cost savings may be lower than forecasted. We may not achieve the desired strategic, operational, and financial benefits of any actions previously taken, or taken in the future,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pStyle w:val="TextBody"/>
        <w:bidi w:val="0"/>
        <w:spacing w:before="0" w:after="200"/>
        <w:jc w:val="left"/>
        <w:rPr>
          <w:rFonts w:ascii="Arial" w:hAnsi="Arial"/>
          <w:color w:val="000000"/>
          <w:sz w:val="20"/>
        </w:rPr>
      </w:pPr>
      <w:r>
        <w:rPr>
          <w:rFonts w:ascii="Arial" w:hAnsi="Arial"/>
          <w:color w:val="000000"/>
          <w:sz w:val="20"/>
        </w:rPr>
        <w:t>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pStyle w:val="TextBody"/>
        <w:bidi w:val="0"/>
        <w:spacing w:before="0" w:after="200"/>
        <w:jc w:val="left"/>
        <w:rPr>
          <w:rFonts w:ascii="Arial" w:hAnsi="Arial"/>
          <w:b/>
          <w:i/>
          <w:color w:val="000000"/>
          <w:sz w:val="20"/>
        </w:rPr>
      </w:pPr>
      <w:r>
        <w:rPr>
          <w:rFonts w:ascii="Arial" w:hAnsi="Arial"/>
          <w:b/>
          <w:i/>
          <w:color w:val="000000"/>
          <w:sz w:val="20"/>
        </w:rPr>
        <w:t>We expect our revenue mix to vary over time, which could affect our gross profit, gross margin and results of operations.</w:t>
      </w:r>
    </w:p>
    <w:p>
      <w:pPr>
        <w:pStyle w:val="TextBody"/>
        <w:bidi w:val="0"/>
        <w:jc w:val="left"/>
        <w:rPr>
          <w:rFonts w:ascii="Arial" w:hAnsi="Arial"/>
          <w:color w:val="000000"/>
          <w:sz w:val="20"/>
        </w:rPr>
      </w:pPr>
      <w:r>
        <w:rPr>
          <w:rFonts w:ascii="Arial" w:hAnsi="Arial"/>
          <w:color w:val="000000"/>
          <w:sz w:val="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bidi w:val="0"/>
        <w:spacing w:before="200" w:after="283"/>
        <w:jc w:val="left"/>
        <w:rPr>
          <w:rFonts w:ascii="Arial" w:hAnsi="Arial"/>
          <w:b/>
          <w:i/>
          <w:color w:val="000000"/>
          <w:sz w:val="20"/>
        </w:rPr>
      </w:pPr>
      <w:r>
        <w:rPr>
          <w:rFonts w:ascii="Arial" w:hAnsi="Arial"/>
          <w:b/>
          <w:i/>
          <w:color w:val="000000"/>
          <w:sz w:val="20"/>
        </w:rPr>
        <w:t>If our efforts to attract new clients and increase the number of our clients’ customers that use our solutions are unsuccessful, our revenue growth and operating results will be adversely affected.</w:t>
      </w:r>
    </w:p>
    <w:p>
      <w:pPr>
        <w:pStyle w:val="TextBody"/>
        <w:bidi w:val="0"/>
        <w:spacing w:before="200" w:after="283"/>
        <w:jc w:val="left"/>
        <w:rPr>
          <w:rFonts w:ascii="Arial" w:hAnsi="Arial"/>
          <w:color w:val="000000"/>
          <w:sz w:val="20"/>
        </w:rPr>
      </w:pPr>
      <w:r>
        <w:rPr>
          <w:rFonts w:ascii="Arial" w:hAnsi="Arial"/>
          <w:color w:val="000000"/>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If we are unable to expand our direct and channel sales capabilities, grow our marketing reach and increase sales productivity, we may not be able to generate increased revenues.</w:t>
      </w:r>
    </w:p>
    <w:p>
      <w:pPr>
        <w:pStyle w:val="TextBody"/>
        <w:bidi w:val="0"/>
        <w:spacing w:before="200" w:after="283"/>
        <w:jc w:val="left"/>
        <w:rPr>
          <w:rFonts w:ascii="Times New Roman" w:hAnsi="Times New Roman"/>
          <w:sz w:val="20"/>
        </w:rPr>
      </w:pPr>
      <w:r>
        <w:rPr>
          <w:rFonts w:ascii="Arial" w:hAnsi="Arial"/>
          <w:color w:val="000000"/>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Our business could be adversely affected if our clients or their customers are not satisfied with the timing or quality of implementation services provided by us or our partners.</w:t>
      </w:r>
    </w:p>
    <w:p>
      <w:pPr>
        <w:pStyle w:val="TextBody"/>
        <w:bidi w:val="0"/>
        <w:spacing w:before="200" w:after="283"/>
        <w:jc w:val="left"/>
        <w:rPr>
          <w:rFonts w:ascii="Arial" w:hAnsi="Arial"/>
          <w:color w:val="000000"/>
          <w:sz w:val="20"/>
        </w:rPr>
      </w:pPr>
      <w:r>
        <w:rPr>
          <w:rFonts w:ascii="Arial" w:hAnsi="Arial"/>
          <w:color w:val="000000"/>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pStyle w:val="TextBody"/>
        <w:bidi w:val="0"/>
        <w:spacing w:before="200" w:after="283"/>
        <w:jc w:val="left"/>
        <w:rPr>
          <w:rFonts w:ascii="Arial" w:hAnsi="Arial"/>
          <w:b/>
          <w:i/>
          <w:color w:val="000000"/>
          <w:sz w:val="20"/>
        </w:rPr>
      </w:pPr>
      <w:r>
        <w:rPr>
          <w:rFonts w:ascii="Arial" w:hAnsi="Arial"/>
          <w:b/>
          <w:i/>
          <w:color w:val="000000"/>
          <w:sz w:val="20"/>
        </w:rPr>
        <w:t>Our financial and operating results are subject to seasonality and cyclicality.</w:t>
      </w:r>
    </w:p>
    <w:p>
      <w:pPr>
        <w:pStyle w:val="TextBody"/>
        <w:bidi w:val="0"/>
        <w:spacing w:before="200" w:after="283"/>
        <w:jc w:val="left"/>
        <w:rPr>
          <w:rFonts w:ascii="Arial" w:hAnsi="Arial"/>
          <w:color w:val="000000"/>
          <w:sz w:val="20"/>
        </w:rPr>
      </w:pPr>
      <w:r>
        <w:rPr>
          <w:rFonts w:ascii="Arial" w:hAnsi="Arial"/>
          <w:color w:val="000000"/>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pStyle w:val="TextBody"/>
        <w:bidi w:val="0"/>
        <w:spacing w:before="200" w:after="283"/>
        <w:jc w:val="left"/>
        <w:rPr>
          <w:rFonts w:ascii="Arial" w:hAnsi="Arial"/>
          <w:b/>
          <w:i/>
          <w:color w:val="000000"/>
          <w:sz w:val="20"/>
        </w:rPr>
      </w:pPr>
      <w:r>
        <w:rPr>
          <w:rFonts w:ascii="Arial" w:hAnsi="Arial"/>
          <w:b/>
          <w:i/>
          <w:color w:val="000000"/>
          <w:sz w:val="20"/>
        </w:rPr>
        <w:t>We are exposed to fluctuations in foreign currency exchange rates that could materially and adversely affect our results of operations.</w:t>
      </w:r>
    </w:p>
    <w:p>
      <w:pPr>
        <w:pStyle w:val="TextBody"/>
        <w:bidi w:val="0"/>
        <w:spacing w:before="200" w:after="283"/>
        <w:jc w:val="left"/>
        <w:rPr>
          <w:rFonts w:ascii="Arial" w:hAnsi="Arial"/>
          <w:color w:val="000000"/>
          <w:sz w:val="20"/>
        </w:rPr>
      </w:pPr>
      <w:r>
        <w:rPr>
          <w:rFonts w:ascii="Arial" w:hAnsi="Arial"/>
          <w:color w:val="000000"/>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six months ended June 30, 2026, as the U.S. Dollar weakened against several currencies, including the British Pound, relative to the prior year, these foreign exchange impacts increased our reported revenue in U.S. Dollars by approximately $9.4 million compared to the prior year on a FX Neutral basis.</w:t>
      </w:r>
    </w:p>
    <w:p>
      <w:pPr>
        <w:pStyle w:val="TextBody"/>
        <w:bidi w:val="0"/>
        <w:spacing w:before="200" w:after="283"/>
        <w:jc w:val="left"/>
        <w:rPr>
          <w:rFonts w:ascii="Arial" w:hAnsi="Arial"/>
          <w:color w:val="000000"/>
          <w:sz w:val="20"/>
        </w:rPr>
      </w:pPr>
      <w:r>
        <w:rPr>
          <w:rFonts w:ascii="Arial" w:hAnsi="Arial"/>
          <w:color w:val="000000"/>
          <w:sz w:val="20"/>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pStyle w:val="TextBody"/>
        <w:bidi w:val="0"/>
        <w:spacing w:before="200" w:after="283"/>
        <w:jc w:val="left"/>
        <w:rPr>
          <w:rFonts w:ascii="Arial" w:hAnsi="Arial"/>
          <w:color w:val="000000"/>
          <w:sz w:val="20"/>
        </w:rPr>
      </w:pPr>
      <w:r>
        <w:rPr>
          <w:rFonts w:ascii="Arial" w:hAnsi="Arial"/>
          <w:color w:val="000000"/>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pStyle w:val="TextBody"/>
        <w:bidi w:val="0"/>
        <w:spacing w:before="200" w:after="283"/>
        <w:jc w:val="left"/>
        <w:rPr>
          <w:rFonts w:ascii="Arial" w:hAnsi="Arial"/>
          <w:color w:val="000000"/>
          <w:sz w:val="20"/>
        </w:rPr>
      </w:pPr>
      <w:r>
        <w:rPr>
          <w:rFonts w:ascii="Arial" w:hAnsi="Arial"/>
          <w:color w:val="000000"/>
          <w:sz w:val="20"/>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Certain of our key performance indicators are subject to inherent challenges in measurement, and real or perceived inaccuracies in such metrics may harm our reputation and negatively affect our business.</w:t>
      </w:r>
    </w:p>
    <w:p>
      <w:pPr>
        <w:pStyle w:val="TextBody"/>
        <w:bidi w:val="0"/>
        <w:spacing w:before="200" w:after="283"/>
        <w:jc w:val="left"/>
        <w:rPr>
          <w:rFonts w:ascii="Arial" w:hAnsi="Arial"/>
          <w:color w:val="000000"/>
          <w:sz w:val="20"/>
        </w:rPr>
      </w:pPr>
      <w:r>
        <w:rPr>
          <w:rFonts w:ascii="Arial" w:hAnsi="Arial"/>
          <w:color w:val="000000"/>
          <w:sz w:val="20"/>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pStyle w:val="TextBody"/>
        <w:bidi w:val="0"/>
        <w:spacing w:before="200" w:after="283"/>
        <w:jc w:val="left"/>
        <w:rPr>
          <w:rFonts w:ascii="Arial" w:hAnsi="Arial"/>
          <w:b/>
          <w:i/>
          <w:color w:val="000000"/>
          <w:sz w:val="20"/>
        </w:rPr>
      </w:pPr>
      <w:r>
        <w:rPr>
          <w:rFonts w:ascii="Arial" w:hAnsi="Arial"/>
          <w:b/>
          <w:i/>
          <w:color w:val="000000"/>
          <w:sz w:val="20"/>
        </w:rPr>
        <w:t>Our business depends, in large part, on our proprietary network of global, regional and local banking partners.</w:t>
      </w:r>
    </w:p>
    <w:p>
      <w:pPr>
        <w:pStyle w:val="TextBody"/>
        <w:bidi w:val="0"/>
        <w:spacing w:before="200" w:after="283"/>
        <w:jc w:val="left"/>
        <w:rPr>
          <w:rFonts w:ascii="Arial" w:hAnsi="Arial"/>
          <w:color w:val="000000"/>
          <w:sz w:val="20"/>
        </w:rPr>
      </w:pPr>
      <w:r>
        <w:rPr>
          <w:rFonts w:ascii="Arial" w:hAnsi="Arial"/>
          <w:color w:val="000000"/>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and anti-financial crime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pStyle w:val="TextBody"/>
        <w:bidi w:val="0"/>
        <w:spacing w:before="200" w:after="283"/>
        <w:jc w:val="left"/>
        <w:rPr>
          <w:rFonts w:ascii="Arial" w:hAnsi="Arial"/>
          <w:color w:val="000000"/>
          <w:sz w:val="20"/>
        </w:rPr>
      </w:pPr>
      <w:r>
        <w:rPr>
          <w:rFonts w:ascii="Arial" w:hAnsi="Arial"/>
          <w:color w:val="000000"/>
          <w:sz w:val="20"/>
        </w:rPr>
        <w:t>In addition, our existing banking partners may at any time and from time to time cease serving certain categories of payments due to perceived risk or similar reasons as well as payments originating from, or being paid to, certain high-risk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pStyle w:val="TextBody"/>
        <w:bidi w:val="0"/>
        <w:spacing w:before="200" w:after="283"/>
        <w:jc w:val="left"/>
        <w:rPr>
          <w:rFonts w:ascii="Arial" w:hAnsi="Arial"/>
          <w:color w:val="000000"/>
          <w:sz w:val="20"/>
        </w:rPr>
      </w:pPr>
      <w:r>
        <w:rPr>
          <w:rFonts w:ascii="Arial" w:hAnsi="Arial"/>
          <w:color w:val="000000"/>
          <w:sz w:val="20"/>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Our growth depends in part on the success of our relationships with other (non-banking) third parties.</w:t>
      </w:r>
    </w:p>
    <w:p>
      <w:pPr>
        <w:pStyle w:val="TextBody"/>
        <w:bidi w:val="0"/>
        <w:spacing w:before="200" w:after="283"/>
        <w:jc w:val="left"/>
        <w:rPr>
          <w:rFonts w:ascii="Arial" w:hAnsi="Arial"/>
          <w:color w:val="000000"/>
          <w:sz w:val="20"/>
        </w:rPr>
      </w:pPr>
      <w:r>
        <w:rPr>
          <w:rFonts w:ascii="Arial" w:hAnsi="Arial"/>
          <w:color w:val="000000"/>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pStyle w:val="TextBody"/>
        <w:bidi w:val="0"/>
        <w:spacing w:before="200" w:after="283"/>
        <w:jc w:val="left"/>
        <w:rPr>
          <w:rFonts w:ascii="Arial" w:hAnsi="Arial"/>
          <w:b/>
          <w:i/>
          <w:color w:val="000000"/>
          <w:sz w:val="20"/>
        </w:rPr>
      </w:pPr>
      <w:r>
        <w:rPr>
          <w:rFonts w:ascii="Arial" w:hAnsi="Arial"/>
          <w:b/>
          <w:i/>
          <w:color w:val="000000"/>
          <w:sz w:val="20"/>
        </w:rPr>
        <w:t>The markets in which we participate are competitive, and if we do not compete effectively, our operating results could be harmed.</w:t>
      </w:r>
    </w:p>
    <w:p>
      <w:pPr>
        <w:pStyle w:val="TextBody"/>
        <w:bidi w:val="0"/>
        <w:spacing w:before="200" w:after="283"/>
        <w:jc w:val="left"/>
        <w:rPr>
          <w:rFonts w:ascii="Arial" w:hAnsi="Arial"/>
          <w:color w:val="000000"/>
          <w:sz w:val="20"/>
        </w:rPr>
      </w:pPr>
      <w:r>
        <w:rPr>
          <w:rFonts w:ascii="Arial" w:hAnsi="Arial"/>
          <w:color w:val="000000"/>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pStyle w:val="TextBody"/>
        <w:bidi w:val="0"/>
        <w:spacing w:before="200" w:after="283"/>
        <w:jc w:val="left"/>
        <w:rPr>
          <w:rFonts w:ascii="Arial" w:hAnsi="Arial"/>
          <w:color w:val="000000"/>
          <w:sz w:val="20"/>
        </w:rPr>
      </w:pPr>
      <w:r>
        <w:rPr>
          <w:rFonts w:ascii="Arial" w:hAnsi="Arial"/>
          <w:color w:val="000000"/>
          <w:sz w:val="20"/>
        </w:rPr>
        <w:t>In addition, regulatory reform may in some instances reduce barriers to entry. For example, on May 19, 2026, in the U.S. President Trump signed an executive order titled "Integrating Financial Technology Innovation into Regulatory Frameworks" (the Order) to direct federal financial regulators to reduce barriers to entry for fintech firms and facilitate partnerships between fintech firms and federally regulated financial institutions. The Order is aimed at reducing barriers to entry and encouraging collaboration between fintech firms and traditional financial institutions. The Order defines "fintech firm" to include any non-bank company that uses or develops technology to offer or support financial products or services, including payment processing, digital asset services, and blockchain-based services. The Order also requests the Federal Reserve Board to evaluate expanding fintech access to Reserve Bank payment accounts and services. Management will continue to track Order implementation efforts and any impact on the competitive environment in which the company operates.</w:t>
      </w:r>
    </w:p>
    <w:p>
      <w:pPr>
        <w:pStyle w:val="TextBody"/>
        <w:bidi w:val="0"/>
        <w:spacing w:before="200" w:after="283"/>
        <w:jc w:val="left"/>
        <w:rPr>
          <w:rFonts w:ascii="Arial" w:hAnsi="Arial"/>
          <w:color w:val="000000"/>
          <w:sz w:val="20"/>
        </w:rPr>
      </w:pPr>
      <w:r>
        <w:rPr>
          <w:rFonts w:ascii="Arial" w:hAnsi="Arial"/>
          <w:color w:val="000000"/>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pStyle w:val="TextBody"/>
        <w:bidi w:val="0"/>
        <w:spacing w:before="200" w:after="283"/>
        <w:jc w:val="left"/>
        <w:rPr>
          <w:rFonts w:ascii="Times New Roman" w:hAnsi="Times New Roman"/>
          <w:sz w:val="20"/>
        </w:rPr>
      </w:pPr>
      <w:r>
        <w:rPr>
          <w:rFonts w:ascii="Arial" w:hAnsi="Arial"/>
          <w:color w:val="000000"/>
          <w:sz w:val="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estimates and growth forecasted, our business could fail to grow at similar rates, if at all. Our growth is subject to many factors, including our success in implementing our business strategy, which is subject to many risks and uncertainties.</w:t>
      </w:r>
    </w:p>
    <w:p>
      <w:pPr>
        <w:pStyle w:val="TextBody"/>
        <w:bidi w:val="0"/>
        <w:spacing w:before="200" w:after="283"/>
        <w:jc w:val="left"/>
        <w:rPr>
          <w:rFonts w:ascii="Arial" w:hAnsi="Arial"/>
          <w:b/>
          <w:i/>
          <w:color w:val="000000"/>
          <w:sz w:val="20"/>
        </w:rPr>
      </w:pPr>
      <w:r>
        <w:rPr>
          <w:rFonts w:ascii="Arial" w:hAnsi="Arial"/>
          <w:b/>
          <w:i/>
          <w:color w:val="000000"/>
          <w:sz w:val="20"/>
        </w:rPr>
        <w:t>Our clients in the education sector may be adversely affected by decreases in enrollment, limitations or other restrictions on student visas, pressure on tuition costs, or increased operating expenses, which may reduce demand for our solutions.</w:t>
      </w:r>
    </w:p>
    <w:p>
      <w:pPr>
        <w:pStyle w:val="TextBody"/>
        <w:bidi w:val="0"/>
        <w:spacing w:before="200" w:after="283"/>
        <w:jc w:val="left"/>
        <w:rPr>
          <w:rFonts w:ascii="Arial" w:hAnsi="Arial"/>
          <w:color w:val="000000"/>
          <w:sz w:val="20"/>
        </w:rPr>
      </w:pPr>
      <w:r>
        <w:rPr>
          <w:rFonts w:ascii="Arial" w:hAnsi="Arial"/>
          <w:color w:val="000000"/>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Declines in international student enrollment. Global conflict, geopolitical tensions and restrictions on immigration and revocations, suspensions or increased restrictions or limitations on the award of student visas (such as those being implemented in the U.S., U.K., Canada and Australia) has and is expected to continue to negatively impact the cross-border education industry and schools that rely on foreign student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supported institutions may experience losses or reduction in public funding. Many of our clients rely considerably upon public funding or support, which may not always be available due to budget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clients’ rankings, reputation and marketing efforts strongly affect enrollments, none of which we control. If we fail to maintain or add clients with strong, stable reputations and rankings, they will fail to achieve consistent enrollments.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U.S. government shutdown could result in the suspension, delay or cancellation in education grants and loans or in the issuance of visas or visa denials, any of which could discourage prospective international students from choosing U.S. institutions as places for study or otherwise negatively impact our revenues derived from such students.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pStyle w:val="TextBody"/>
        <w:bidi w:val="0"/>
        <w:spacing w:before="200" w:after="283"/>
        <w:jc w:val="left"/>
        <w:rPr>
          <w:rFonts w:ascii="Arial" w:hAnsi="Arial"/>
          <w:color w:val="000000"/>
          <w:sz w:val="20"/>
        </w:rPr>
      </w:pPr>
      <w:r>
        <w:rPr>
          <w:rFonts w:ascii="Arial" w:hAnsi="Arial"/>
          <w:color w:val="000000"/>
          <w:sz w:val="20"/>
        </w:rPr>
        <w:t>The cross-border payment volumes in our Education vertical are significantly influenced by the ability of international students to secure and maintain work authorization in the U.S. through programs like Optional Practical Training (“OPT”). Although bipartisan initiatives such as the “Keep Innovators in America Act” seek to stabilize the sector by codifying OPT into statute and providing "dual intent" for student visas, the program remains vulnerable to competing legislative proposals for termination and administrative processing freezes that have recently impacted students from 39 countries. Any sustained reduction in the availability of these work authorizations or a shift in the U.S. competitive position relative to other global education hubs could lead to decreased enrollment at our U.S. client institutions. Consequently, such volatility in immigration policy and work authorization processing could result in a material reduction in our transaction volumes, impacting our revenue and results of operations.</w:t>
      </w:r>
    </w:p>
    <w:p>
      <w:pPr>
        <w:pStyle w:val="TextBody"/>
        <w:bidi w:val="0"/>
        <w:spacing w:before="200" w:after="283"/>
        <w:jc w:val="left"/>
        <w:rPr>
          <w:rFonts w:ascii="Arial" w:hAnsi="Arial"/>
          <w:color w:val="000000"/>
          <w:sz w:val="20"/>
        </w:rPr>
      </w:pPr>
      <w:r>
        <w:rPr>
          <w:rFonts w:ascii="Arial" w:hAnsi="Arial"/>
          <w:color w:val="000000"/>
          <w:sz w:val="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p>
    <w:p>
      <w:pPr>
        <w:pStyle w:val="TextBody"/>
        <w:bidi w:val="0"/>
        <w:spacing w:before="200" w:after="283"/>
        <w:jc w:val="left"/>
        <w:rPr>
          <w:rFonts w:ascii="Times New Roman" w:hAnsi="Times New Roman"/>
          <w:sz w:val="20"/>
        </w:rPr>
      </w:pPr>
      <w:r>
        <w:rPr>
          <w:rFonts w:ascii="Arial" w:hAnsi="Arial"/>
          <w:color w:val="000000"/>
          <w:sz w:val="20"/>
        </w:rPr>
        <w:t>In January 2024, the Canadian government announced what at the time appeared to be a temporary intake cap on international student permit applications to stabilize new growth for a period of two years. This cap – intended to address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expects to issue up to 408,000 study permits,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will not need to submit a provincial or territorial attestation letter with their study permit application. Additionally, in November 2024, Canada ended its Student Direct Stream (SDS) program for expedited international student visa processing, and international students applying to study in Canada no longer need to prepay tuition to apply for a study permit.</w:t>
      </w:r>
    </w:p>
    <w:p>
      <w:pPr>
        <w:pStyle w:val="TextBody"/>
        <w:bidi w:val="0"/>
        <w:spacing w:before="200" w:after="283"/>
        <w:jc w:val="left"/>
        <w:rPr>
          <w:rFonts w:ascii="Arial" w:hAnsi="Arial"/>
          <w:color w:val="000000"/>
          <w:sz w:val="20"/>
        </w:rPr>
      </w:pPr>
      <w:r>
        <w:rPr>
          <w:rFonts w:ascii="Arial" w:hAnsi="Arial"/>
          <w:color w:val="000000"/>
          <w:sz w:val="20"/>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have had an adverse impact on our business for the six months ended June 30, 2026 and we anticipate will continue to impact our Australian revenues in 2026.</w:t>
      </w:r>
    </w:p>
    <w:p>
      <w:pPr>
        <w:pStyle w:val="TextBody"/>
        <w:bidi w:val="0"/>
        <w:spacing w:before="200" w:after="283"/>
        <w:jc w:val="left"/>
        <w:rPr>
          <w:rFonts w:ascii="Arial" w:hAnsi="Arial"/>
          <w:color w:val="000000"/>
          <w:sz w:val="20"/>
        </w:rPr>
      </w:pPr>
      <w:r>
        <w:rPr>
          <w:rFonts w:ascii="Arial" w:hAnsi="Arial"/>
          <w:color w:val="000000"/>
          <w:sz w:val="20"/>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Expectation of longer student visa processing times, potentially extending from current medians to eight or more weeks, which could disrupt admissions and orientation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administrative burden on international offices and recruitment staff to assist Indian applicants with enhanced documentation and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of a reduction in Indian student enrollments or delays in arrival, affecting tuition revenue and program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Necessity for universities to adjust intake planning, including staggered start dates or expanded online coursework, to accommodate delayed visa issuance.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for higher refusal rates requiring additional counseling and risk management for affected applicants.</w:t>
      </w:r>
    </w:p>
    <w:p>
      <w:pPr>
        <w:pStyle w:val="TextBody"/>
        <w:bidi w:val="0"/>
        <w:spacing w:before="200" w:after="283"/>
        <w:jc w:val="left"/>
        <w:rPr>
          <w:rFonts w:ascii="Arial" w:hAnsi="Arial"/>
          <w:color w:val="000000"/>
          <w:sz w:val="20"/>
        </w:rPr>
      </w:pPr>
      <w:r>
        <w:rPr>
          <w:rFonts w:ascii="Arial" w:hAnsi="Arial"/>
          <w:color w:val="000000"/>
          <w:sz w:val="20"/>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 In addition, effective July 1, 2026, the Australian Government increased the non-refundable Student Visa (Subclass 500) application charge by 25%, raising the fee for primary applicants from AUD 2,000 to AUD 2,500. Higher upfront visa costs and potential application friction could temper total inbound international student enrollment growth in Australia, which may impact Flywire’s Australian education vertical.</w:t>
      </w:r>
    </w:p>
    <w:p>
      <w:pPr>
        <w:pStyle w:val="TextBody"/>
        <w:bidi w:val="0"/>
        <w:spacing w:before="200" w:after="283"/>
        <w:jc w:val="left"/>
        <w:rPr>
          <w:rFonts w:ascii="Times New Roman" w:hAnsi="Times New Roman"/>
          <w:sz w:val="20"/>
        </w:rPr>
      </w:pPr>
      <w:r>
        <w:rPr>
          <w:rFonts w:ascii="Arial" w:hAnsi="Arial"/>
          <w:color w:val="000000"/>
          <w:sz w:val="20"/>
        </w:rPr>
        <w:t>In the U.K. as well, there have recently been significant modifications to the process and standards for issuance of international student visas which may reduce demand for international study and adversely affect our business. 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pStyle w:val="TextBody"/>
        <w:bidi w:val="0"/>
        <w:spacing w:before="200" w:after="200"/>
        <w:jc w:val="left"/>
        <w:rPr>
          <w:rFonts w:ascii="Arial" w:hAnsi="Arial"/>
          <w:color w:val="000000"/>
          <w:sz w:val="20"/>
        </w:rPr>
      </w:pPr>
      <w:r>
        <w:rPr>
          <w:rFonts w:ascii="Arial" w:hAnsi="Arial"/>
          <w:color w:val="000000"/>
          <w:sz w:val="20"/>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Currently the status and validity of the $100,000 filing fee is in dispute as the issue is appealed through the U.S. court system. In addition, in 2025 U.S. policy shifts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The U.S. Department of Homeland Security’s final ruling replacing the open-ended "duration of status" for F-1 visa holders with a fixed maximum admission period of four years also creates added administrative burdens and potential visa uncertainty for international students studying in the U.S. and near-term immigration friction could temper growth in overall U.S. inbound international student enrollment, which may adversely impact our revenue and results of operations. Delays in issuances of visas or visa denials – which could be exacerbated by the recent U.S. government shutdown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can also dampen demands for international study.</w:t>
      </w:r>
    </w:p>
    <w:p>
      <w:pPr>
        <w:pStyle w:val="TextBody"/>
        <w:bidi w:val="0"/>
        <w:jc w:val="left"/>
        <w:rPr>
          <w:rFonts w:ascii="Arial" w:hAnsi="Arial"/>
          <w:color w:val="000000"/>
          <w:sz w:val="20"/>
        </w:rPr>
      </w:pPr>
      <w:r>
        <w:rPr>
          <w:rFonts w:ascii="Arial" w:hAnsi="Arial"/>
          <w:color w:val="000000"/>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A number of recent actual and proposed U.S. policy changes and enforcement practices could reshape the U.S. private secondary and higher education landscape, impacting students, our client educational institutions, and the wider educational framework in the United States.</w:t>
      </w:r>
    </w:p>
    <w:p>
      <w:pPr>
        <w:pStyle w:val="TextBody"/>
        <w:bidi w:val="0"/>
        <w:spacing w:before="200" w:after="283"/>
        <w:jc w:val="left"/>
        <w:rPr>
          <w:rFonts w:ascii="Arial" w:hAnsi="Arial"/>
          <w:color w:val="000000"/>
          <w:sz w:val="20"/>
        </w:rPr>
      </w:pPr>
      <w:r>
        <w:rPr>
          <w:rFonts w:ascii="Arial" w:hAnsi="Arial"/>
          <w:color w:val="000000"/>
          <w:sz w:val="20"/>
        </w:rPr>
        <w:t>In 2025, there were a number of actions and policies proposed or taken which have unsettled the U.S. private secondary and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private boarding schools and colleges and universities, lead to diminishing operating budgets, and adversely affect our business and operating results and financial condition. Among these proposed or actual policies are: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 vertical or growth rate in the future. Reduced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or disrupted international study patterns are likely to reduce the payment volumes we process and harm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 – subject to specified conditions – others have not, and unreconciled instances continue to create an environment of uncertainty. Changes at the federal level regarding education policy could have a ripple effect on state funding for higher education. This could result in 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 revenue generated from international students. In addition, other nations may implement more attractive visa policies, which could entice international students to choose educational opportunities outside of the United States. Although we have client institutions in countries around the world where international students may choose to study if they are increasingly uncomfortable studying in the U.S., the cost of attending a school in these jurisdictions may be significantly less than in the U.S., and our payment volumes may suffer as a result.</w:t>
      </w:r>
    </w:p>
    <w:p>
      <w:pPr>
        <w:pStyle w:val="TextBody"/>
        <w:bidi w:val="0"/>
        <w:spacing w:before="200" w:after="283"/>
        <w:jc w:val="left"/>
        <w:rPr>
          <w:rFonts w:ascii="Arial" w:hAnsi="Arial"/>
          <w:color w:val="000000"/>
          <w:sz w:val="20"/>
        </w:rPr>
      </w:pPr>
      <w:r>
        <w:rPr>
          <w:rFonts w:ascii="Arial" w:hAnsi="Arial"/>
          <w:color w:val="000000"/>
          <w:sz w:val="20"/>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Requests for deferred admissions, increased student inquiries/concerns, and delays in expected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Visa appointment cancellations, unavailability or delays in scheduling interviews as well as higher visa rejection rates - especially as to potential students from the countries that send the most students to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 European and Asian study destinations that are gaining in market share of student interest often carry lower tuition and related costs of living relative to the United States, which can result in lower volume of payments processed within our education vertical.</w:t>
      </w:r>
    </w:p>
    <w:p>
      <w:pPr>
        <w:pStyle w:val="TextBody"/>
        <w:bidi w:val="0"/>
        <w:spacing w:before="200" w:after="283"/>
        <w:jc w:val="left"/>
        <w:rPr>
          <w:rFonts w:ascii="Arial" w:hAnsi="Arial"/>
          <w:color w:val="000000"/>
          <w:sz w:val="20"/>
        </w:rPr>
      </w:pPr>
      <w:r>
        <w:rPr>
          <w:rFonts w:ascii="Arial" w:hAnsi="Arial"/>
          <w:color w:val="000000"/>
          <w:sz w:val="20"/>
        </w:rPr>
        <w:t>The expanded social media screening process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pStyle w:val="TextBody"/>
        <w:bidi w:val="0"/>
        <w:spacing w:before="200" w:after="283"/>
        <w:jc w:val="left"/>
        <w:rPr>
          <w:rFonts w:ascii="Times New Roman" w:hAnsi="Times New Roman"/>
          <w:sz w:val="20"/>
        </w:rPr>
      </w:pPr>
      <w:r>
        <w:rPr>
          <w:rFonts w:ascii="Arial" w:hAnsi="Arial"/>
          <w:color w:val="000000"/>
          <w:sz w:val="20"/>
        </w:rPr>
        <w:t>In addition, in the U.S., the “One Big Beautiful Bill” Act (OBBBA) contains a number of provisions with the potential to significantly change the landscape for financing undergraduate and graduate study and which could adversely affect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demand for higher education in the U.S. The OBBBA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More specifically, the structural changes to federal higher education financing under the OBBBA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Elimination of Graduate PLUS Loans:</w:t>
      </w:r>
      <w:r>
        <w:rPr>
          <w:color w:val="000000"/>
        </w:rPr>
        <w:t xml:space="preserve"> </w:t>
      </w:r>
      <w:r>
        <w:rPr>
          <w:rFonts w:ascii="Arial" w:hAnsi="Arial"/>
          <w:color w:val="000000"/>
          <w:sz w:val="20"/>
        </w:rPr>
        <w:t>The Grad PLUS loan program was eliminated for new borrowers starting July 1, 2026 (with legacy grandfathering options available for up to three academic years for existing borrowers).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0"/>
        </w:rPr>
      </w:pPr>
      <w:r>
        <w:rPr>
          <w:rFonts w:ascii="Arial" w:hAnsi="Arial"/>
          <w:b/>
          <w:color w:val="000000"/>
          <w:sz w:val="20"/>
        </w:rPr>
        <w:t>New Borrowing Caps: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b/>
          <w:color w:val="000000"/>
          <w:sz w:val="20"/>
        </w:rPr>
        <w:t>Graduate &amp; Professional:</w:t>
      </w:r>
      <w:r>
        <w:rPr>
          <w:color w:val="000000"/>
        </w:rPr>
        <w:t xml:space="preserve"> </w:t>
      </w:r>
      <w:r>
        <w:rPr>
          <w:rFonts w:ascii="Arial" w:hAnsi="Arial"/>
          <w:color w:val="000000"/>
          <w:sz w:val="20"/>
        </w:rPr>
        <w:t>Annual borrowing for Direct Unsubsidized Loans is capped at $20,500 ($100,000 aggregate) for general graduate programs and $50,000 ($200,000 aggregate) for designated professional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b/>
          <w:color w:val="000000"/>
          <w:sz w:val="20"/>
        </w:rPr>
        <w:t>Parent PLUS:</w:t>
      </w:r>
      <w:r>
        <w:rPr>
          <w:color w:val="000000"/>
        </w:rPr>
        <w:t xml:space="preserve"> </w:t>
      </w:r>
      <w:r>
        <w:rPr>
          <w:rFonts w:ascii="Arial" w:hAnsi="Arial"/>
          <w:color w:val="000000"/>
          <w:sz w:val="20"/>
        </w:rPr>
        <w:t>Annual borrowing is capped at $20,000 per student, with a $65,000 aggregate limit per dependent.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b/>
          <w:color w:val="000000"/>
          <w:sz w:val="20"/>
        </w:rPr>
        <w:t xml:space="preserve">Lifetime Cap: </w:t>
      </w:r>
      <w:r>
        <w:rPr>
          <w:rFonts w:ascii="Arial" w:hAnsi="Arial"/>
          <w:color w:val="000000"/>
          <w:sz w:val="20"/>
        </w:rPr>
        <w:t>A cumulative lifetime federal student loan borrowing cap of $257,500 is established (excluding Parent PLUS).</w:t>
      </w:r>
    </w:p>
    <w:p>
      <w:pPr>
        <w:pStyle w:val="TextBody"/>
        <w:bidi w:val="0"/>
        <w:spacing w:before="200" w:after="283"/>
        <w:jc w:val="left"/>
        <w:rPr>
          <w:rFonts w:ascii="Arial" w:hAnsi="Arial"/>
          <w:color w:val="000000"/>
          <w:sz w:val="20"/>
        </w:rPr>
      </w:pPr>
      <w:r>
        <w:rPr>
          <w:rFonts w:ascii="Arial" w:hAnsi="Arial"/>
          <w:color w:val="000000"/>
          <w:sz w:val="20"/>
        </w:rPr>
        <w:t>Most of these changes went into effect July 1, 2026. As the OBBBA provisions took effect during the reporting period, it is too early to fully assess the impact on our business; however, management is actively monitoring institutional adaptation to these regulatory updates and early indications suggest that the changes may constrain the availability of federal student loan funding and could impact U.S. student enrollment in undergraduate and postgraduate programs, which could materially and adversely affect our revenue and results of operations.</w:t>
      </w:r>
    </w:p>
    <w:p>
      <w:pPr>
        <w:pStyle w:val="TextBody"/>
        <w:bidi w:val="0"/>
        <w:spacing w:before="200" w:after="283"/>
        <w:jc w:val="left"/>
        <w:rPr>
          <w:rFonts w:ascii="Times New Roman" w:hAnsi="Times New Roman"/>
          <w:sz w:val="20"/>
        </w:rPr>
      </w:pPr>
      <w:r>
        <w:rPr>
          <w:rFonts w:ascii="Arial" w:hAnsi="Arial"/>
          <w:color w:val="000000"/>
          <w:sz w:val="20"/>
        </w:rPr>
        <w:t>In October 2025, the current administration introduced a proposal termed the “Compact for Academic Excellence in Higher Education,” under which select U.S. universities would be invited to accept a set of federal policy conditions—such as freezing tuition rates, limiting international student enrollment, altering admissions criteria, and certifying adherence to specified ideological and governance standards—in exchange for preferential access to federal funding and grants.</w:t>
      </w:r>
      <w:r>
        <w:rPr>
          <w:rFonts w:ascii="Times New Roman" w:hAnsi="Times New Roman"/>
          <w:color w:val="0000FF"/>
          <w:sz w:val="20"/>
          <w:u w:val="single"/>
        </w:rPr>
        <w:t xml:space="preserve"> </w:t>
      </w:r>
      <w:r>
        <w:rPr>
          <w:rFonts w:ascii="Arial" w:hAnsi="Arial"/>
          <w:color w:val="000000"/>
          <w:sz w:val="20"/>
        </w:rPr>
        <w:t>Because a meaningful portion of Flywire’s revenue is generated through cross-border payment services and tuition facilitation for higher-education institutions, changes in federal higher-education policy could indirectly but materially affect us. If major client universities (especially large public and private institutions) decline to engage in or are disqualified from federal funding programs due to a refusal or failure to comply with compact terms, they may downsize enrollments (particularly of international students), constrain capital expenditures, or restructure their financial operations. Such shifts could reduce payment volumes, delay implementation of new systems, and reduce demand for value-added services like foreign-exchange hedging, deferred payments, or collections.</w:t>
      </w:r>
    </w:p>
    <w:p>
      <w:pPr>
        <w:pStyle w:val="TextBody"/>
        <w:bidi w:val="0"/>
        <w:spacing w:before="200" w:after="283"/>
        <w:jc w:val="left"/>
        <w:rPr>
          <w:rFonts w:ascii="Arial" w:hAnsi="Arial"/>
          <w:color w:val="000000"/>
          <w:sz w:val="20"/>
        </w:rPr>
      </w:pPr>
      <w:r>
        <w:rPr>
          <w:rFonts w:ascii="Arial" w:hAnsi="Arial"/>
          <w:color w:val="000000"/>
          <w:sz w:val="20"/>
        </w:rPr>
        <w:t>Moreover, uncertainty stemming from the compact’s adoption or rejection could exacerbate institutional risk in the sector. Universities may postpone upgrades, IT transitions, or third-party service contracts pending clarity on their federal funding status. They may also prioritize internal compliance or legal capabilities over vendor innovation. If key clients delay or scale back programs, Flywire’s financial performance — including revenue growth, margins, or client retention — could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Finally, reputational or policy backlash could create reputational or regulatory risk for providers of educational payments solutions. If the compact becomes politically controversial or perceived as ideologically driven, vendors aligning with affected institutions might face increased scrutiny from policymakers, advocacy groups, or the press. While Flywire operates globally and across verticals, even marginal negative sentiment or regulatory uncertainty in the education payments space could make client acquisition or retention more challenging.</w:t>
      </w:r>
    </w:p>
    <w:p>
      <w:pPr>
        <w:pStyle w:val="TextBody"/>
        <w:bidi w:val="0"/>
        <w:spacing w:before="200" w:after="283"/>
        <w:jc w:val="left"/>
        <w:rPr>
          <w:rFonts w:ascii="Arial" w:hAnsi="Arial"/>
          <w:b/>
          <w:i/>
          <w:color w:val="000000"/>
          <w:sz w:val="20"/>
        </w:rPr>
      </w:pPr>
      <w:r>
        <w:rPr>
          <w:rFonts w:ascii="Arial" w:hAnsi="Arial"/>
          <w:b/>
          <w:i/>
          <w:color w:val="000000"/>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pStyle w:val="TextBody"/>
        <w:bidi w:val="0"/>
        <w:spacing w:before="200" w:after="283"/>
        <w:jc w:val="left"/>
        <w:rPr>
          <w:rFonts w:ascii="Times New Roman" w:hAnsi="Times New Roman"/>
          <w:sz w:val="20"/>
        </w:rPr>
      </w:pPr>
      <w:r>
        <w:rPr>
          <w:rFonts w:ascii="Arial" w:hAnsi="Arial"/>
          <w:color w:val="000000"/>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customers is relatively new and unproven, and it is uncertain whether this market will achieve and sustain high levels of demand and market adoption.</w:t>
      </w:r>
    </w:p>
    <w:p>
      <w:pPr>
        <w:pStyle w:val="TextBody"/>
        <w:bidi w:val="0"/>
        <w:spacing w:before="200" w:after="283"/>
        <w:jc w:val="left"/>
        <w:rPr>
          <w:rFonts w:ascii="Arial" w:hAnsi="Arial"/>
          <w:color w:val="000000"/>
          <w:sz w:val="20"/>
        </w:rPr>
      </w:pPr>
      <w:r>
        <w:rPr>
          <w:rFonts w:ascii="Arial" w:hAnsi="Arial"/>
          <w:color w:val="000000"/>
          <w:sz w:val="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pStyle w:val="TextBody"/>
        <w:bidi w:val="0"/>
        <w:spacing w:before="200" w:after="283"/>
        <w:jc w:val="left"/>
        <w:rPr>
          <w:rFonts w:ascii="Arial" w:hAnsi="Arial"/>
          <w:color w:val="000000"/>
          <w:sz w:val="20"/>
        </w:rPr>
      </w:pPr>
      <w:r>
        <w:rPr>
          <w:rFonts w:ascii="Arial" w:hAnsi="Arial"/>
          <w:color w:val="000000"/>
          <w:sz w:val="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pStyle w:val="TextBody"/>
        <w:bidi w:val="0"/>
        <w:spacing w:before="200" w:after="283"/>
        <w:jc w:val="left"/>
        <w:rPr>
          <w:rFonts w:ascii="Arial" w:hAnsi="Arial"/>
          <w:color w:val="000000"/>
          <w:sz w:val="20"/>
        </w:rPr>
      </w:pPr>
      <w:r>
        <w:rPr>
          <w:rFonts w:ascii="Arial" w:hAnsi="Arial"/>
          <w:color w:val="000000"/>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pStyle w:val="TextBody"/>
        <w:bidi w:val="0"/>
        <w:spacing w:before="200" w:after="283"/>
        <w:jc w:val="left"/>
        <w:rPr>
          <w:rFonts w:ascii="Arial" w:hAnsi="Arial"/>
          <w:color w:val="000000"/>
          <w:sz w:val="20"/>
        </w:rPr>
      </w:pPr>
      <w:r>
        <w:rPr>
          <w:rFonts w:ascii="Arial" w:hAnsi="Arial"/>
          <w:color w:val="000000"/>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Our business serving clients in the travel sector may be sensitive to events affecting the travel industry in general.</w:t>
      </w:r>
    </w:p>
    <w:p>
      <w:pPr>
        <w:pStyle w:val="TextBody"/>
        <w:bidi w:val="0"/>
        <w:jc w:val="left"/>
        <w:rPr>
          <w:rFonts w:ascii="Times New Roman" w:hAnsi="Times New Roman"/>
          <w:sz w:val="20"/>
        </w:rPr>
      </w:pPr>
      <w:r>
        <w:rPr>
          <w:rFonts w:ascii="Arial" w:hAnsi="Arial"/>
          <w:color w:val="000000"/>
          <w:sz w:val="20"/>
        </w:rPr>
        <w:t>Events like regional or larger scale conflicts, war or other military conflict, including the conflicts between Russia and Ukraine, the conflict between Israel and Hamas, and the U.S. and Israeli military conflict with Iran, terrorist attacks, mass shooting incidents, natural disasters, such as hurricanes, earthquakes, closures, or geographical disruptions of critical natural resources, supply chains, fires, droughts, floods and volcanic activity, including events resulting from climate change, and travel-related health events, pandemics or other public health emergencies,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Heightened conflict between the U.S. and Iran, and the resulting volatility in energy prices and regional security, may cause significant shifts in global travel patterns and consumer confidence. Any such disruptions could result in the cancellation or deferral of travel bookings among our travel vertical clients, leading to an elevated risk of uncollectible chargebacks and a reduction in our total payment volume.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w:t>
      </w:r>
      <w:r>
        <w:rPr>
          <w:rFonts w:ascii="Times New Roman" w:hAnsi="Times New Roman"/>
          <w:color w:val="000000"/>
          <w:sz w:val="20"/>
        </w:rPr>
        <w:t xml:space="preserve"> </w:t>
      </w:r>
      <w:r>
        <w:rPr>
          <w:rFonts w:ascii="Arial" w:hAnsi="Arial"/>
          <w:color w:val="000000"/>
          <w:sz w:val="20"/>
        </w:rPr>
        <w:t>The payment volume from our travel vertical represented less than 10% of our total payment volume during the year ended December 31, 2025. Because we seek to grow the payment volume and the revenue from this vertical in the future through various initiatives, including our Sertifi acquisition, failure to grow our payment volume and resulting revenue from this industry, may have an adverse effect on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pStyle w:val="TextBody"/>
        <w:bidi w:val="0"/>
        <w:spacing w:before="200" w:after="283"/>
        <w:jc w:val="left"/>
        <w:rPr>
          <w:rFonts w:ascii="Arial" w:hAnsi="Arial"/>
          <w:color w:val="000000"/>
          <w:sz w:val="20"/>
        </w:rPr>
      </w:pPr>
      <w:r>
        <w:rPr>
          <w:rFonts w:ascii="Arial" w:hAnsi="Arial"/>
          <w:color w:val="000000"/>
          <w:sz w:val="20"/>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 costs or unavailability of imported goods and services due to imposition of tariffs, sanctions or other restrictions, could adversely affect our development of this vertical or our overall operating results and financial condition. The payment volume and resulting revenue from our B2B payment vertical during the year ended December 31, 2025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pStyle w:val="TextBody"/>
        <w:bidi w:val="0"/>
        <w:spacing w:before="200" w:after="283"/>
        <w:jc w:val="left"/>
        <w:rPr>
          <w:rFonts w:ascii="Arial" w:hAnsi="Arial"/>
          <w:b/>
          <w:i/>
          <w:color w:val="000000"/>
          <w:sz w:val="20"/>
        </w:rPr>
      </w:pPr>
      <w:r>
        <w:rPr>
          <w:rFonts w:ascii="Arial" w:hAnsi="Arial"/>
          <w:b/>
          <w:i/>
          <w:color w:val="000000"/>
          <w:sz w:val="20"/>
        </w:rPr>
        <w:t>Consolidation in the payment processing or enablement industry could have a material adverse effect on our business, financial condition and results of operations.</w:t>
      </w:r>
    </w:p>
    <w:p>
      <w:pPr>
        <w:pStyle w:val="TextBody"/>
        <w:bidi w:val="0"/>
        <w:spacing w:before="200" w:after="283"/>
        <w:jc w:val="left"/>
        <w:rPr>
          <w:rFonts w:ascii="Arial" w:hAnsi="Arial"/>
          <w:color w:val="000000"/>
          <w:sz w:val="20"/>
        </w:rPr>
      </w:pPr>
      <w:r>
        <w:rPr>
          <w:rFonts w:ascii="Arial" w:hAnsi="Arial"/>
          <w:color w:val="000000"/>
          <w:sz w:val="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pStyle w:val="TextBody"/>
        <w:bidi w:val="0"/>
        <w:spacing w:before="200" w:after="283"/>
        <w:jc w:val="left"/>
        <w:rPr>
          <w:rFonts w:ascii="Arial" w:hAnsi="Arial"/>
          <w:b/>
          <w:i/>
          <w:color w:val="000000"/>
          <w:sz w:val="20"/>
        </w:rPr>
      </w:pPr>
      <w:r>
        <w:rPr>
          <w:rFonts w:ascii="Arial" w:hAnsi="Arial"/>
          <w:b/>
          <w:i/>
          <w:color w:val="000000"/>
          <w:sz w:val="20"/>
        </w:rPr>
        <w:t>We may be adversely affected by global economic and political instability.</w:t>
      </w:r>
    </w:p>
    <w:p>
      <w:pPr>
        <w:pStyle w:val="TextBody"/>
        <w:bidi w:val="0"/>
        <w:spacing w:before="200" w:after="283"/>
        <w:jc w:val="left"/>
        <w:rPr>
          <w:rFonts w:ascii="Arial" w:hAnsi="Arial"/>
          <w:color w:val="000000"/>
          <w:sz w:val="20"/>
        </w:rPr>
      </w:pPr>
      <w:r>
        <w:rPr>
          <w:rFonts w:ascii="Arial" w:hAnsi="Arial"/>
          <w:color w:val="000000"/>
          <w:sz w:val="20"/>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or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including concerns of restrictions on global supplies, including but not limited to oil, due to conflict in the Middle East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pStyle w:val="TextBody"/>
        <w:bidi w:val="0"/>
        <w:spacing w:before="200" w:after="283"/>
        <w:jc w:val="left"/>
        <w:rPr>
          <w:rFonts w:ascii="Arial" w:hAnsi="Arial"/>
          <w:color w:val="000000"/>
          <w:sz w:val="20"/>
        </w:rPr>
      </w:pPr>
      <w:r>
        <w:rPr>
          <w:rFonts w:ascii="Arial" w:hAnsi="Arial"/>
          <w:color w:val="000000"/>
          <w:sz w:val="20"/>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After two years of steady conflict, an agreement was reached to end hostilities in October 2025. It is difficult to predict if the additional steps identified as part of a peace plan will be achieved in a timely fashion if at all, or if hostilities will recommence, and if so, their duration.</w:t>
      </w:r>
    </w:p>
    <w:p>
      <w:pPr>
        <w:pStyle w:val="TextBody"/>
        <w:bidi w:val="0"/>
        <w:spacing w:before="200" w:after="283"/>
        <w:jc w:val="left"/>
        <w:rPr>
          <w:rFonts w:ascii="Arial" w:hAnsi="Arial"/>
          <w:color w:val="000000"/>
          <w:sz w:val="20"/>
        </w:rPr>
      </w:pPr>
      <w:r>
        <w:rPr>
          <w:rFonts w:ascii="Arial" w:hAnsi="Arial"/>
          <w:color w:val="000000"/>
          <w:sz w:val="20"/>
        </w:rPr>
        <w:t>The most recent outbreak of hostilities and military strikes involving the U.S. and Israel alliance positioned against Iran, and Iran's restriction of traffic through the Straits of Hormuz has amplified global economic uncertainty. The Israel Defense Force (IDF), the national military of Israel, is a conscripted military service, subject to certain exceptions. In March 2026, the IDF approved the call-up of up to 400,000 reservists to support operations across multiple fronts, including Iran and Hezbollah.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Although the length, impact and outcome of these conflicts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 Further, heightened conflict between the U.S. and Iran, and the resulting volatility in energy prices and regional security, may cause significant shifts in global travel patterns and consumer confidence. Any such disruptions could result in the cancellation or deferral of travel bookings among our travel vertical clients, leading to an elevated risk of uncollectible chargebacks and a reduction in our total payment volume.</w:t>
      </w:r>
    </w:p>
    <w:p>
      <w:pPr>
        <w:pStyle w:val="TextBody"/>
        <w:bidi w:val="0"/>
        <w:spacing w:before="200" w:after="283"/>
        <w:jc w:val="left"/>
        <w:rPr>
          <w:rFonts w:ascii="Arial" w:hAnsi="Arial"/>
          <w:color w:val="000000"/>
          <w:sz w:val="20"/>
        </w:rPr>
      </w:pPr>
      <w:r>
        <w:rPr>
          <w:rFonts w:ascii="Arial" w:hAnsi="Arial"/>
          <w:color w:val="000000"/>
          <w:sz w:val="20"/>
        </w:rPr>
        <w:t>We are actively monitoring the situations in Ukraine and the Middle East and assessing any potential impact on our business, but to date have not experienced any material impact. We have no way to predict the progress or outcome of the conflicts in Ukraine and the Middle East or any peace that has or may be reached,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pStyle w:val="TextBody"/>
        <w:bidi w:val="0"/>
        <w:spacing w:before="200" w:after="283"/>
        <w:jc w:val="left"/>
        <w:rPr>
          <w:rFonts w:ascii="Arial" w:hAnsi="Arial"/>
          <w:color w:val="000000"/>
          <w:sz w:val="20"/>
        </w:rPr>
      </w:pPr>
      <w:r>
        <w:rPr>
          <w:rFonts w:ascii="Arial" w:hAnsi="Arial"/>
          <w:color w:val="000000"/>
          <w:sz w:val="20"/>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measures other protectionist measures that could harm our business, results of operations and financial condition. 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25 basis points on each of September 17, 2025, October 29, 2025, and December 10, 2025,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pStyle w:val="TextBody"/>
        <w:bidi w:val="0"/>
        <w:spacing w:before="200" w:after="200"/>
        <w:jc w:val="left"/>
        <w:rPr>
          <w:rFonts w:ascii="Arial" w:hAnsi="Arial"/>
          <w:b/>
          <w:color w:val="000000"/>
          <w:sz w:val="20"/>
        </w:rPr>
      </w:pPr>
      <w:r>
        <w:rPr>
          <w:rFonts w:ascii="Arial" w:hAnsi="Arial"/>
          <w:b/>
          <w:color w:val="000000"/>
          <w:sz w:val="20"/>
        </w:rPr>
        <w:t>Risks Related to Our Operations</w:t>
      </w:r>
    </w:p>
    <w:p>
      <w:pPr>
        <w:pStyle w:val="TextBody"/>
        <w:bidi w:val="0"/>
        <w:jc w:val="left"/>
        <w:rPr>
          <w:rFonts w:ascii="Arial" w:hAnsi="Arial"/>
          <w:b/>
          <w:i/>
          <w:color w:val="000000"/>
          <w:sz w:val="20"/>
        </w:rPr>
      </w:pPr>
      <w:r>
        <w:rPr>
          <w:rFonts w:ascii="Arial" w:hAnsi="Arial"/>
          <w:b/>
          <w:i/>
          <w:color w:val="000000"/>
          <w:sz w:val="20"/>
        </w:rPr>
        <w:t>We may not be able to scale our business quickly enough to meet our growing client base, and if we are not able to grow efficiently, our operating results could be harmed.</w:t>
      </w:r>
    </w:p>
    <w:p>
      <w:pPr>
        <w:pStyle w:val="TextBody"/>
        <w:bidi w:val="0"/>
        <w:spacing w:before="200" w:after="283"/>
        <w:jc w:val="left"/>
        <w:rPr>
          <w:rFonts w:ascii="Times New Roman" w:hAnsi="Times New Roman"/>
          <w:sz w:val="20"/>
        </w:rPr>
      </w:pPr>
      <w:r>
        <w:rPr>
          <w:rFonts w:ascii="Arial" w:hAnsi="Arial"/>
          <w:color w:val="000000"/>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 We are currently actively engaged in a comprehensive, company-wide operational and systems transformation program, which encompasses a re-architecting of our data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infrastructure, consolidation and upgrade of our enterprise and billing systems and underlying operating models, alongside the strategic alignment of our organizational structure, talent, and internal processes. Ultimately, this foundational work is intended to position the Company for continued scalability and long-term growth.</w:t>
      </w:r>
    </w:p>
    <w:p>
      <w:pPr>
        <w:pStyle w:val="TextBody"/>
        <w:bidi w:val="0"/>
        <w:spacing w:before="200" w:after="283"/>
        <w:jc w:val="left"/>
        <w:rPr>
          <w:rFonts w:ascii="Arial" w:hAnsi="Arial"/>
          <w:color w:val="000000"/>
          <w:sz w:val="20"/>
        </w:rPr>
      </w:pPr>
      <w:r>
        <w:rPr>
          <w:rFonts w:ascii="Arial" w:hAnsi="Arial"/>
          <w:color w:val="000000"/>
          <w:sz w:val="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bidi w:val="0"/>
        <w:spacing w:before="200" w:after="200"/>
        <w:jc w:val="left"/>
        <w:rPr>
          <w:rFonts w:ascii="Arial" w:hAnsi="Arial"/>
          <w:b/>
          <w:i/>
          <w:color w:val="000000"/>
          <w:sz w:val="20"/>
        </w:rPr>
      </w:pPr>
      <w:r>
        <w:rPr>
          <w:rFonts w:ascii="Arial" w:hAnsi="Arial"/>
          <w:b/>
          <w:i/>
          <w:color w:val="000000"/>
          <w:sz w:val="20"/>
        </w:rPr>
        <w:t>We enable the transfer of large sums of funds to our clients daily, and are subject to the risk of errors, which could result in financial losses, damage to our reputation, or loss of trust in our brand, which would harm our business and financial results.</w:t>
      </w:r>
    </w:p>
    <w:p>
      <w:pPr>
        <w:pStyle w:val="TextBody"/>
        <w:bidi w:val="0"/>
        <w:spacing w:before="0" w:after="200"/>
        <w:jc w:val="left"/>
        <w:rPr>
          <w:rFonts w:ascii="Arial" w:hAnsi="Arial"/>
          <w:color w:val="000000"/>
          <w:sz w:val="20"/>
        </w:rPr>
      </w:pPr>
      <w:r>
        <w:rPr>
          <w:rFonts w:ascii="Arial" w:hAnsi="Arial"/>
          <w:color w:val="000000"/>
          <w:sz w:val="20"/>
        </w:rPr>
        <w:t>For the years ended December 31, 2025 and 2024, we processed over $37.6 billion and over $29.7 billion in payments on our solutions, respectively. For the six months ended June 30, 2026, we processed approximately $19.6 billion in payments on our solutions.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Payments companies are frequent targets of social engineering and AI "deepfake" attacks.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pStyle w:val="TextBody"/>
        <w:bidi w:val="0"/>
        <w:jc w:val="left"/>
        <w:rPr>
          <w:rFonts w:ascii="Arial" w:hAnsi="Arial"/>
          <w:color w:val="000000"/>
          <w:sz w:val="20"/>
        </w:rPr>
      </w:pPr>
      <w:r>
        <w:rPr>
          <w:rFonts w:ascii="Arial" w:hAnsi="Arial"/>
          <w:color w:val="000000"/>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clients or a reduction in use of our solutions by our clients’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lost or delayed market acceptance and acquisition of new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legal claims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enforcement action;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diversion of our resources, including through increased service expenses or financial concessions, and increased insurance costs.</w:t>
      </w:r>
    </w:p>
    <w:p>
      <w:pPr>
        <w:pStyle w:val="TextBody"/>
        <w:bidi w:val="0"/>
        <w:spacing w:before="200" w:after="283"/>
        <w:jc w:val="left"/>
        <w:rPr>
          <w:rFonts w:ascii="Arial" w:hAnsi="Arial"/>
          <w:color w:val="000000"/>
          <w:sz w:val="20"/>
        </w:rPr>
      </w:pPr>
      <w:r>
        <w:rPr>
          <w:rFonts w:ascii="Arial" w:hAnsi="Arial"/>
          <w:color w:val="000000"/>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pStyle w:val="TextBody"/>
        <w:bidi w:val="0"/>
        <w:spacing w:before="200" w:after="283"/>
        <w:jc w:val="left"/>
        <w:rPr>
          <w:rFonts w:ascii="Arial" w:hAnsi="Arial"/>
          <w:b/>
          <w:i/>
          <w:color w:val="000000"/>
          <w:sz w:val="20"/>
        </w:rPr>
      </w:pPr>
      <w:r>
        <w:rPr>
          <w:rFonts w:ascii="Arial" w:hAnsi="Arial"/>
          <w:b/>
          <w:i/>
          <w:color w:val="000000"/>
          <w:sz w:val="20"/>
        </w:rPr>
        <w:t>Our management of our operating funds and client funds may be reliant on a limited number of our banking partners and other financial institutions.</w:t>
      </w:r>
    </w:p>
    <w:p>
      <w:pPr>
        <w:pStyle w:val="TextBody"/>
        <w:bidi w:val="0"/>
        <w:spacing w:before="200" w:after="283"/>
        <w:jc w:val="left"/>
        <w:rPr>
          <w:rFonts w:ascii="Times New Roman" w:hAnsi="Times New Roman"/>
          <w:sz w:val="20"/>
        </w:rPr>
      </w:pPr>
      <w:r>
        <w:rPr>
          <w:rFonts w:ascii="Arial" w:hAnsi="Arial"/>
          <w:color w:val="000000"/>
          <w:sz w:val="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pStyle w:val="TextBody"/>
        <w:bidi w:val="0"/>
        <w:spacing w:before="200" w:after="200"/>
        <w:jc w:val="left"/>
        <w:rPr>
          <w:rFonts w:ascii="Arial" w:hAnsi="Arial"/>
          <w:b/>
          <w:i/>
          <w:color w:val="000000"/>
          <w:sz w:val="20"/>
        </w:rPr>
      </w:pPr>
      <w:r>
        <w:rPr>
          <w:rFonts w:ascii="Arial" w:hAnsi="Arial"/>
          <w:b/>
          <w:i/>
          <w:color w:val="000000"/>
          <w:sz w:val="20"/>
        </w:rPr>
        <w:t>Our marketable securities portfolio is subject to credit, liquidity, market, and interest rate risks that could cause its value to decline significantly and materially adversely affect our business, financial condition, results of operations, and prospects.</w:t>
      </w:r>
    </w:p>
    <w:p>
      <w:pPr>
        <w:pStyle w:val="TextBody"/>
        <w:bidi w:val="0"/>
        <w:spacing w:before="0" w:after="200"/>
        <w:jc w:val="left"/>
        <w:rPr>
          <w:rFonts w:ascii="Arial" w:hAnsi="Arial"/>
          <w:color w:val="000000"/>
          <w:sz w:val="20"/>
        </w:rPr>
      </w:pPr>
      <w:r>
        <w:rPr>
          <w:rFonts w:ascii="Arial" w:hAnsi="Arial"/>
          <w:color w:val="000000"/>
          <w:sz w:val="20"/>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pStyle w:val="TextBody"/>
        <w:bidi w:val="0"/>
        <w:jc w:val="left"/>
        <w:rPr>
          <w:rFonts w:ascii="Arial" w:hAnsi="Arial"/>
          <w:b/>
          <w:i/>
          <w:color w:val="000000"/>
          <w:sz w:val="20"/>
        </w:rPr>
      </w:pPr>
      <w:r>
        <w:rPr>
          <w:rFonts w:ascii="Arial" w:hAnsi="Arial"/>
          <w:b/>
          <w:i/>
          <w:color w:val="000000"/>
          <w:sz w:val="20"/>
        </w:rPr>
        <w:t>Volatility in the banking and financial services ecosystems may impact our bank partnerships and relationships, which could adversely affect our operations and liquidity.</w:t>
      </w:r>
    </w:p>
    <w:p>
      <w:pPr>
        <w:pStyle w:val="TextBody"/>
        <w:bidi w:val="0"/>
        <w:spacing w:before="200" w:after="283"/>
        <w:jc w:val="left"/>
        <w:rPr>
          <w:rFonts w:ascii="Arial" w:hAnsi="Arial"/>
          <w:color w:val="000000"/>
          <w:sz w:val="20"/>
        </w:rPr>
      </w:pPr>
      <w:r>
        <w:rPr>
          <w:rFonts w:ascii="Arial" w:hAnsi="Arial"/>
          <w:color w:val="000000"/>
          <w:sz w:val="20"/>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pStyle w:val="TextBody"/>
        <w:bidi w:val="0"/>
        <w:spacing w:before="200" w:after="283"/>
        <w:jc w:val="left"/>
        <w:rPr>
          <w:rFonts w:ascii="Arial" w:hAnsi="Arial"/>
          <w:color w:val="000000"/>
          <w:sz w:val="20"/>
        </w:rPr>
      </w:pPr>
      <w:r>
        <w:rPr>
          <w:rFonts w:ascii="Arial" w:hAnsi="Arial"/>
          <w:color w:val="000000"/>
          <w:sz w:val="20"/>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pStyle w:val="TextBody"/>
        <w:bidi w:val="0"/>
        <w:spacing w:before="200" w:after="283"/>
        <w:jc w:val="left"/>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200" w:after="283"/>
        <w:jc w:val="left"/>
        <w:rPr>
          <w:rFonts w:ascii="Arial" w:hAnsi="Arial"/>
          <w:b/>
          <w:i/>
          <w:color w:val="000000"/>
          <w:sz w:val="20"/>
        </w:rPr>
      </w:pPr>
      <w:r>
        <w:rPr>
          <w:rFonts w:ascii="Arial" w:hAnsi="Arial"/>
          <w:b/>
          <w:i/>
          <w:color w:val="000000"/>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pStyle w:val="TextBody"/>
        <w:bidi w:val="0"/>
        <w:spacing w:before="200" w:after="283"/>
        <w:jc w:val="left"/>
        <w:rPr>
          <w:rFonts w:ascii="Times New Roman" w:hAnsi="Times New Roman"/>
          <w:sz w:val="20"/>
        </w:rPr>
      </w:pPr>
      <w:r>
        <w:rPr>
          <w:rFonts w:ascii="Arial" w:hAnsi="Arial"/>
          <w:color w:val="000000"/>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pStyle w:val="TextBody"/>
        <w:bidi w:val="0"/>
        <w:spacing w:before="200" w:after="283"/>
        <w:jc w:val="left"/>
        <w:rPr>
          <w:rFonts w:ascii="Arial" w:hAnsi="Arial"/>
          <w:color w:val="000000"/>
          <w:sz w:val="20"/>
        </w:rPr>
      </w:pPr>
      <w:r>
        <w:rPr>
          <w:rFonts w:ascii="Arial" w:hAnsi="Arial"/>
          <w:color w:val="000000"/>
          <w:sz w:val="20"/>
        </w:rPr>
        <w:t>In particular, the emergence and growing adoption of cryptocurrencies, including stablecoins, and related blockchain-based payment solutions may disrupt the traditional payments ecosystem in ways that could adversely affect our business. These technologies may enable new or existing competitors to offer cross-border payment and settlement services that are faster, lower cost, or otherwise more attractive than our solutions, including direct wallet-to-wallet transfers or alternative settlement rails that bypass intermediary financial institutions. As a result, merchants, payers, or financial institution partners in the verticals we serve may shift volume away from our platform or demand lower pricing, which could erode our revenue and margins. In addition, stablecoin- or cryptocurrency-based payment models may reduce foreign exchange spreads, transaction fees, or other economic components of our offerings, alter customer expectations regarding speed and transparency, and increase competition from fintech companies, payment networks, or technology providers that leverage these technologies. The regulatory treatment of cryptocurrencies and stablecoins remains uncertain and continues to evolve, and new frameworks could accelerate adoption or enable broader participation by competitors. If cryptocurrencies or stablecoins gain broader acceptance as payment or settlement mechanisms, or if we are unable to adapt our platform, pricing, or product strategy effectively in response to these developments, our business, operating results, and financial condition could be harmed.</w:t>
      </w:r>
    </w:p>
    <w:p>
      <w:pPr>
        <w:pStyle w:val="TextBody"/>
        <w:bidi w:val="0"/>
        <w:spacing w:before="200" w:after="283"/>
        <w:jc w:val="left"/>
        <w:rPr>
          <w:rFonts w:ascii="Arial" w:hAnsi="Arial"/>
          <w:color w:val="000000"/>
          <w:sz w:val="20"/>
        </w:rPr>
      </w:pPr>
      <w:r>
        <w:rPr>
          <w:rFonts w:ascii="Arial" w:hAnsi="Arial"/>
          <w:color w:val="000000"/>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pStyle w:val="TextBody"/>
        <w:bidi w:val="0"/>
        <w:spacing w:before="200" w:after="283"/>
        <w:jc w:val="left"/>
        <w:rPr>
          <w:rFonts w:ascii="Arial" w:hAnsi="Arial"/>
          <w:color w:val="000000"/>
          <w:sz w:val="20"/>
        </w:rPr>
      </w:pPr>
      <w:r>
        <w:rPr>
          <w:rFonts w:ascii="Arial" w:hAnsi="Arial"/>
          <w:color w:val="000000"/>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pStyle w:val="TextBody"/>
        <w:bidi w:val="0"/>
        <w:spacing w:before="200" w:after="283"/>
        <w:jc w:val="left"/>
        <w:rPr>
          <w:rFonts w:ascii="Arial" w:hAnsi="Arial"/>
          <w:b/>
          <w:i/>
          <w:color w:val="000000"/>
          <w:sz w:val="20"/>
        </w:rPr>
      </w:pPr>
      <w:r>
        <w:rPr>
          <w:rFonts w:ascii="Arial" w:hAnsi="Arial"/>
          <w:b/>
          <w:i/>
          <w:color w:val="000000"/>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pStyle w:val="TextBody"/>
        <w:bidi w:val="0"/>
        <w:spacing w:before="200" w:after="283"/>
        <w:jc w:val="left"/>
        <w:rPr>
          <w:rFonts w:ascii="Arial" w:hAnsi="Arial"/>
          <w:color w:val="000000"/>
          <w:sz w:val="20"/>
        </w:rPr>
      </w:pPr>
      <w:r>
        <w:rPr>
          <w:rFonts w:ascii="Arial" w:hAnsi="Arial"/>
          <w:color w:val="000000"/>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pStyle w:val="TextBody"/>
        <w:bidi w:val="0"/>
        <w:spacing w:before="200" w:after="283"/>
        <w:jc w:val="left"/>
        <w:rPr>
          <w:rFonts w:ascii="Arial" w:hAnsi="Arial"/>
          <w:color w:val="000000"/>
          <w:sz w:val="20"/>
        </w:rPr>
      </w:pPr>
      <w:r>
        <w:rPr>
          <w:rFonts w:ascii="Arial" w:hAnsi="Arial"/>
          <w:color w:val="000000"/>
          <w:sz w:val="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pStyle w:val="TextBody"/>
        <w:bidi w:val="0"/>
        <w:spacing w:before="200" w:after="283"/>
        <w:jc w:val="left"/>
        <w:rPr>
          <w:rFonts w:ascii="Times New Roman" w:hAnsi="Times New Roman"/>
          <w:sz w:val="20"/>
        </w:rPr>
      </w:pPr>
      <w:r>
        <w:rPr>
          <w:rFonts w:ascii="Arial" w:hAnsi="Arial"/>
          <w:color w:val="000000"/>
          <w:sz w:val="20"/>
        </w:rPr>
        <w:t>Similarly, there are existing regulatory regimes designed to protect the privacy of categories of personal or otherwise sensitive data. Relevant U.S. federal privacy laws include the FERPA, the Gramm-Leach-Bliley Act (GLBA), and HIPAA.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pStyle w:val="TextBody"/>
        <w:bidi w:val="0"/>
        <w:spacing w:before="200" w:after="283"/>
        <w:jc w:val="left"/>
        <w:rPr>
          <w:rFonts w:ascii="Arial" w:hAnsi="Arial"/>
          <w:color w:val="000000"/>
          <w:sz w:val="20"/>
        </w:rPr>
      </w:pPr>
      <w:r>
        <w:rPr>
          <w:rFonts w:ascii="Arial" w:hAnsi="Arial"/>
          <w:color w:val="000000"/>
          <w:sz w:val="20"/>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pStyle w:val="TextBody"/>
        <w:bidi w:val="0"/>
        <w:spacing w:before="200" w:after="283"/>
        <w:jc w:val="left"/>
        <w:rPr>
          <w:rFonts w:ascii="Arial" w:hAnsi="Arial"/>
          <w:color w:val="000000"/>
          <w:sz w:val="20"/>
        </w:rPr>
      </w:pPr>
      <w:r>
        <w:rPr>
          <w:rFonts w:ascii="Arial" w:hAnsi="Arial"/>
          <w:color w:val="000000"/>
          <w:sz w:val="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pStyle w:val="TextBody"/>
        <w:bidi w:val="0"/>
        <w:spacing w:before="200" w:after="283"/>
        <w:jc w:val="left"/>
        <w:rPr>
          <w:rFonts w:ascii="Arial" w:hAnsi="Arial"/>
          <w:color w:val="000000"/>
          <w:sz w:val="20"/>
        </w:rPr>
      </w:pPr>
      <w:r>
        <w:rPr>
          <w:rFonts w:ascii="Arial" w:hAnsi="Arial"/>
          <w:color w:val="000000"/>
          <w:sz w:val="20"/>
        </w:rPr>
        <w:t>Additionally, it is also possible that unauthorized access to sensitive customer and business data may be obtained through inadequate use of security controls by our clients, suppliers or other vendors.</w:t>
      </w:r>
    </w:p>
    <w:p>
      <w:pPr>
        <w:pStyle w:val="TextBody"/>
        <w:bidi w:val="0"/>
        <w:spacing w:before="200" w:after="283"/>
        <w:jc w:val="left"/>
        <w:rPr>
          <w:rFonts w:ascii="Times New Roman" w:hAnsi="Times New Roman"/>
          <w:sz w:val="20"/>
        </w:rPr>
      </w:pPr>
      <w:r>
        <w:rPr>
          <w:rFonts w:ascii="Arial" w:hAnsi="Arial"/>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pStyle w:val="TextBody"/>
        <w:bidi w:val="0"/>
        <w:spacing w:before="200" w:after="283"/>
        <w:jc w:val="left"/>
        <w:rPr>
          <w:rFonts w:ascii="Arial" w:hAnsi="Arial"/>
          <w:color w:val="000000"/>
          <w:sz w:val="20"/>
        </w:rPr>
      </w:pPr>
      <w:r>
        <w:rPr>
          <w:rFonts w:ascii="Arial" w:hAnsi="Arial"/>
          <w:color w:val="000000"/>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pStyle w:val="TextBody"/>
        <w:bidi w:val="0"/>
        <w:spacing w:before="200" w:after="283"/>
        <w:jc w:val="left"/>
        <w:rPr>
          <w:rFonts w:ascii="Arial" w:hAnsi="Arial"/>
          <w:color w:val="000000"/>
          <w:sz w:val="20"/>
        </w:rPr>
      </w:pPr>
      <w:r>
        <w:rPr>
          <w:rFonts w:ascii="Arial" w:hAnsi="Arial"/>
          <w:color w:val="000000"/>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200" w:after="283"/>
        <w:jc w:val="left"/>
        <w:rPr>
          <w:rFonts w:ascii="Arial" w:hAnsi="Arial"/>
          <w:b/>
          <w:i/>
          <w:color w:val="000000"/>
          <w:sz w:val="20"/>
        </w:rPr>
      </w:pPr>
      <w:r>
        <w:rPr>
          <w:rFonts w:ascii="Arial" w:hAnsi="Arial"/>
          <w:b/>
          <w:i/>
          <w:color w:val="000000"/>
          <w:sz w:val="20"/>
        </w:rPr>
        <w:t>Cyberattacks and security vulnerabilities can disrupt our business and harm our competitive position.</w:t>
      </w:r>
    </w:p>
    <w:p>
      <w:pPr>
        <w:pStyle w:val="TextBody"/>
        <w:bidi w:val="0"/>
        <w:spacing w:before="200" w:after="283"/>
        <w:jc w:val="left"/>
        <w:rPr>
          <w:rFonts w:ascii="Arial" w:hAnsi="Arial"/>
          <w:color w:val="000000"/>
          <w:sz w:val="20"/>
        </w:rPr>
      </w:pPr>
      <w:r>
        <w:rPr>
          <w:rFonts w:ascii="Arial" w:hAnsi="Arial"/>
          <w:color w:val="000000"/>
          <w:sz w:val="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Middle East and continued political uncertainty involving Russia and Ukraine, Israel and Hamas and the ongoing conflict between the U.S., Iran and Israel,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pStyle w:val="TextBody"/>
        <w:bidi w:val="0"/>
        <w:spacing w:before="200" w:after="283"/>
        <w:jc w:val="left"/>
        <w:rPr>
          <w:rFonts w:ascii="Times New Roman" w:hAnsi="Times New Roman"/>
          <w:sz w:val="20"/>
        </w:rPr>
      </w:pPr>
      <w:r>
        <w:rPr>
          <w:rFonts w:ascii="Arial" w:hAnsi="Arial"/>
          <w:color w:val="000000"/>
          <w:sz w:val="20"/>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settlement amounts and disputes with insurance carriers concerning coverage. In addition, sufficient insurance coverage may become increasingly expensive to maintain as incidents increase globally.</w:t>
      </w:r>
    </w:p>
    <w:p>
      <w:pPr>
        <w:pStyle w:val="TextBody"/>
        <w:bidi w:val="0"/>
        <w:spacing w:before="200" w:after="283"/>
        <w:jc w:val="left"/>
        <w:rPr>
          <w:rFonts w:ascii="Arial" w:hAnsi="Arial"/>
          <w:b/>
          <w:i/>
          <w:color w:val="000000"/>
          <w:sz w:val="20"/>
        </w:rPr>
      </w:pPr>
      <w:r>
        <w:rPr>
          <w:rFonts w:ascii="Arial" w:hAnsi="Arial"/>
          <w:b/>
          <w:i/>
          <w:color w:val="000000"/>
          <w:sz w:val="20"/>
        </w:rPr>
        <w:t>Our risk management efforts may not be effective to prevent fraudulent activities by our clients, FlyMates or other third parties, which could expose us to material financial losses and liability and otherwise harm our business.</w:t>
      </w:r>
    </w:p>
    <w:p>
      <w:pPr>
        <w:pStyle w:val="TextBody"/>
        <w:bidi w:val="0"/>
        <w:spacing w:before="200" w:after="283"/>
        <w:jc w:val="left"/>
        <w:rPr>
          <w:rFonts w:ascii="Arial" w:hAnsi="Arial"/>
          <w:color w:val="000000"/>
          <w:sz w:val="20"/>
        </w:rPr>
      </w:pPr>
      <w:r>
        <w:rPr>
          <w:rFonts w:ascii="Arial" w:hAnsi="Arial"/>
          <w:color w:val="000000"/>
          <w:sz w:val="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advanced uses of AI for fraudulent purposes,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pStyle w:val="TextBody"/>
        <w:bidi w:val="0"/>
        <w:spacing w:before="200" w:after="283"/>
        <w:jc w:val="left"/>
        <w:rPr>
          <w:rFonts w:ascii="Arial" w:hAnsi="Arial"/>
          <w:color w:val="000000"/>
          <w:sz w:val="20"/>
        </w:rPr>
      </w:pPr>
      <w:r>
        <w:rPr>
          <w:rFonts w:ascii="Arial" w:hAnsi="Arial"/>
          <w:color w:val="000000"/>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bidi w:val="0"/>
        <w:spacing w:before="200" w:after="283"/>
        <w:jc w:val="left"/>
        <w:rPr>
          <w:rFonts w:ascii="Arial" w:hAnsi="Arial"/>
          <w:color w:val="000000"/>
          <w:sz w:val="20"/>
        </w:rPr>
      </w:pPr>
      <w:r>
        <w:rPr>
          <w:rFonts w:ascii="Arial" w:hAnsi="Arial"/>
          <w:color w:val="000000"/>
          <w:sz w:val="20"/>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pStyle w:val="TextBody"/>
        <w:bidi w:val="0"/>
        <w:spacing w:before="200" w:after="283"/>
        <w:jc w:val="left"/>
        <w:rPr>
          <w:rFonts w:ascii="Arial" w:hAnsi="Arial"/>
          <w:b/>
          <w:i/>
          <w:color w:val="000000"/>
          <w:sz w:val="20"/>
        </w:rPr>
      </w:pPr>
      <w:r>
        <w:rPr>
          <w:rFonts w:ascii="Arial" w:hAnsi="Arial"/>
          <w:b/>
          <w:i/>
          <w:color w:val="000000"/>
          <w:sz w:val="20"/>
        </w:rPr>
        <w:t>We rely on a third-party digital asset partner to process stablecoin transactions and facilitate fiat conversion. Any operational failure, security breach, or regulatory action affecting our third-party digital asset partner could expose us to additional financial, regulatory, operational, and market risks that could adversely affect our business, financial condition, and results of operations.</w:t>
      </w:r>
    </w:p>
    <w:p>
      <w:pPr>
        <w:pStyle w:val="TextBody"/>
        <w:bidi w:val="0"/>
        <w:spacing w:before="200" w:after="283"/>
        <w:jc w:val="left"/>
        <w:rPr>
          <w:rFonts w:ascii="Arial" w:hAnsi="Arial"/>
          <w:color w:val="000000"/>
          <w:sz w:val="20"/>
        </w:rPr>
      </w:pPr>
      <w:r>
        <w:rPr>
          <w:rFonts w:ascii="Arial" w:hAnsi="Arial"/>
          <w:color w:val="000000"/>
          <w:sz w:val="20"/>
        </w:rPr>
        <w:t>To enable our clients to offer stablecoin payment options, we partner with a third-party digital asset service provider (Digital Asset Partner). Under this arrangement, the Digital Asset Partner receives the stablecoins directly from the client's customer, converts the digital assets into fiat currency, and settles the fiat currency to us for payout to our client. We do not buy, sell, receive, transmit, custody, hold, issue, or exchange digital assets. However, we are highly dependent on the operational and financial stability of our Digital Asset Partner. If our Digital Asset Partner experiences system outages, cybersecurity breaches, insolvency, or loss of its regulatory authorizations or banking relationships, the conversion and settlement of funds could be delayed or frozen (temporarily or permanently).</w:t>
      </w:r>
    </w:p>
    <w:p>
      <w:pPr>
        <w:pStyle w:val="TextBody"/>
        <w:bidi w:val="0"/>
        <w:spacing w:before="200" w:after="283"/>
        <w:jc w:val="left"/>
        <w:rPr>
          <w:rFonts w:ascii="Arial" w:hAnsi="Arial"/>
          <w:color w:val="000000"/>
          <w:sz w:val="20"/>
        </w:rPr>
      </w:pPr>
      <w:r>
        <w:rPr>
          <w:rFonts w:ascii="Arial" w:hAnsi="Arial"/>
          <w:color w:val="000000"/>
          <w:sz w:val="20"/>
        </w:rPr>
        <w:t>Stablecoins also introduce additional operational and cybersecurity risks. The blockchain networks and digital wallets our Digital Asset Partner uses to process stablecoin transactions may be vulnerable to congestion, security breaches, hacking, phishing attacks, software bugs, hard forks, and network failures. Any of these could result in the loss or theft of stablecoin funds, for which we may have limited recourse due to the decentralized and irreversible nature of blockchain transactions. If our Digital Asset Provider, the public blockchain networks, or any stablecoin issuers experience insolvency, operational disruptions, or fraudulent activity, our Digital Asset Partner’s ability to process payments or convert stablecoins to fiat currency could be impaired, potentially leading to financial losses or liquidity constraints.</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Although we operate exclusively in fiat currency, our Digital Asset Partner’s processing of stablecoin payments indirectly exposes us to complex, evolving, and uncertain digital asset regulations. The regulatory environment surrounding stablecoins remains uncertain and rapidly evolving. Legislatures and regulatory bodies, including foreign authorities, continue to evaluate whether stablecoins constitute securities, commodities, or other regulated financial instruments. Although our business model is limited to receiving and settling in fiat currency, regulators may interpret existing laws and regulations to apply to our activities or our integration with our Digital Asset Partner. In addition, new laws, regulations, or enforcement actions could impose significant compliance obligations on our Digital Asset Partner or on us, including additional licensing, AML and KYC requirements. This could restrict our ability to continue collaborating with our Digital Asset Partner, result in unfavorable changes in use, transfer, and redemption of stablecoins, or impose tax liabilities upon stablecoin holders. Noncompliance with such regulations, even unintentional, could result in fines, penalties, legal proceedings, and reputational harm. Furthermore, if a stablecoin issuer is deemed non-compliant with applicable laws, it could disrupt our payment operations or expose us to liability for including a non-compliant stablecoin as a payment option in our client’s checkout.</w:t>
      </w:r>
    </w:p>
    <w:p>
      <w:pPr>
        <w:pStyle w:val="TextBody"/>
        <w:bidi w:val="0"/>
        <w:spacing w:before="200" w:after="283"/>
        <w:jc w:val="left"/>
        <w:rPr>
          <w:rFonts w:ascii="Arial" w:hAnsi="Arial"/>
          <w:color w:val="000000"/>
          <w:sz w:val="20"/>
        </w:rPr>
      </w:pPr>
      <w:r>
        <w:rPr>
          <w:rFonts w:ascii="Arial" w:hAnsi="Arial"/>
          <w:color w:val="000000"/>
          <w:sz w:val="20"/>
        </w:rPr>
        <w:t>The stablecoins utilized in our payment flows may be subject to "de-pegging" events (“De-pegging Event”) and market volatility and are not protected by deposit insurance. Although stablecoins are designed to maintain a stable value while being pegged to fiat currencies like the U.S. dollar, the stability and reliability of stablecoins are not guaranteed and depend on various factors beyond our control, including the financial health of the issuing entity, the adequacy and liquidity of reserve assets, and the effectiveness of the underlying stabilization mechanisms. A stablecoin that our Digital Asset Partner handles may experience a significant devaluation or De-pegging Event, where its market value drops materially below its intended fiat value peg due to algorithmic failures, lack of adequate reserve assets, or panic selling. If a De-pegging Event occurs during the window between a payer initiating a checkout and our Digital Asset Partner executing the conversion from stablecoin to fiat, it could result in a shortfall of fiat funds delivered to us, causing us to incur losses. A De-pegging Event could also cause disruptions in transaction processing and may cause our clients or our client's customers to lose confidence in us. All of these things could negatively impact our financial condition, operations, and reputation. Moreover, stablecoins are not subject to any deposit insurance protection scheme, and the presence of fiat currency reserves is not a guarantee for redemption. There is a possibility that the assets that stablecoin issuers hold in reserves are not sufficient or may not be available for redemption at times of extremely high demand. Volatility spikes in the cryptocurrency markets also might lead to De-pegging Events.</w:t>
      </w:r>
    </w:p>
    <w:p>
      <w:pPr>
        <w:pStyle w:val="TextBody"/>
        <w:bidi w:val="0"/>
        <w:spacing w:before="200" w:after="283"/>
        <w:jc w:val="left"/>
        <w:rPr>
          <w:rFonts w:ascii="Arial" w:hAnsi="Arial"/>
          <w:color w:val="000000"/>
          <w:sz w:val="20"/>
        </w:rPr>
      </w:pPr>
      <w:r>
        <w:rPr>
          <w:rFonts w:ascii="Arial" w:hAnsi="Arial"/>
          <w:color w:val="000000"/>
          <w:sz w:val="20"/>
        </w:rPr>
        <w:t>Stablecoins are a relatively new payment method, and they present additional risks related to market acceptance. If clients or their customers lose confidence in stablecoins due to volatility, scandals, legislative or regulatory actions, or other factors, demand for stablecoin payment options could decline or we would be forced to incur costs to adapt to such changes. Conversely, if we cease enabling stablecoin as a payment method in response to these risks, we may alienate a segment of our client or client’s customer base that prefers cryptocurrency payments, potentially reducing our market competitiveness.</w:t>
      </w:r>
    </w:p>
    <w:p>
      <w:pPr>
        <w:pStyle w:val="TextBody"/>
        <w:bidi w:val="0"/>
        <w:spacing w:before="200" w:after="283"/>
        <w:jc w:val="left"/>
        <w:rPr>
          <w:rFonts w:ascii="Arial" w:hAnsi="Arial"/>
          <w:color w:val="000000"/>
          <w:sz w:val="20"/>
        </w:rPr>
      </w:pPr>
      <w:r>
        <w:rPr>
          <w:rFonts w:ascii="Arial" w:hAnsi="Arial"/>
          <w:color w:val="000000"/>
          <w:sz w:val="20"/>
        </w:rPr>
        <w:t>Fluctuations in the broader cryptocurrency market could also indirectly impact stablecoin transactions. A significant downturn in cryptocurrency prices or public sentiment could trigger redemption pressures on stablecoin issuers, straining their reserves and increasing the likelihood of instability. Such events could disrupt our Digital Asset Partner’s payment processing capabilities and financial position and, in turn, negatively impact our financial condition, operations, and reputation</w:t>
      </w:r>
    </w:p>
    <w:p>
      <w:pPr>
        <w:pStyle w:val="TextBody"/>
        <w:bidi w:val="0"/>
        <w:spacing w:before="200" w:after="283"/>
        <w:jc w:val="left"/>
        <w:rPr>
          <w:rFonts w:ascii="Arial" w:hAnsi="Arial"/>
          <w:b/>
          <w:i/>
          <w:color w:val="000000"/>
          <w:sz w:val="20"/>
        </w:rPr>
      </w:pPr>
      <w:r>
        <w:rPr>
          <w:rFonts w:ascii="Arial" w:hAnsi="Arial"/>
          <w:b/>
          <w:i/>
          <w:color w:val="000000"/>
          <w:sz w:val="20"/>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pStyle w:val="TextBody"/>
        <w:bidi w:val="0"/>
        <w:spacing w:before="200" w:after="283"/>
        <w:jc w:val="left"/>
        <w:rPr>
          <w:rFonts w:ascii="Arial" w:hAnsi="Arial"/>
          <w:b/>
          <w:i/>
          <w:color w:val="000000"/>
          <w:sz w:val="20"/>
        </w:rPr>
      </w:pPr>
      <w:r>
        <w:rPr>
          <w:rFonts w:ascii="Arial" w:hAnsi="Arial"/>
          <w:b/>
          <w:i/>
          <w:color w:val="000000"/>
          <w:sz w:val="20"/>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pStyle w:val="TextBody"/>
        <w:bidi w:val="0"/>
        <w:spacing w:before="200" w:after="283"/>
        <w:jc w:val="left"/>
        <w:rPr>
          <w:rFonts w:ascii="Arial" w:hAnsi="Arial"/>
          <w:color w:val="000000"/>
          <w:sz w:val="20"/>
        </w:rPr>
      </w:pPr>
      <w:r>
        <w:rPr>
          <w:rFonts w:ascii="Arial" w:hAnsi="Arial"/>
          <w:color w:val="000000"/>
          <w:sz w:val="20"/>
        </w:rPr>
        <w:t>We incorporate AI, including generative AI, into our solutions and services, including into our payor virtual assistant self-help chatbot. We may also incorporate or resell third-party AI technology into the services we provide to our clients. In addition, as part of our broader digital transformation strategy, we are integrating artificial intelligence to support our internal business functions and exploring additional uses for the future.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our clients or clients’ customers or partners, or otherwise interfere with the performance of our business.</w:t>
      </w:r>
    </w:p>
    <w:p>
      <w:pPr>
        <w:pStyle w:val="TextBody"/>
        <w:bidi w:val="0"/>
        <w:spacing w:before="200" w:after="283"/>
        <w:jc w:val="left"/>
        <w:rPr>
          <w:rFonts w:ascii="Arial" w:hAnsi="Arial"/>
          <w:color w:val="000000"/>
          <w:sz w:val="20"/>
        </w:rPr>
      </w:pPr>
      <w:r>
        <w:rPr>
          <w:rFonts w:ascii="Arial" w:hAnsi="Arial"/>
          <w:color w:val="000000"/>
          <w:sz w:val="20"/>
        </w:rPr>
        <w:t>The rapid adoption of generative AI technologies—such as OpenAI’s ChatGPT, Anthropic's Claude and similar tools—may adversely impact certain categories of our traditional clients, including online learning platforms and education technology providers. As students increasingly use AI tools as substitutes for conventional digital learning and tutoring services, these clients could experience reduced demand for their offerings, which in turn may decrease the volume of transactions processed through our platform and negatively affect our results of operations.</w:t>
      </w:r>
    </w:p>
    <w:p>
      <w:pPr>
        <w:pStyle w:val="TextBody"/>
        <w:bidi w:val="0"/>
        <w:spacing w:before="200" w:after="283"/>
        <w:jc w:val="left"/>
        <w:rPr>
          <w:rFonts w:ascii="Arial" w:hAnsi="Arial"/>
          <w:color w:val="000000"/>
          <w:sz w:val="20"/>
        </w:rPr>
      </w:pPr>
      <w:r>
        <w:rPr>
          <w:rFonts w:ascii="Arial" w:hAnsi="Arial"/>
          <w:color w:val="000000"/>
          <w:sz w:val="20"/>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 adversely affect our ability to commercialize or use, or the validity or enforceability of any IP rights in, such content or other output.</w:t>
      </w:r>
    </w:p>
    <w:p>
      <w:pPr>
        <w:pStyle w:val="TextBody"/>
        <w:bidi w:val="0"/>
        <w:spacing w:before="200" w:after="283"/>
        <w:jc w:val="left"/>
        <w:rPr>
          <w:rFonts w:ascii="Times New Roman" w:hAnsi="Times New Roman"/>
          <w:sz w:val="20"/>
        </w:rPr>
      </w:pPr>
      <w:r>
        <w:rPr>
          <w:rFonts w:ascii="Arial" w:hAnsi="Arial"/>
          <w:color w:val="000000"/>
          <w:sz w:val="20"/>
        </w:rPr>
        <w:t>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protect, defend, and enforce our IP rights in, such information or otherwise harm our competitive position, reputation, or business.</w:t>
      </w:r>
    </w:p>
    <w:p>
      <w:pPr>
        <w:pStyle w:val="TextBody"/>
        <w:bidi w:val="0"/>
        <w:spacing w:before="200" w:after="283"/>
        <w:jc w:val="left"/>
        <w:rPr>
          <w:rFonts w:ascii="Arial" w:hAnsi="Arial"/>
          <w:color w:val="000000"/>
          <w:sz w:val="20"/>
        </w:rPr>
      </w:pPr>
      <w:r>
        <w:rPr>
          <w:rFonts w:ascii="Arial" w:hAnsi="Arial"/>
          <w:color w:val="000000"/>
          <w:sz w:val="20"/>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 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pStyle w:val="TextBody"/>
        <w:bidi w:val="0"/>
        <w:spacing w:before="200" w:after="283"/>
        <w:jc w:val="left"/>
        <w:rPr>
          <w:rFonts w:ascii="Arial" w:hAnsi="Arial"/>
          <w:color w:val="000000"/>
          <w:sz w:val="20"/>
        </w:rPr>
      </w:pPr>
      <w:r>
        <w:rPr>
          <w:rFonts w:ascii="Arial" w:hAnsi="Arial"/>
          <w:color w:val="000000"/>
          <w:sz w:val="20"/>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pStyle w:val="TextBody"/>
        <w:bidi w:val="0"/>
        <w:spacing w:before="200" w:after="283"/>
        <w:jc w:val="left"/>
        <w:rPr>
          <w:rFonts w:ascii="Arial" w:hAnsi="Arial"/>
          <w:b/>
          <w:i/>
          <w:color w:val="000000"/>
          <w:sz w:val="20"/>
        </w:rPr>
      </w:pPr>
      <w:r>
        <w:rPr>
          <w:rFonts w:ascii="Arial" w:hAnsi="Arial"/>
          <w:b/>
          <w:i/>
          <w:color w:val="000000"/>
          <w:sz w:val="20"/>
        </w:rPr>
        <w:t>Our operational and systems transformation program may not be successful.</w:t>
      </w:r>
    </w:p>
    <w:p>
      <w:pPr>
        <w:pStyle w:val="TextBody"/>
        <w:bidi w:val="0"/>
        <w:spacing w:before="200" w:after="283"/>
        <w:jc w:val="left"/>
        <w:rPr>
          <w:rFonts w:ascii="Times New Roman" w:hAnsi="Times New Roman"/>
          <w:sz w:val="20"/>
        </w:rPr>
      </w:pPr>
      <w:r>
        <w:rPr>
          <w:rFonts w:ascii="Arial" w:hAnsi="Arial"/>
          <w:color w:val="000000"/>
          <w:sz w:val="20"/>
        </w:rPr>
        <w:t>Our operational and systems transformation initiative involves a multi-year roadmap with accelerated focus and planned "go lives" over its first 18-months aimed at rebuilding our foundational enterprise operating systems, consolidating disparate software applications, establishing a certified data architecture, and deploying enterprise-wide agentic artificial intelligence workflows. Because this initiative involves a highly complex, multi-dimensional modification of our people, processes, governance, and technology, it is subject to substantial execution risks. Inadequate or defective implementation of core enterprise software platforms, and shortcomings in the consolidation and/or integration of disparate software applications (and in certain instances replacing legacy applications with new ones) could result in significant project delays, systemic operational disruptions, or total project failure. In addition, we may have challenges implementing these replacement systems and driving efficient and effective adoption and use within our employee base, which can create lapses in productivity and magnify the potential for human error. Furthermore, if our data architecture fails to enforce proper data governance and data contracts, or if there are material errors or discrepancies in data conversion and migration cycles, our upstream business metrics will be compromised. This could lead to a systemic failure to achieve our target "Single Source of Truth," which would severely undermine the performance, reliability, and security of our downstream models and automated forecasting tools.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vast operational scope of the transformation program demands a significant commitment of internal subject matter experts and has resulted in a substantial focus of management and engineering resources away from day-to-day operations and business-as-usual strategic goals. By aligning our core innovation strategies so heavily with specific strategic partners, and centering our digital infrastructure around select technical ecosystems, we face considerable opportunity costs and reliance on third-party vendors to deliver timely on architected solutions. These dependencies could cause us to lose valuable opportunities to spend capital on, or develop, alternative or superior technologies that may emerge in the rapidly evolving artificial intelligence and data management markets. If our management team is unable to successfully balance these competing operational demands, our core product timelines, client relationship management activities, and global payment network support capabilities may suffer, which could materially and adversely affect our competitive positioning, financial health, and overall growth trajectory.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Financially, the transformation program requires a substantial financial commitment, including initial capital expenditure alongside millions of dollars in incremental recurring software-as-a-service (SaaS) licensing fees and ongoing platform investments. Despite our efforts to maintain rigid budget discipline, we face the distinct possibility of significant cost overruns due to unforeseen engineering complexities, integration bottlenecks across disparate third-party systems, regional talent constraints, evolving global regulatory standards, or extended vendor deployment timelines. The ultimate commercial success and return on investment of the transformation program are deeply contingent upon our ability to capture significant long-term operational savings and drive aggressive structural productivity gains. If we experience implementation delays, high personnel attrition within our newly reorganized data and systems squads, or an inability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successfully transition historical manual and spreadsheet-based workflows into automated processes, our anticipated cost structure improvements will fail to materialize. Under such circumstances, we may never achieve our projected break-even targets, which would result in material asset impairments and severely harm our operating margins and net income.</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Changes to payment card networks fees or rules could harm our business.</w:t>
      </w:r>
    </w:p>
    <w:p>
      <w:pPr>
        <w:pStyle w:val="TextBody"/>
        <w:bidi w:val="0"/>
        <w:spacing w:before="200" w:after="283"/>
        <w:jc w:val="left"/>
        <w:rPr>
          <w:rFonts w:ascii="Times New Roman" w:hAnsi="Times New Roman"/>
          <w:sz w:val="20"/>
        </w:rPr>
      </w:pPr>
      <w:r>
        <w:rPr>
          <w:rFonts w:ascii="Arial" w:hAnsi="Arial"/>
          <w:color w:val="000000"/>
          <w:sz w:val="20"/>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w:t>
      </w:r>
    </w:p>
    <w:p>
      <w:pPr>
        <w:pStyle w:val="TextBody"/>
        <w:bidi w:val="0"/>
        <w:spacing w:before="200" w:after="283"/>
        <w:jc w:val="left"/>
        <w:rPr>
          <w:rFonts w:ascii="Arial" w:hAnsi="Arial"/>
          <w:color w:val="000000"/>
          <w:sz w:val="20"/>
        </w:rPr>
      </w:pPr>
      <w:r>
        <w:rPr>
          <w:rFonts w:ascii="Arial" w:hAnsi="Arial"/>
          <w:color w:val="000000"/>
          <w:sz w:val="20"/>
        </w:rPr>
        <w:t>Additionally, from time to time, American Express and the card networks, including Visa and Mastercard, increase the fees that they charge processors. Changes in pricing, fee structures, or network rules by American Express or other card networks could adversely affect our costs and margins. We rely on global card networks, including American Express, to process certain payment types, and these networks may from time to time modify their interchange rates, assessments, discount fees, or other pricing components, or apply different cost structures based on the nature of an underlying transaction (such as education, travel, healthcare, or other categories) or the manner in which Flywire or our transactions are classified under their rules. If a card network were to reclassify Flywire, our customers, or specific payment flows, or to increase fees applicable to one or more of our core verticals, we may be unable to fully pass those increased costs on to customers without adversely affecting demand, competitiveness, or customer relationships.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Flywire's platform is designed to integrate with a broad ecosystem of ERP and financial management systems, such as Workday and Oracle for B2B payments, Oracle, Workday and Ellucian for education, Epic Systems for healthcare, and Rezdy for travel. These integrations enhance our ability to streamline complex flows, improve operational efficiency, and deepen our value proposition across vertical markets.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pStyle w:val="TextBody"/>
        <w:bidi w:val="0"/>
        <w:spacing w:before="200" w:after="283"/>
        <w:jc w:val="left"/>
        <w:rPr>
          <w:rFonts w:ascii="Arial" w:hAnsi="Arial"/>
          <w:color w:val="000000"/>
          <w:sz w:val="20"/>
        </w:rPr>
      </w:pPr>
      <w:r>
        <w:rPr>
          <w:rFonts w:ascii="Arial" w:hAnsi="Arial"/>
          <w:color w:val="000000"/>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pStyle w:val="TextBody"/>
        <w:bidi w:val="0"/>
        <w:spacing w:before="200" w:after="283"/>
        <w:jc w:val="left"/>
        <w:rPr>
          <w:rFonts w:ascii="Times New Roman" w:hAnsi="Times New Roman"/>
          <w:sz w:val="20"/>
        </w:rPr>
      </w:pPr>
      <w:r>
        <w:rPr>
          <w:rFonts w:ascii="Arial" w:hAnsi="Arial"/>
          <w:color w:val="000000"/>
          <w:sz w:val="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particular, if we are unable to adapt to such changes, we may not be able to utilize these strategic partners and we may lose access to large numbers of clients as a result.</w:t>
      </w:r>
    </w:p>
    <w:p>
      <w:pPr>
        <w:pStyle w:val="TextBody"/>
        <w:bidi w:val="0"/>
        <w:spacing w:before="200" w:after="283"/>
        <w:jc w:val="left"/>
        <w:rPr>
          <w:rFonts w:ascii="Arial" w:hAnsi="Arial"/>
          <w:color w:val="000000"/>
          <w:sz w:val="20"/>
        </w:rPr>
      </w:pPr>
      <w:r>
        <w:rPr>
          <w:rFonts w:ascii="Arial" w:hAnsi="Arial"/>
          <w:color w:val="000000"/>
          <w:sz w:val="20"/>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If we fail to maintain, protect and enhance our brand, our ability to expand our client base will be impaired and our business, operating results, and financial condition may suffer.</w:t>
      </w:r>
    </w:p>
    <w:p>
      <w:pPr>
        <w:pStyle w:val="TextBody"/>
        <w:bidi w:val="0"/>
        <w:spacing w:before="200" w:after="283"/>
        <w:jc w:val="left"/>
        <w:rPr>
          <w:rFonts w:ascii="Arial" w:hAnsi="Arial"/>
          <w:color w:val="000000"/>
          <w:sz w:val="20"/>
        </w:rPr>
      </w:pPr>
      <w:r>
        <w:rPr>
          <w:rFonts w:ascii="Arial" w:hAnsi="Arial"/>
          <w:color w:val="000000"/>
          <w:sz w:val="20"/>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pStyle w:val="TextBody"/>
        <w:bidi w:val="0"/>
        <w:spacing w:before="200" w:after="283"/>
        <w:jc w:val="left"/>
        <w:rPr>
          <w:rFonts w:ascii="Arial" w:hAnsi="Arial"/>
          <w:color w:val="000000"/>
          <w:sz w:val="20"/>
        </w:rPr>
      </w:pPr>
      <w:r>
        <w:rPr>
          <w:rFonts w:ascii="Arial" w:hAnsi="Arial"/>
          <w:color w:val="000000"/>
          <w:sz w:val="20"/>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pStyle w:val="TextBody"/>
        <w:bidi w:val="0"/>
        <w:spacing w:before="200" w:after="283"/>
        <w:jc w:val="left"/>
        <w:rPr>
          <w:rFonts w:ascii="Arial" w:hAnsi="Arial"/>
          <w:color w:val="000000"/>
          <w:sz w:val="20"/>
        </w:rPr>
      </w:pPr>
      <w:r>
        <w:rPr>
          <w:rFonts w:ascii="Arial" w:hAnsi="Arial"/>
          <w:color w:val="000000"/>
          <w:sz w:val="20"/>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lose key members of our management team or are unable to attract and retain executives and employees we need to support our operations and growth, our business may be harmed.</w:t>
      </w:r>
    </w:p>
    <w:p>
      <w:pPr>
        <w:pStyle w:val="TextBody"/>
        <w:bidi w:val="0"/>
        <w:spacing w:before="200" w:after="283"/>
        <w:jc w:val="left"/>
        <w:rPr>
          <w:rFonts w:ascii="Times New Roman" w:hAnsi="Times New Roman"/>
          <w:sz w:val="20"/>
        </w:rPr>
      </w:pPr>
      <w:r>
        <w:rPr>
          <w:rFonts w:ascii="Arial" w:hAnsi="Arial"/>
          <w:color w:val="000000"/>
          <w:sz w:val="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pStyle w:val="TextBody"/>
        <w:bidi w:val="0"/>
        <w:spacing w:before="200" w:after="283"/>
        <w:jc w:val="left"/>
        <w:rPr>
          <w:rFonts w:ascii="Arial" w:hAnsi="Arial"/>
          <w:b/>
          <w:i/>
          <w:color w:val="000000"/>
          <w:sz w:val="20"/>
        </w:rPr>
      </w:pPr>
      <w:r>
        <w:rPr>
          <w:rFonts w:ascii="Arial" w:hAnsi="Arial"/>
          <w:b/>
          <w:i/>
          <w:color w:val="000000"/>
          <w:sz w:val="20"/>
        </w:rPr>
        <w:t>The failure to attract and retain additional qualified personnel could prevent us from executing our business strategy and growth plans.</w:t>
      </w:r>
    </w:p>
    <w:p>
      <w:pPr>
        <w:pStyle w:val="TextBody"/>
        <w:bidi w:val="0"/>
        <w:spacing w:before="200" w:after="283"/>
        <w:jc w:val="left"/>
        <w:rPr>
          <w:rFonts w:ascii="Arial" w:hAnsi="Arial"/>
          <w:color w:val="000000"/>
          <w:sz w:val="20"/>
        </w:rPr>
      </w:pPr>
      <w:r>
        <w:rPr>
          <w:rFonts w:ascii="Arial" w:hAnsi="Arial"/>
          <w:color w:val="000000"/>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pStyle w:val="TextBody"/>
        <w:bidi w:val="0"/>
        <w:spacing w:before="200" w:after="283"/>
        <w:jc w:val="left"/>
        <w:rPr>
          <w:rFonts w:ascii="Times New Roman" w:hAnsi="Times New Roman"/>
          <w:sz w:val="20"/>
        </w:rPr>
      </w:pPr>
      <w:r>
        <w:rPr>
          <w:rFonts w:ascii="Arial" w:hAnsi="Arial"/>
          <w:color w:val="000000"/>
          <w:sz w:val="20"/>
        </w:rPr>
        <w:t>We rely on highly skilled employees, including software engineers and product specialists, many of whom are foreign nationals working in the United States under H-1B and other temporary work visas. In September 2025, the U.S. government announced its plans to require employers pay a $100,000 filing fee per H-1B visa petition to bring new H-1B workers into the U.S. The new H-1B visa fee would not apply to international students already in the U.S. looking to apply for a status change, but this new requirement would significantly increases the cost of employing new nationals in the U.S and could materially impact our operating expenses and our ability to attract specialized talent. If these visa-related costs remain in effect or increase further, we may be required to reduce our reliance on new H-1B visa holders or absorb materially higher personnel costs, either of which could negatively affect our financial performance. In addition, the number of H-1B visas available each year is limited by quota and lottery, and future changes in immigration laws or enforcement could further restrict our access to qualified foreign workers. Our inability to recruit or retain critical technical and operational talent—whether due to higher visa costs, policy changes, or processing delays—could hinder our ability to innovate, maintain our technology infrastructure, or expand internationally. Currently the status and validity of the $100,000 filing fee is in dispute as the issue is appealed through the U.S. court system.</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new visa fee requirement could also indirectly affect our global operations. Increased hiring costs in the United States may lead us to reallocate engineering or compliance resources abroad, resulting in higher coordination costs, reduced operational efficiency, or delays in product development. If we are unable to effectively manage these transitions or attract equivalent talent in other jurisdictions, our business, financial condition, and results of operations could be materially and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cannot maintain our company culture as we grow, our success and our business may be harmed.</w:t>
      </w:r>
    </w:p>
    <w:p>
      <w:pPr>
        <w:pStyle w:val="TextBody"/>
        <w:bidi w:val="0"/>
        <w:spacing w:before="200" w:after="283"/>
        <w:jc w:val="left"/>
        <w:rPr>
          <w:rFonts w:ascii="Arial" w:hAnsi="Arial"/>
          <w:color w:val="000000"/>
          <w:sz w:val="20"/>
        </w:rPr>
      </w:pPr>
      <w:r>
        <w:rPr>
          <w:rFonts w:ascii="Arial" w:hAnsi="Arial"/>
          <w:color w:val="000000"/>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pStyle w:val="TextBody"/>
        <w:bidi w:val="0"/>
        <w:spacing w:before="200" w:after="283"/>
        <w:jc w:val="left"/>
        <w:rPr>
          <w:rFonts w:ascii="Arial" w:hAnsi="Arial"/>
          <w:b/>
          <w:i/>
          <w:color w:val="000000"/>
          <w:sz w:val="20"/>
        </w:rPr>
      </w:pPr>
      <w:r>
        <w:rPr>
          <w:rFonts w:ascii="Arial" w:hAnsi="Arial"/>
          <w:b/>
          <w:i/>
          <w:color w:val="000000"/>
          <w:sz w:val="20"/>
        </w:rPr>
        <w:t>Our sales cycles may be long and vary.</w:t>
      </w:r>
    </w:p>
    <w:p>
      <w:pPr>
        <w:pStyle w:val="TextBody"/>
        <w:bidi w:val="0"/>
        <w:spacing w:before="200" w:after="283"/>
        <w:jc w:val="left"/>
        <w:rPr>
          <w:rFonts w:ascii="Arial" w:hAnsi="Arial"/>
          <w:color w:val="000000"/>
          <w:sz w:val="20"/>
        </w:rPr>
      </w:pPr>
      <w:r>
        <w:rPr>
          <w:rFonts w:ascii="Arial" w:hAnsi="Arial"/>
          <w:color w:val="000000"/>
          <w:sz w:val="20"/>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pStyle w:val="TextBody"/>
        <w:bidi w:val="0"/>
        <w:spacing w:before="200" w:after="283"/>
        <w:jc w:val="left"/>
        <w:rPr>
          <w:rFonts w:ascii="Times New Roman" w:hAnsi="Times New Roman"/>
          <w:sz w:val="20"/>
        </w:rPr>
      </w:pPr>
      <w:r>
        <w:rPr>
          <w:rFonts w:ascii="Arial" w:hAnsi="Arial"/>
          <w:color w:val="000000"/>
          <w:sz w:val="20"/>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or the ongoing conflict between the U.S., Iran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Israel in the Middle East or the failure of an agreed-upon peace in the conflict between Israel and Hamas to become permanent),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pStyle w:val="TextBody"/>
        <w:bidi w:val="0"/>
        <w:spacing w:before="200" w:after="283"/>
        <w:jc w:val="left"/>
        <w:rPr>
          <w:rFonts w:ascii="Arial" w:hAnsi="Arial"/>
          <w:b/>
          <w:i/>
          <w:color w:val="000000"/>
          <w:sz w:val="20"/>
        </w:rPr>
      </w:pPr>
      <w:r>
        <w:rPr>
          <w:rFonts w:ascii="Arial" w:hAnsi="Arial"/>
          <w:b/>
          <w:i/>
          <w:color w:val="000000"/>
          <w:sz w:val="20"/>
        </w:rPr>
        <w:t>We typically incur significant upfront costs in our client relationships, and if we are unable to develop or grow these relationships over time, we are unlikely to recover these costs and our operating results may suffer.</w:t>
      </w:r>
    </w:p>
    <w:p>
      <w:pPr>
        <w:pStyle w:val="TextBody"/>
        <w:bidi w:val="0"/>
        <w:spacing w:before="200" w:after="283"/>
        <w:jc w:val="left"/>
        <w:rPr>
          <w:rFonts w:ascii="Times New Roman" w:hAnsi="Times New Roman"/>
          <w:sz w:val="20"/>
        </w:rPr>
      </w:pPr>
      <w:r>
        <w:rPr>
          <w:rFonts w:ascii="Arial" w:hAnsi="Arial"/>
          <w:color w:val="000000"/>
          <w:sz w:val="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If we fail to offer high-quality client support, or if our support is more expensive than anticipated, our business and reputation could suffer.</w:t>
      </w:r>
    </w:p>
    <w:p>
      <w:pPr>
        <w:pStyle w:val="TextBody"/>
        <w:bidi w:val="0"/>
        <w:spacing w:before="200" w:after="283"/>
        <w:jc w:val="left"/>
        <w:rPr>
          <w:rFonts w:ascii="Arial" w:hAnsi="Arial"/>
          <w:color w:val="000000"/>
          <w:sz w:val="20"/>
        </w:rPr>
      </w:pPr>
      <w:r>
        <w:rPr>
          <w:rFonts w:ascii="Arial" w:hAnsi="Arial"/>
          <w:color w:val="000000"/>
          <w:sz w:val="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pStyle w:val="TextBody"/>
        <w:bidi w:val="0"/>
        <w:spacing w:before="200" w:after="283"/>
        <w:jc w:val="left"/>
        <w:rPr>
          <w:rFonts w:ascii="Arial" w:hAnsi="Arial"/>
          <w:color w:val="000000"/>
          <w:sz w:val="20"/>
        </w:rPr>
      </w:pPr>
      <w:r>
        <w:rPr>
          <w:rFonts w:ascii="Arial" w:hAnsi="Arial"/>
          <w:color w:val="000000"/>
          <w:sz w:val="20"/>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We may require additional capital to support the growth of our business, and this capital might not be available on acceptable terms, if at all.</w:t>
      </w:r>
    </w:p>
    <w:p>
      <w:pPr>
        <w:pStyle w:val="TextBody"/>
        <w:bidi w:val="0"/>
        <w:spacing w:before="200" w:after="283"/>
        <w:jc w:val="left"/>
        <w:rPr>
          <w:rFonts w:ascii="Arial" w:hAnsi="Arial"/>
          <w:color w:val="000000"/>
          <w:sz w:val="20"/>
        </w:rPr>
      </w:pPr>
      <w:r>
        <w:rPr>
          <w:rFonts w:ascii="Arial" w:hAnsi="Arial"/>
          <w:color w:val="000000"/>
          <w:sz w:val="20"/>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200" w:after="200"/>
        <w:jc w:val="left"/>
        <w:rPr>
          <w:rFonts w:ascii="Arial" w:hAnsi="Arial"/>
          <w:b/>
          <w:i/>
          <w:color w:val="000000"/>
          <w:sz w:val="20"/>
        </w:rPr>
      </w:pPr>
      <w:r>
        <w:rPr>
          <w:rFonts w:ascii="Arial" w:hAnsi="Arial"/>
          <w:b/>
          <w:i/>
          <w:color w:val="000000"/>
          <w:sz w:val="20"/>
        </w:rPr>
        <w:t>Our business could be harmed as a result of the risks associated with our acquisitions.</w:t>
      </w:r>
    </w:p>
    <w:p>
      <w:pPr>
        <w:pStyle w:val="TextBody"/>
        <w:bidi w:val="0"/>
        <w:jc w:val="left"/>
        <w:rPr>
          <w:rFonts w:ascii="Arial" w:hAnsi="Arial"/>
          <w:color w:val="000000"/>
          <w:sz w:val="20"/>
        </w:rPr>
      </w:pPr>
      <w:r>
        <w:rPr>
          <w:rFonts w:ascii="Arial" w:hAnsi="Arial"/>
          <w:color w:val="000000"/>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connection with any potential acquisitions, particularly of businesses with legacy or less robust information technology and cybersecurity controls than ours, we may face heightened vulnerability to cybersecurity threats, including pre-existing or undiscovered compromises which may lead to data loss, interruptions, increased integration and remediation costs, regulatory investigations, reputational harm, and other adverse impacts.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pStyle w:val="TextBody"/>
        <w:bidi w:val="0"/>
        <w:spacing w:before="200" w:after="283"/>
        <w:jc w:val="left"/>
        <w:rPr>
          <w:rFonts w:ascii="Arial" w:hAnsi="Arial"/>
          <w:color w:val="000000"/>
          <w:sz w:val="20"/>
        </w:rPr>
      </w:pPr>
      <w:r>
        <w:rPr>
          <w:rFonts w:ascii="Arial" w:hAnsi="Arial"/>
          <w:color w:val="000000"/>
          <w:sz w:val="20"/>
        </w:rPr>
        <w:t>Any acquisitions we undertake or have recently completed, including the acquisitions of Sertifi in February 2025 and Invoiced in August 2024, will likely be accompanied by business risks which may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 of the acquisition on our financial results, strategic position or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failure of an acquisition to result in expected benefits, which may include benefits relating to enhanced revenues, technology, human resources, costs savings, operating efficiencies, goodwill and other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difficulty, cost and management effort required to integrate the acquired businesses, including costs and delays in implementing common systems and procedures and costs and delays caused by communication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assumption of certain known or unknown liabilities of the acquired business, including litigation-related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reduction of our cash available for operations and other uses, the increase in amortization expense related to identifiable assets acquired, potentially dilutive issuances of equity securities or the incurrence of debt;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lack of experience in new markets, new geographies, new business culture, products or technologies or an initial dependence on unfamiliar distribution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possibility that we will pay more than the value we derive from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impairment of relationships with our clients, clients' customers, partners or suppliers or those of the acquired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loss of key employees of the acquired business.</w:t>
      </w:r>
    </w:p>
    <w:p>
      <w:pPr>
        <w:pStyle w:val="TextBody"/>
        <w:bidi w:val="0"/>
        <w:spacing w:before="200" w:after="283"/>
        <w:jc w:val="left"/>
        <w:rPr>
          <w:rFonts w:ascii="Arial" w:hAnsi="Arial"/>
          <w:color w:val="000000"/>
          <w:sz w:val="20"/>
        </w:rPr>
      </w:pPr>
      <w:r>
        <w:rPr>
          <w:rFonts w:ascii="Arial" w:hAnsi="Arial"/>
          <w:color w:val="000000"/>
          <w:sz w:val="20"/>
        </w:rPr>
        <w:t>These factors could harm our business, results of operations or financial condition.</w:t>
      </w:r>
    </w:p>
    <w:p>
      <w:pPr>
        <w:pStyle w:val="TextBody"/>
        <w:bidi w:val="0"/>
        <w:spacing w:before="200" w:after="283"/>
        <w:jc w:val="left"/>
        <w:rPr>
          <w:rFonts w:ascii="Times New Roman" w:hAnsi="Times New Roman"/>
          <w:sz w:val="20"/>
        </w:rPr>
      </w:pPr>
      <w:r>
        <w:rPr>
          <w:rFonts w:ascii="Arial" w:hAnsi="Arial"/>
          <w:color w:val="000000"/>
          <w:sz w:val="20"/>
        </w:rPr>
        <w:t>Sertifi has been the largest acquisition in our operating history. We may not realize the anticipated benefits of our acquisition of Sertifi on the expected timeline or at all, which could adversely affect our business and financial results. Achieving expected synergies depends on, among other things, the successful integration and reconciliation of Sertifi’s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platform and data with our existing systems, the effective monetization of acquired payment flows, and the onboarding and migration of Sertifi’s legacy customers to Flywire’s platform, each of which may prove more complex, time-consuming, or costly than anticipated. Delays or challenges in these areas could increase operating expenses, limit revenue growth, and reduce the strategic and financial benefits we expected from the transaction.</w:t>
      </w:r>
    </w:p>
    <w:p>
      <w:pPr>
        <w:pStyle w:val="TextBody"/>
        <w:bidi w:val="0"/>
        <w:spacing w:before="200" w:after="283"/>
        <w:jc w:val="left"/>
        <w:rPr>
          <w:rFonts w:ascii="Arial" w:hAnsi="Arial"/>
          <w:color w:val="000000"/>
          <w:sz w:val="20"/>
        </w:rPr>
      </w:pPr>
      <w:r>
        <w:rPr>
          <w:rFonts w:ascii="Arial" w:hAnsi="Arial"/>
          <w:color w:val="000000"/>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pStyle w:val="TextBody"/>
        <w:bidi w:val="0"/>
        <w:spacing w:before="200" w:after="283"/>
        <w:jc w:val="left"/>
        <w:rPr>
          <w:rFonts w:ascii="Arial" w:hAnsi="Arial"/>
          <w:b/>
          <w:i/>
          <w:color w:val="000000"/>
          <w:sz w:val="20"/>
        </w:rPr>
      </w:pPr>
      <w:r>
        <w:rPr>
          <w:rFonts w:ascii="Arial" w:hAnsi="Arial"/>
          <w:b/>
          <w:i/>
          <w:color w:val="000000"/>
          <w:sz w:val="20"/>
        </w:rPr>
        <w:t>Systems failures and resulting interruptions in the availability of our solutions and core payment platform could harm our business.</w:t>
      </w:r>
    </w:p>
    <w:p>
      <w:pPr>
        <w:pStyle w:val="TextBody"/>
        <w:bidi w:val="0"/>
        <w:spacing w:before="200" w:after="283"/>
        <w:jc w:val="left"/>
        <w:rPr>
          <w:rFonts w:ascii="Arial" w:hAnsi="Arial"/>
          <w:color w:val="000000"/>
          <w:sz w:val="20"/>
        </w:rPr>
      </w:pPr>
      <w:r>
        <w:rPr>
          <w:rFonts w:ascii="Arial" w:hAnsi="Arial"/>
          <w:color w:val="000000"/>
          <w:sz w:val="20"/>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the continuation or escalation of the conflicts between Russia and Ukraine, Israel and Hamas, and the ongoing conflict between the U.S., Iran and Israel,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pStyle w:val="TextBody"/>
        <w:bidi w:val="0"/>
        <w:spacing w:before="200" w:after="283"/>
        <w:jc w:val="left"/>
        <w:rPr>
          <w:rFonts w:ascii="Arial" w:hAnsi="Arial"/>
          <w:color w:val="000000"/>
          <w:sz w:val="20"/>
        </w:rPr>
      </w:pPr>
      <w:r>
        <w:rPr>
          <w:rFonts w:ascii="Arial" w:hAnsi="Arial"/>
          <w:color w:val="000000"/>
          <w:sz w:val="20"/>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pStyle w:val="TextBody"/>
        <w:bidi w:val="0"/>
        <w:spacing w:before="200" w:after="283"/>
        <w:jc w:val="left"/>
        <w:rPr>
          <w:rFonts w:ascii="Arial" w:hAnsi="Arial"/>
          <w:color w:val="000000"/>
          <w:sz w:val="20"/>
        </w:rPr>
      </w:pPr>
      <w:r>
        <w:rPr>
          <w:rFonts w:ascii="Arial" w:hAnsi="Arial"/>
          <w:color w:val="000000"/>
          <w:sz w:val="20"/>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pStyle w:val="TextBody"/>
        <w:bidi w:val="0"/>
        <w:spacing w:before="200" w:after="283"/>
        <w:jc w:val="left"/>
        <w:rPr>
          <w:rFonts w:ascii="Arial" w:hAnsi="Arial"/>
          <w:color w:val="000000"/>
          <w:sz w:val="20"/>
        </w:rPr>
      </w:pPr>
      <w:r>
        <w:rPr>
          <w:rFonts w:ascii="Arial" w:hAnsi="Arial"/>
          <w:color w:val="000000"/>
          <w:sz w:val="20"/>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conflicts between Russia and Ukraine, or in the Middle East involving the U.S., Israel, Hamas and Iran,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pStyle w:val="TextBody"/>
        <w:bidi w:val="0"/>
        <w:spacing w:before="200" w:after="283"/>
        <w:jc w:val="left"/>
        <w:rPr>
          <w:rFonts w:ascii="Arial" w:hAnsi="Arial"/>
          <w:color w:val="000000"/>
          <w:sz w:val="20"/>
        </w:rPr>
      </w:pPr>
      <w:r>
        <w:rPr>
          <w:rFonts w:ascii="Arial" w:hAnsi="Arial"/>
          <w:color w:val="000000"/>
          <w:sz w:val="20"/>
        </w:rPr>
        <w:t>In addition, we may experience financial losses due to a number of factors, including:</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third party disruptions, including potential outages at network providers and other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supply chain impacts, including shortages of goods, raw materials, increased prices or delays in shipment;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challenges to the availability and reliability of our network due to changes to normal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cyber and payment fraud risk, as cybercriminals attempt DDoS related attacks, phishing scams and other disruptive actions, given the shift to online banking, e-commerce and other online activity, as well as more FlyMates working remotely;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pStyle w:val="TextBody"/>
        <w:bidi w:val="0"/>
        <w:spacing w:before="200" w:after="283"/>
        <w:jc w:val="left"/>
        <w:rPr>
          <w:rFonts w:ascii="Arial" w:hAnsi="Arial"/>
          <w:color w:val="000000"/>
          <w:sz w:val="20"/>
        </w:rPr>
      </w:pPr>
      <w:r>
        <w:rPr>
          <w:rFonts w:ascii="Arial" w:hAnsi="Arial"/>
          <w:color w:val="000000"/>
          <w:sz w:val="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pStyle w:val="TextBody"/>
        <w:bidi w:val="0"/>
        <w:spacing w:before="200" w:after="283"/>
        <w:jc w:val="left"/>
        <w:rPr>
          <w:rFonts w:ascii="Arial" w:hAnsi="Arial"/>
          <w:color w:val="000000"/>
          <w:sz w:val="20"/>
        </w:rPr>
      </w:pPr>
      <w:r>
        <w:rPr>
          <w:rFonts w:ascii="Arial" w:hAnsi="Arial"/>
          <w:color w:val="000000"/>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pStyle w:val="TextBody"/>
        <w:bidi w:val="0"/>
        <w:spacing w:before="200" w:after="283"/>
        <w:jc w:val="left"/>
        <w:rPr>
          <w:rFonts w:ascii="Arial" w:hAnsi="Arial"/>
          <w:b/>
          <w:color w:val="000000"/>
          <w:sz w:val="20"/>
        </w:rPr>
      </w:pPr>
      <w:r>
        <w:rPr>
          <w:rFonts w:ascii="Arial" w:hAnsi="Arial"/>
          <w:b/>
          <w:color w:val="000000"/>
          <w:sz w:val="20"/>
        </w:rPr>
        <w:t>Risks Related to Our Legal, Regulatory and Compliance Landscape</w:t>
      </w:r>
    </w:p>
    <w:p>
      <w:pPr>
        <w:pStyle w:val="TextBody"/>
        <w:bidi w:val="0"/>
        <w:spacing w:before="200" w:after="283"/>
        <w:jc w:val="left"/>
        <w:rPr>
          <w:rFonts w:ascii="Arial" w:hAnsi="Arial"/>
          <w:b/>
          <w:i/>
          <w:color w:val="000000"/>
          <w:sz w:val="20"/>
        </w:rPr>
      </w:pPr>
      <w:r>
        <w:rPr>
          <w:rFonts w:ascii="Arial" w:hAnsi="Arial"/>
          <w:b/>
          <w:i/>
          <w:color w:val="000000"/>
          <w:sz w:val="20"/>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pStyle w:val="TextBody"/>
        <w:bidi w:val="0"/>
        <w:spacing w:before="200" w:after="283"/>
        <w:jc w:val="left"/>
        <w:rPr>
          <w:rFonts w:ascii="Arial" w:hAnsi="Arial"/>
          <w:color w:val="000000"/>
          <w:sz w:val="20"/>
        </w:rPr>
      </w:pPr>
      <w:r>
        <w:rPr>
          <w:rFonts w:ascii="Arial" w:hAnsi="Arial"/>
          <w:color w:val="000000"/>
          <w:sz w:val="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continuation or escalation of the conflicts between Russia and Ukraine, Israel and Hamas and Israel, the U.S., and Iran,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exchange rate volatility;</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economic conditions in the United States and globally, including economic slowdown, heightened interest rates, inflation, recession concerns and the disruption, volatility and tightening of credit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compliance with multiple complex, potentially conflicting and changing governmental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local licensing and reporting obligations or the imposition of currency controls which make it impossible or increasingly difficult for our clients to collect payments from international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local regulatory and legal obligations related to privacy, data protection, data localization, and user protections;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localize our solutions, including offering clients and their customers the ability to transact business in the local currency and adapting our solutions to local preferences, in markets in which we may have limited or no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trade barriers, tariffs and changes in trade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government sanctions on our ability to offer services in a region, such as sanctions issued by the U.S. and other countries against Russia;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in developing, staffing, and managing a large number of varying foreign operations as a result of distance, language, and cultural differences;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stringent local labor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on the repatriation of cash, including imposition or increase of withholding and other taxes on remittances and other payments by foreign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diplomatic friction, political or social unrest, war or other military conflict, including the continuation or escalation of the conflicts between Russia and Ukraine, Israel and Hamas and Israel, the U.S., and Iran, respectively, economic instability, repression, or human rights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natural disasters, global pandemics or other public health emergencies, acts of war, and terrorism;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U.S. laws and foreign laws prohibiting corrupt payments to government officials, such as the Foreign Corrupt Practices Act (FCPA) and the U.K. Bribery Act, and other local anti-corruption 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U.S. and foreign laws designed to combat money laundering and the financing of terrorist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antitrust and competition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or actual extended federal government shutdowns or the priorities of the U.S. presidential administration and related changes in laws, regulations or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national or regional differences in macroeconomic growth rates;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difficulties in collecting accounts receivable.</w:t>
      </w:r>
    </w:p>
    <w:p>
      <w:pPr>
        <w:pStyle w:val="TextBody"/>
        <w:bidi w:val="0"/>
        <w:spacing w:before="200" w:after="283"/>
        <w:jc w:val="left"/>
        <w:rPr>
          <w:rFonts w:ascii="Arial" w:hAnsi="Arial"/>
          <w:color w:val="000000"/>
          <w:sz w:val="20"/>
        </w:rPr>
      </w:pPr>
      <w:r>
        <w:rPr>
          <w:rFonts w:ascii="Arial" w:hAnsi="Arial"/>
          <w:color w:val="000000"/>
          <w:sz w:val="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pStyle w:val="TextBody"/>
        <w:bidi w:val="0"/>
        <w:spacing w:before="200" w:after="283"/>
        <w:jc w:val="left"/>
        <w:rPr>
          <w:rFonts w:ascii="Arial" w:hAnsi="Arial"/>
          <w:color w:val="000000"/>
          <w:sz w:val="20"/>
        </w:rPr>
      </w:pPr>
      <w:r>
        <w:rPr>
          <w:rFonts w:ascii="Arial" w:hAnsi="Arial"/>
          <w:color w:val="000000"/>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pStyle w:val="TextBody"/>
        <w:bidi w:val="0"/>
        <w:spacing w:before="200" w:after="283"/>
        <w:jc w:val="left"/>
        <w:rPr>
          <w:rFonts w:ascii="Arial" w:hAnsi="Arial"/>
          <w:b/>
          <w:i/>
          <w:color w:val="000000"/>
          <w:sz w:val="20"/>
        </w:rPr>
      </w:pPr>
      <w:r>
        <w:rPr>
          <w:rFonts w:ascii="Arial" w:hAnsi="Arial"/>
          <w:b/>
          <w:i/>
          <w:color w:val="000000"/>
          <w:sz w:val="20"/>
        </w:rPr>
        <w:t>Payments and other financial services-related regulations and oversight are material to our business. Our failure to comply could materially harm our business.</w:t>
      </w:r>
    </w:p>
    <w:p>
      <w:pPr>
        <w:pStyle w:val="TextBody"/>
        <w:bidi w:val="0"/>
        <w:spacing w:before="200" w:after="283"/>
        <w:jc w:val="left"/>
        <w:rPr>
          <w:rFonts w:ascii="Arial" w:hAnsi="Arial"/>
          <w:color w:val="000000"/>
          <w:sz w:val="20"/>
        </w:rPr>
      </w:pPr>
      <w:r>
        <w:rPr>
          <w:rFonts w:ascii="Arial" w:hAnsi="Arial"/>
          <w:color w:val="000000"/>
          <w:sz w:val="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pStyle w:val="TextBody"/>
        <w:bidi w:val="0"/>
        <w:spacing w:before="200" w:after="283"/>
        <w:jc w:val="left"/>
        <w:rPr>
          <w:rFonts w:ascii="Arial" w:hAnsi="Arial"/>
          <w:color w:val="000000"/>
          <w:sz w:val="20"/>
        </w:rPr>
      </w:pPr>
      <w:r>
        <w:rPr>
          <w:rFonts w:ascii="Arial" w:hAnsi="Arial"/>
          <w:color w:val="000000"/>
          <w:sz w:val="20"/>
        </w:rPr>
        <w:t>Certain of our subsidiaries are registered with FinCEN. Our subsidiary Flywire Global Corp. has obtained licenses to operate as a money transmitter (or the statutory equivalent) in 46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pStyle w:val="TextBody"/>
        <w:bidi w:val="0"/>
        <w:spacing w:before="200" w:after="283"/>
        <w:jc w:val="left"/>
        <w:rPr>
          <w:rFonts w:ascii="Times New Roman" w:hAnsi="Times New Roman"/>
          <w:sz w:val="20"/>
        </w:rPr>
      </w:pPr>
      <w:r>
        <w:rPr>
          <w:rFonts w:ascii="Arial" w:hAnsi="Arial"/>
          <w:color w:val="000000"/>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pStyle w:val="TextBody"/>
        <w:bidi w:val="0"/>
        <w:spacing w:before="200" w:after="283"/>
        <w:jc w:val="left"/>
        <w:rPr>
          <w:rFonts w:ascii="Arial" w:hAnsi="Arial"/>
          <w:color w:val="000000"/>
          <w:sz w:val="20"/>
        </w:rPr>
      </w:pPr>
      <w:r>
        <w:rPr>
          <w:rFonts w:ascii="Arial" w:hAnsi="Arial"/>
          <w:color w:val="000000"/>
          <w:sz w:val="20"/>
        </w:rPr>
        <w:t>Recent changes to card payment regulation announced by the Reserve Bank of Australia may also adversely affect our emerging business in Australia, operating results, and financial condition. In particular, the elimination of merchant surcharging on certain card networks beginning in October 2026, may increase the cost of card acceptance for merchants that use our platform and reduce the economics associated with domestic and cross-border payment transactions processed in Australia. These changes would require select merchants to begin absorbing card-related costs, which are partially mitigated by new domestic interchange fee caps. These changes may compress margins on certain domestic payment flows or reduce the attractiveness of card-based payment methods relative to alternative payment options, and require us to modify our pricing, routing, or product strategies. In addition, these regulatory developments may prompt issuers, networks, or other market participants to adjust their fee structures, incentives, or processing practices in ways that could further impact transaction volumes or revenue derived from Australian payment activity. Any of these effects, individually or in the aggregate, could adversely impact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pStyle w:val="TextBody"/>
        <w:bidi w:val="0"/>
        <w:spacing w:before="200" w:after="283"/>
        <w:jc w:val="left"/>
        <w:rPr>
          <w:rFonts w:ascii="Arial" w:hAnsi="Arial"/>
          <w:b/>
          <w:i/>
          <w:color w:val="000000"/>
          <w:sz w:val="20"/>
        </w:rPr>
      </w:pPr>
      <w:r>
        <w:rPr>
          <w:rFonts w:ascii="Arial" w:hAnsi="Arial"/>
          <w:b/>
          <w:i/>
          <w:color w:val="000000"/>
          <w:sz w:val="20"/>
        </w:rPr>
        <w:t>The regulatory environment in which we operate is subject to constant change, and new regulations could make aspects of our business as currently conducted no longer possible.</w:t>
      </w:r>
    </w:p>
    <w:p>
      <w:pPr>
        <w:pStyle w:val="TextBody"/>
        <w:bidi w:val="0"/>
        <w:spacing w:before="200" w:after="283"/>
        <w:jc w:val="left"/>
        <w:rPr>
          <w:rFonts w:ascii="Arial" w:hAnsi="Arial"/>
          <w:color w:val="000000"/>
          <w:sz w:val="20"/>
        </w:rPr>
      </w:pPr>
      <w:r>
        <w:rPr>
          <w:rFonts w:ascii="Arial" w:hAnsi="Arial"/>
          <w:color w:val="000000"/>
          <w:sz w:val="20"/>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pStyle w:val="TextBody"/>
        <w:bidi w:val="0"/>
        <w:spacing w:before="200" w:after="283"/>
        <w:jc w:val="left"/>
        <w:rPr>
          <w:rFonts w:ascii="Arial" w:hAnsi="Arial"/>
          <w:color w:val="000000"/>
          <w:sz w:val="20"/>
        </w:rPr>
      </w:pPr>
      <w:r>
        <w:rPr>
          <w:rFonts w:ascii="Arial" w:hAnsi="Arial"/>
          <w:color w:val="000000"/>
          <w:sz w:val="20"/>
        </w:rPr>
        <w:t>Government agencies may impose new or additional rules on money transmission, which may increase our costs of doing business, including, but not limited to regulations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prohibit, restrict, and/or impose taxes or fees on money transmission transactions in, to or from certain countries or with certain governments, individuals, and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additional client identification and client due diligence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additional reporting or recordkeeping requirements, or require enhanced transaction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types of entities capable of providing money transmission services, or impose additional licensing or registration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minimum capital or other financial requirements;</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enhanced disclosures to our money transmission clients or their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principal amount of money transmission transactions originated in a country to be invested in that country or held in trust until paid;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number or principal amount of money transmission transactions that may be sent to or from a jurisdiction, whether by an individual or in the aggregate;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 or limit our ability to process transactions using centralized databases, for example, by requiring that transactions be processed using a database maintained in a particular country or region.</w:t>
      </w:r>
    </w:p>
    <w:p>
      <w:pPr>
        <w:pStyle w:val="TextBody"/>
        <w:bidi w:val="0"/>
        <w:spacing w:before="200" w:after="283"/>
        <w:jc w:val="left"/>
        <w:rPr>
          <w:rFonts w:ascii="Arial" w:hAnsi="Arial"/>
          <w:b/>
          <w:i/>
          <w:color w:val="000000"/>
          <w:sz w:val="20"/>
        </w:rPr>
      </w:pPr>
      <w:r>
        <w:rPr>
          <w:rFonts w:ascii="Arial" w:hAnsi="Arial"/>
          <w:b/>
          <w:i/>
          <w:color w:val="000000"/>
          <w:sz w:val="20"/>
        </w:rPr>
        <w:t>We are subject to governmental laws and requirements regarding economic and trade sanctions, AML and CFT that could impair our ability to compete in international markets or subject us to criminal or civil liability if we violate them.</w:t>
      </w:r>
    </w:p>
    <w:p>
      <w:pPr>
        <w:pStyle w:val="TextBody"/>
        <w:bidi w:val="0"/>
        <w:spacing w:before="200" w:after="283"/>
        <w:jc w:val="left"/>
        <w:rPr>
          <w:rFonts w:ascii="Arial" w:hAnsi="Arial"/>
          <w:color w:val="000000"/>
          <w:sz w:val="20"/>
        </w:rPr>
      </w:pPr>
      <w:r>
        <w:rPr>
          <w:rFonts w:ascii="Arial" w:hAnsi="Arial"/>
          <w:color w:val="000000"/>
          <w:sz w:val="20"/>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pStyle w:val="TextBody"/>
        <w:bidi w:val="0"/>
        <w:spacing w:before="200" w:after="283"/>
        <w:jc w:val="left"/>
        <w:rPr>
          <w:rFonts w:ascii="Arial" w:hAnsi="Arial"/>
          <w:color w:val="000000"/>
          <w:sz w:val="20"/>
        </w:rPr>
      </w:pPr>
      <w:r>
        <w:rPr>
          <w:rFonts w:ascii="Arial" w:hAnsi="Arial"/>
          <w:color w:val="000000"/>
          <w:sz w:val="20"/>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pStyle w:val="TextBody"/>
        <w:bidi w:val="0"/>
        <w:spacing w:before="200" w:after="283"/>
        <w:jc w:val="left"/>
        <w:rPr>
          <w:rFonts w:ascii="Arial" w:hAnsi="Arial"/>
          <w:color w:val="000000"/>
          <w:sz w:val="20"/>
        </w:rPr>
      </w:pPr>
      <w:r>
        <w:rPr>
          <w:rFonts w:ascii="Arial" w:hAnsi="Arial"/>
          <w:color w:val="000000"/>
          <w:sz w:val="20"/>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pStyle w:val="TextBody"/>
        <w:bidi w:val="0"/>
        <w:spacing w:before="200" w:after="283"/>
        <w:jc w:val="left"/>
        <w:rPr>
          <w:rFonts w:ascii="Arial" w:hAnsi="Arial"/>
          <w:color w:val="000000"/>
          <w:sz w:val="20"/>
        </w:rPr>
      </w:pPr>
      <w:r>
        <w:rPr>
          <w:rFonts w:ascii="Arial" w:hAnsi="Arial"/>
          <w:color w:val="000000"/>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pStyle w:val="TextBody"/>
        <w:bidi w:val="0"/>
        <w:spacing w:before="200" w:after="283"/>
        <w:jc w:val="left"/>
        <w:rPr>
          <w:rFonts w:ascii="Arial" w:hAnsi="Arial"/>
          <w:color w:val="000000"/>
          <w:sz w:val="20"/>
        </w:rPr>
      </w:pPr>
      <w:r>
        <w:rPr>
          <w:rFonts w:ascii="Arial" w:hAnsi="Arial"/>
          <w:color w:val="000000"/>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CCPA and CPRA enforcement actions have resulted in significant penalties, and the California Privacy Protection Agency has continued to expand its enforcement activities.</w:t>
      </w:r>
    </w:p>
    <w:p>
      <w:pPr>
        <w:pStyle w:val="TextBody"/>
        <w:bidi w:val="0"/>
        <w:spacing w:before="200" w:after="283"/>
        <w:jc w:val="left"/>
        <w:rPr>
          <w:rFonts w:ascii="Arial" w:hAnsi="Arial"/>
          <w:color w:val="000000"/>
          <w:sz w:val="20"/>
        </w:rPr>
      </w:pPr>
      <w:r>
        <w:rPr>
          <w:rFonts w:ascii="Arial" w:hAnsi="Arial"/>
          <w:color w:val="000000"/>
          <w:sz w:val="20"/>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before="200" w:after="283"/>
        <w:jc w:val="left"/>
        <w:rPr>
          <w:rFonts w:ascii="Arial" w:hAnsi="Arial"/>
          <w:color w:val="000000"/>
          <w:sz w:val="20"/>
        </w:rPr>
      </w:pPr>
      <w:r>
        <w:rPr>
          <w:rFonts w:ascii="Arial" w:hAnsi="Arial"/>
          <w:color w:val="000000"/>
          <w:sz w:val="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before="200" w:after="283"/>
        <w:jc w:val="left"/>
        <w:rPr>
          <w:rFonts w:ascii="Times New Roman" w:hAnsi="Times New Roman"/>
          <w:sz w:val="20"/>
        </w:rPr>
      </w:pPr>
      <w:r>
        <w:rPr>
          <w:rFonts w:ascii="Arial" w:hAnsi="Arial"/>
          <w:color w:val="000000"/>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pStyle w:val="TextBody"/>
        <w:bidi w:val="0"/>
        <w:spacing w:before="200" w:after="283"/>
        <w:jc w:val="left"/>
        <w:rPr>
          <w:rFonts w:ascii="Times New Roman" w:hAnsi="Times New Roman"/>
          <w:sz w:val="20"/>
        </w:rPr>
      </w:pPr>
      <w:r>
        <w:rPr>
          <w:rFonts w:ascii="Arial" w:hAnsi="Arial"/>
          <w:color w:val="000000"/>
          <w:sz w:val="20"/>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may be further challenged, suspended or invalidated for transfers to some or all countries. For example, guidance regarding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pStyle w:val="TextBody"/>
        <w:bidi w:val="0"/>
        <w:spacing w:before="200" w:after="283"/>
        <w:jc w:val="left"/>
        <w:rPr>
          <w:rFonts w:ascii="Arial" w:hAnsi="Arial"/>
          <w:color w:val="000000"/>
          <w:sz w:val="20"/>
        </w:rPr>
      </w:pPr>
      <w:r>
        <w:rPr>
          <w:rFonts w:ascii="Arial" w:hAnsi="Arial"/>
          <w:color w:val="000000"/>
          <w:sz w:val="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pStyle w:val="TextBody"/>
        <w:bidi w:val="0"/>
        <w:spacing w:before="200" w:after="283"/>
        <w:jc w:val="left"/>
        <w:rPr>
          <w:rFonts w:ascii="Arial" w:hAnsi="Arial"/>
          <w:color w:val="000000"/>
          <w:sz w:val="20"/>
        </w:rPr>
      </w:pPr>
      <w:r>
        <w:rPr>
          <w:rFonts w:ascii="Arial" w:hAnsi="Arial"/>
          <w:color w:val="000000"/>
          <w:sz w:val="20"/>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pStyle w:val="TextBody"/>
        <w:bidi w:val="0"/>
        <w:spacing w:before="200" w:after="283"/>
        <w:jc w:val="left"/>
        <w:rPr>
          <w:rFonts w:ascii="Arial" w:hAnsi="Arial"/>
          <w:color w:val="000000"/>
          <w:sz w:val="20"/>
        </w:rPr>
      </w:pPr>
      <w:r>
        <w:rPr>
          <w:rFonts w:ascii="Arial" w:hAnsi="Arial"/>
          <w:color w:val="000000"/>
          <w:sz w:val="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pStyle w:val="TextBody"/>
        <w:bidi w:val="0"/>
        <w:spacing w:before="200" w:after="283"/>
        <w:jc w:val="left"/>
        <w:rPr>
          <w:rFonts w:ascii="Times New Roman" w:hAnsi="Times New Roman"/>
          <w:sz w:val="20"/>
        </w:rPr>
      </w:pPr>
      <w:r>
        <w:rPr>
          <w:rFonts w:ascii="Arial" w:hAnsi="Arial"/>
          <w:color w:val="000000"/>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regarded by the U.K. as providing adequate protection (this means that personal data transfers from the U.K. to the EEA remain free flowing).</w:t>
      </w:r>
    </w:p>
    <w:p>
      <w:pPr>
        <w:pStyle w:val="TextBody"/>
        <w:bidi w:val="0"/>
        <w:spacing w:before="200" w:after="283"/>
        <w:jc w:val="left"/>
        <w:rPr>
          <w:rFonts w:ascii="Arial" w:hAnsi="Arial"/>
          <w:color w:val="000000"/>
          <w:sz w:val="20"/>
        </w:rPr>
      </w:pPr>
      <w:r>
        <w:rPr>
          <w:rFonts w:ascii="Arial" w:hAnsi="Arial"/>
          <w:color w:val="000000"/>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included a ‘sunset clause’, limiting its duration to four years. On December 19, 2025, the European Commission formally renewed its data adequacy decisions for the U.K., reaffirming that the U.K. maintains an equivalent level of personal data protection under its post-Brexit framework, including updates made by the U.K.’s Data (Use and Access) Act 2025. Following a technical six-month extension granted in June 2025 to review the new legislation, this decision allows personal data to continue flowing freely between the European Economic Area (EEA) and the U.K. without requiring additional transfer safeguards through December 27, 2031.</w:t>
      </w:r>
    </w:p>
    <w:p>
      <w:pPr>
        <w:pStyle w:val="TextBody"/>
        <w:bidi w:val="0"/>
        <w:spacing w:before="200" w:after="283"/>
        <w:jc w:val="left"/>
        <w:rPr>
          <w:rFonts w:ascii="Arial" w:hAnsi="Arial"/>
          <w:color w:val="000000"/>
          <w:sz w:val="20"/>
        </w:rPr>
      </w:pPr>
      <w:r>
        <w:rPr>
          <w:rFonts w:ascii="Arial" w:hAnsi="Arial"/>
          <w:color w:val="000000"/>
          <w:sz w:val="20"/>
        </w:rPr>
        <w:t>The U.K.’s Data (Use and Access) Act 2025 overhauled the U.K. data governance framework by establishing Digital Verification Services standards, creating "Smart Data" sharing schemes, and updating U.K. GDPR rules to streamline automated decision-making and subject access requests. In certain respects, these regulatory changes ease administrative data burdens and facilitate digitized identity verification across our U.K. education and healthcare client networks, while requiring updates to customer complaint handling timelines and data privacy compliance workflows.</w:t>
      </w:r>
    </w:p>
    <w:p>
      <w:pPr>
        <w:pStyle w:val="TextBody"/>
        <w:bidi w:val="0"/>
        <w:spacing w:before="200" w:after="283"/>
        <w:jc w:val="left"/>
        <w:rPr>
          <w:rFonts w:ascii="Arial" w:hAnsi="Arial"/>
          <w:color w:val="000000"/>
          <w:sz w:val="20"/>
        </w:rPr>
      </w:pPr>
      <w:r>
        <w:rPr>
          <w:rFonts w:ascii="Arial" w:hAnsi="Arial"/>
          <w:color w:val="000000"/>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pStyle w:val="TextBody"/>
        <w:bidi w:val="0"/>
        <w:spacing w:before="200" w:after="283"/>
        <w:jc w:val="left"/>
        <w:rPr>
          <w:rFonts w:ascii="Arial" w:hAnsi="Arial"/>
          <w:color w:val="000000"/>
          <w:sz w:val="20"/>
        </w:rPr>
      </w:pPr>
      <w:r>
        <w:rPr>
          <w:rFonts w:ascii="Arial" w:hAnsi="Arial"/>
          <w:color w:val="000000"/>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On April 7, 2026, the Japanese Cabinet approved and submitted to the Diet a bill to amend the APPI, which includes both deregulatory measures and strengthened regulatory provisions. Key highlights among other matters include: a new consent exemption for statistical processing (e.g., AI development); broader relaxation of consent requirements; specific protections for children’s personal data; new rules on biometric data; and regulatory relief for entrusted data processors. Assuming the bill passes the Diet in 2026, the new rules are expected to take full effect by 2028 at the latest. We have taken steps to address compliance obligations that apply to us under the Amended APPI, but cannot assure you that such steps will be effective, and we may face the risk of increased costs, liability and loss of business.</w:t>
      </w:r>
    </w:p>
    <w:p>
      <w:pPr>
        <w:pStyle w:val="TextBody"/>
        <w:bidi w:val="0"/>
        <w:spacing w:before="200" w:after="283"/>
        <w:jc w:val="left"/>
        <w:rPr>
          <w:rFonts w:ascii="Arial" w:hAnsi="Arial"/>
          <w:color w:val="000000"/>
          <w:sz w:val="20"/>
        </w:rPr>
      </w:pPr>
      <w:r>
        <w:rPr>
          <w:rFonts w:ascii="Arial" w:hAnsi="Arial"/>
          <w:color w:val="000000"/>
          <w:sz w:val="20"/>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pStyle w:val="TextBody"/>
        <w:bidi w:val="0"/>
        <w:spacing w:before="200" w:after="283"/>
        <w:jc w:val="left"/>
        <w:rPr>
          <w:rFonts w:ascii="Arial" w:hAnsi="Arial"/>
          <w:color w:val="000000"/>
          <w:sz w:val="20"/>
        </w:rPr>
      </w:pPr>
      <w:r>
        <w:rPr>
          <w:rFonts w:ascii="Arial" w:hAnsi="Arial"/>
          <w:color w:val="000000"/>
          <w:sz w:val="20"/>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pStyle w:val="TextBody"/>
        <w:bidi w:val="0"/>
        <w:spacing w:before="200" w:after="283"/>
        <w:jc w:val="left"/>
        <w:rPr>
          <w:rFonts w:ascii="Arial" w:hAnsi="Arial"/>
          <w:color w:val="000000"/>
          <w:sz w:val="20"/>
        </w:rPr>
      </w:pPr>
      <w:r>
        <w:rPr>
          <w:rFonts w:ascii="Arial" w:hAnsi="Arial"/>
          <w:color w:val="000000"/>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pStyle w:val="TextBody"/>
        <w:bidi w:val="0"/>
        <w:spacing w:before="200" w:after="283"/>
        <w:jc w:val="left"/>
        <w:rPr>
          <w:rFonts w:ascii="Arial" w:hAnsi="Arial"/>
          <w:color w:val="000000"/>
          <w:sz w:val="20"/>
        </w:rPr>
      </w:pPr>
      <w:r>
        <w:rPr>
          <w:rFonts w:ascii="Arial" w:hAnsi="Arial"/>
          <w:color w:val="000000"/>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pStyle w:val="TextBody"/>
        <w:bidi w:val="0"/>
        <w:spacing w:before="200" w:after="283"/>
        <w:jc w:val="left"/>
        <w:rPr>
          <w:rFonts w:ascii="Arial" w:hAnsi="Arial"/>
          <w:b/>
          <w:i/>
          <w:color w:val="000000"/>
          <w:sz w:val="20"/>
        </w:rPr>
      </w:pPr>
      <w:r>
        <w:rPr>
          <w:rFonts w:ascii="Arial" w:hAnsi="Arial"/>
          <w:b/>
          <w:i/>
          <w:color w:val="000000"/>
          <w:sz w:val="20"/>
        </w:rPr>
        <w:t>We are subject to anti-corruption, anti-bribery, and similar laws, and non-compliance with such laws can subject us to criminal or civil liability and harm our business.</w:t>
      </w:r>
    </w:p>
    <w:p>
      <w:pPr>
        <w:pStyle w:val="TextBody"/>
        <w:bidi w:val="0"/>
        <w:spacing w:before="200" w:after="283"/>
        <w:jc w:val="left"/>
        <w:rPr>
          <w:rFonts w:ascii="Arial" w:hAnsi="Arial"/>
          <w:color w:val="000000"/>
          <w:sz w:val="20"/>
        </w:rPr>
      </w:pPr>
      <w:r>
        <w:rPr>
          <w:rFonts w:ascii="Arial" w:hAnsi="Arial"/>
          <w:color w:val="000000"/>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pStyle w:val="TextBody"/>
        <w:bidi w:val="0"/>
        <w:spacing w:before="200" w:after="283"/>
        <w:jc w:val="left"/>
        <w:rPr>
          <w:rFonts w:ascii="Arial" w:hAnsi="Arial"/>
          <w:color w:val="000000"/>
          <w:sz w:val="20"/>
        </w:rPr>
      </w:pPr>
      <w:r>
        <w:rPr>
          <w:rFonts w:ascii="Arial" w:hAnsi="Arial"/>
          <w:color w:val="000000"/>
          <w:sz w:val="20"/>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pStyle w:val="TextBody"/>
        <w:bidi w:val="0"/>
        <w:spacing w:before="200" w:after="283"/>
        <w:jc w:val="left"/>
        <w:rPr>
          <w:rFonts w:ascii="Times New Roman" w:hAnsi="Times New Roman"/>
          <w:sz w:val="20"/>
        </w:rPr>
      </w:pPr>
      <w:r>
        <w:rPr>
          <w:rFonts w:ascii="Arial" w:hAnsi="Arial"/>
          <w:color w:val="000000"/>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pStyle w:val="TextBody"/>
        <w:bidi w:val="0"/>
        <w:spacing w:before="200" w:after="283"/>
        <w:jc w:val="left"/>
        <w:rPr>
          <w:rFonts w:ascii="Arial" w:hAnsi="Arial"/>
          <w:color w:val="000000"/>
          <w:sz w:val="20"/>
        </w:rPr>
      </w:pPr>
      <w:r>
        <w:rPr>
          <w:rFonts w:ascii="Arial" w:hAnsi="Arial"/>
          <w:color w:val="000000"/>
          <w:sz w:val="20"/>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bidi w:val="0"/>
        <w:spacing w:before="200" w:after="283"/>
        <w:jc w:val="left"/>
        <w:rPr>
          <w:rFonts w:ascii="Arial" w:hAnsi="Arial"/>
          <w:b/>
          <w:i/>
          <w:color w:val="000000"/>
          <w:sz w:val="20"/>
        </w:rPr>
      </w:pPr>
      <w:r>
        <w:rPr>
          <w:rFonts w:ascii="Arial" w:hAnsi="Arial"/>
          <w:b/>
          <w:i/>
          <w:color w:val="000000"/>
          <w:sz w:val="20"/>
        </w:rPr>
        <w:t>If we fail to adequately protect our proprietary rights, our competitive position could be impaired and we may lose valuable assets, generate less revenue and incur costly litigation to protect our rights.</w:t>
      </w:r>
    </w:p>
    <w:p>
      <w:pPr>
        <w:pStyle w:val="TextBody"/>
        <w:bidi w:val="0"/>
        <w:spacing w:before="200" w:after="283"/>
        <w:jc w:val="left"/>
        <w:rPr>
          <w:rFonts w:ascii="Arial" w:hAnsi="Arial"/>
          <w:color w:val="000000"/>
          <w:sz w:val="20"/>
        </w:rPr>
      </w:pPr>
      <w:r>
        <w:rPr>
          <w:rFonts w:ascii="Arial" w:hAnsi="Arial"/>
          <w:color w:val="000000"/>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pStyle w:val="TextBody"/>
        <w:bidi w:val="0"/>
        <w:spacing w:before="200" w:after="283"/>
        <w:jc w:val="left"/>
        <w:rPr>
          <w:rFonts w:ascii="Arial" w:hAnsi="Arial"/>
          <w:color w:val="000000"/>
          <w:sz w:val="20"/>
        </w:rPr>
      </w:pPr>
      <w:r>
        <w:rPr>
          <w:rFonts w:ascii="Arial" w:hAnsi="Arial"/>
          <w:color w:val="000000"/>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pStyle w:val="TextBody"/>
        <w:bidi w:val="0"/>
        <w:spacing w:before="200" w:after="283"/>
        <w:jc w:val="left"/>
        <w:rPr>
          <w:rFonts w:ascii="Arial" w:hAnsi="Arial"/>
          <w:color w:val="000000"/>
          <w:sz w:val="20"/>
        </w:rPr>
      </w:pPr>
      <w:r>
        <w:rPr>
          <w:rFonts w:ascii="Arial" w:hAnsi="Arial"/>
          <w:color w:val="000000"/>
          <w:sz w:val="20"/>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pStyle w:val="TextBody"/>
        <w:bidi w:val="0"/>
        <w:spacing w:before="200" w:after="283"/>
        <w:jc w:val="left"/>
        <w:rPr>
          <w:rFonts w:ascii="Times New Roman" w:hAnsi="Times New Roman"/>
          <w:sz w:val="20"/>
        </w:rPr>
      </w:pPr>
      <w:r>
        <w:rPr>
          <w:rFonts w:ascii="Arial" w:hAnsi="Arial"/>
          <w:color w:val="000000"/>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pStyle w:val="TextBody"/>
        <w:bidi w:val="0"/>
        <w:spacing w:before="200" w:after="283"/>
        <w:jc w:val="left"/>
        <w:rPr>
          <w:rFonts w:ascii="Arial" w:hAnsi="Arial"/>
          <w:b/>
          <w:i/>
          <w:color w:val="000000"/>
          <w:sz w:val="20"/>
        </w:rPr>
      </w:pPr>
      <w:r>
        <w:rPr>
          <w:rFonts w:ascii="Arial" w:hAnsi="Arial"/>
          <w:b/>
          <w:i/>
          <w:color w:val="000000"/>
          <w:sz w:val="20"/>
        </w:rPr>
        <w:t>We may in the future be subject to intellectual property disputes, which are costly and may subject us to significant liability and increased costs of doing business.</w:t>
      </w:r>
    </w:p>
    <w:p>
      <w:pPr>
        <w:pStyle w:val="TextBody"/>
        <w:bidi w:val="0"/>
        <w:spacing w:before="200" w:after="283"/>
        <w:jc w:val="left"/>
        <w:rPr>
          <w:rFonts w:ascii="Arial" w:hAnsi="Arial"/>
          <w:color w:val="000000"/>
          <w:sz w:val="20"/>
        </w:rPr>
      </w:pPr>
      <w:r>
        <w:rPr>
          <w:rFonts w:ascii="Arial" w:hAnsi="Arial"/>
          <w:color w:val="000000"/>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pStyle w:val="TextBody"/>
        <w:bidi w:val="0"/>
        <w:spacing w:before="200" w:after="283"/>
        <w:jc w:val="left"/>
        <w:rPr>
          <w:rFonts w:ascii="Arial" w:hAnsi="Arial"/>
          <w:b/>
          <w:i/>
          <w:color w:val="000000"/>
          <w:sz w:val="20"/>
        </w:rPr>
      </w:pPr>
      <w:r>
        <w:rPr>
          <w:rFonts w:ascii="Arial" w:hAnsi="Arial"/>
          <w:b/>
          <w:i/>
          <w:color w:val="000000"/>
          <w:sz w:val="20"/>
        </w:rPr>
        <w:t>Our use of “open source” software could negatively affect our ability to offer and sell access to our solutions and subject us to possible litigation.</w:t>
      </w:r>
    </w:p>
    <w:p>
      <w:pPr>
        <w:pStyle w:val="TextBody"/>
        <w:bidi w:val="0"/>
        <w:spacing w:before="200" w:after="283"/>
        <w:jc w:val="left"/>
        <w:rPr>
          <w:rFonts w:ascii="Arial" w:hAnsi="Arial"/>
          <w:color w:val="000000"/>
          <w:sz w:val="20"/>
        </w:rPr>
      </w:pPr>
      <w:r>
        <w:rPr>
          <w:rFonts w:ascii="Arial" w:hAnsi="Arial"/>
          <w:color w:val="000000"/>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pStyle w:val="TextBody"/>
        <w:bidi w:val="0"/>
        <w:spacing w:before="200" w:after="283"/>
        <w:jc w:val="left"/>
        <w:rPr>
          <w:rFonts w:ascii="Arial" w:hAnsi="Arial"/>
          <w:color w:val="000000"/>
          <w:sz w:val="20"/>
        </w:rPr>
      </w:pPr>
      <w:r>
        <w:rPr>
          <w:rFonts w:ascii="Arial" w:hAnsi="Arial"/>
          <w:color w:val="000000"/>
          <w:sz w:val="20"/>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pStyle w:val="TextBody"/>
        <w:bidi w:val="0"/>
        <w:spacing w:before="200" w:after="200"/>
        <w:jc w:val="left"/>
        <w:rPr>
          <w:rFonts w:ascii="Arial" w:hAnsi="Arial"/>
          <w:b/>
          <w:i/>
          <w:color w:val="000000"/>
          <w:sz w:val="20"/>
        </w:rPr>
      </w:pPr>
      <w:r>
        <w:rPr>
          <w:rFonts w:ascii="Arial" w:hAnsi="Arial"/>
          <w:b/>
          <w:i/>
          <w:color w:val="000000"/>
          <w:sz w:val="20"/>
        </w:rPr>
        <w:t>Indemnity and liability provisions in various agreements potentially expose us to substantial liability for intellectual property infringement, data protection, and other losses.</w:t>
      </w:r>
    </w:p>
    <w:p>
      <w:pPr>
        <w:pStyle w:val="TextBody"/>
        <w:bidi w:val="0"/>
        <w:jc w:val="left"/>
        <w:rPr>
          <w:rFonts w:ascii="Times New Roman" w:hAnsi="Times New Roman"/>
          <w:sz w:val="20"/>
        </w:rPr>
      </w:pPr>
      <w:r>
        <w:rPr>
          <w:rFonts w:ascii="Arial" w:hAnsi="Arial"/>
          <w:color w:val="000000"/>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pStyle w:val="TextBody"/>
        <w:bidi w:val="0"/>
        <w:spacing w:before="200" w:after="283"/>
        <w:jc w:val="left"/>
        <w:rPr>
          <w:rFonts w:ascii="Arial" w:hAnsi="Arial"/>
          <w:b/>
          <w:i/>
          <w:color w:val="000000"/>
          <w:sz w:val="20"/>
        </w:rPr>
      </w:pPr>
      <w:r>
        <w:rPr>
          <w:rFonts w:ascii="Arial" w:hAnsi="Arial"/>
          <w:b/>
          <w:i/>
          <w:color w:val="000000"/>
          <w:sz w:val="20"/>
        </w:rPr>
        <w:t>New or revised tax regulations, unfavorable resolution of tax contingencies or changes to enacted tax rates could adversely affect our tax expense.</w:t>
      </w:r>
    </w:p>
    <w:p>
      <w:pPr>
        <w:pStyle w:val="TextBody"/>
        <w:bidi w:val="0"/>
        <w:spacing w:before="200" w:after="283"/>
        <w:jc w:val="left"/>
        <w:rPr>
          <w:rFonts w:ascii="Arial" w:hAnsi="Arial"/>
          <w:color w:val="000000"/>
          <w:sz w:val="20"/>
        </w:rPr>
      </w:pPr>
      <w:r>
        <w:rPr>
          <w:rFonts w:ascii="Arial" w:hAnsi="Arial"/>
          <w:color w:val="000000"/>
          <w:sz w:val="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pStyle w:val="TextBody"/>
        <w:bidi w:val="0"/>
        <w:spacing w:before="200" w:after="283"/>
        <w:jc w:val="left"/>
        <w:rPr>
          <w:rFonts w:ascii="Arial" w:hAnsi="Arial"/>
          <w:color w:val="000000"/>
          <w:sz w:val="20"/>
        </w:rPr>
      </w:pPr>
      <w:r>
        <w:rPr>
          <w:rFonts w:ascii="Arial" w:hAnsi="Arial"/>
          <w:color w:val="000000"/>
          <w:sz w:val="20"/>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pStyle w:val="TextBody"/>
        <w:bidi w:val="0"/>
        <w:spacing w:before="200" w:after="283"/>
        <w:jc w:val="left"/>
        <w:rPr>
          <w:rFonts w:ascii="Arial" w:hAnsi="Arial"/>
          <w:color w:val="000000"/>
          <w:sz w:val="20"/>
        </w:rPr>
      </w:pPr>
      <w:r>
        <w:rPr>
          <w:rFonts w:ascii="Arial" w:hAnsi="Arial"/>
          <w:color w:val="000000"/>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pStyle w:val="TextBody"/>
        <w:bidi w:val="0"/>
        <w:spacing w:before="200" w:after="283"/>
        <w:jc w:val="left"/>
        <w:rPr>
          <w:rFonts w:ascii="Arial" w:hAnsi="Arial"/>
          <w:color w:val="000000"/>
          <w:sz w:val="20"/>
        </w:rPr>
      </w:pPr>
      <w:r>
        <w:rPr>
          <w:rFonts w:ascii="Arial" w:hAnsi="Arial"/>
          <w:color w:val="000000"/>
          <w:sz w:val="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before="200" w:after="283"/>
        <w:jc w:val="left"/>
        <w:rPr>
          <w:rFonts w:ascii="Arial" w:hAnsi="Arial"/>
          <w:color w:val="000000"/>
          <w:sz w:val="20"/>
        </w:rPr>
      </w:pPr>
      <w:r>
        <w:rPr>
          <w:rFonts w:ascii="Arial" w:hAnsi="Arial"/>
          <w:color w:val="000000"/>
          <w:sz w:val="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pStyle w:val="TextBody"/>
        <w:bidi w:val="0"/>
        <w:spacing w:before="200" w:after="283"/>
        <w:jc w:val="left"/>
        <w:rPr>
          <w:rFonts w:ascii="Arial" w:hAnsi="Arial"/>
          <w:b/>
          <w:i/>
          <w:color w:val="000000"/>
          <w:sz w:val="20"/>
        </w:rPr>
      </w:pPr>
      <w:r>
        <w:rPr>
          <w:rFonts w:ascii="Arial" w:hAnsi="Arial"/>
          <w:b/>
          <w:i/>
          <w:color w:val="000000"/>
          <w:sz w:val="20"/>
        </w:rPr>
        <w:t>Our ability to use our net operating losses (NOLs) to offset future taxable income may be subject to certain limitations.</w:t>
      </w:r>
    </w:p>
    <w:p>
      <w:pPr>
        <w:pStyle w:val="TextBody"/>
        <w:bidi w:val="0"/>
        <w:spacing w:before="200" w:after="200"/>
        <w:jc w:val="left"/>
        <w:rPr>
          <w:rFonts w:ascii="Times New Roman" w:hAnsi="Times New Roman"/>
          <w:sz w:val="20"/>
        </w:rPr>
      </w:pPr>
      <w:r>
        <w:rPr>
          <w:rFonts w:ascii="Arial" w:hAnsi="Arial"/>
          <w:color w:val="000000"/>
          <w:sz w:val="20"/>
        </w:rPr>
        <w:t>As of June 30, 2026, we had U.S. federal NOL carryforwards of approximately $10.1 million and state NOL carryforwards of approximately $75.9 million. The federal and material state NOL carryforwards will both begin to expire in 2031. Ownership changes, as defined under Internal Revenue Code Section 382 and similar state provisions, may limit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amount of federal and state NOL and credit carryforwards that can be utilized annually to offset future federal and state taxable income and tax. Generally, an ownership change occurs when the ownership percentage of 5% or greater stockholders increases by more than 50% over a three-year period. Accordingly, the purchase of our stock in amounts greater than specified levels could limit our ability to utilize federal and state NOL and credit carryforwards for tax purposes.</w:t>
      </w:r>
    </w:p>
    <w:p>
      <w:pPr>
        <w:pStyle w:val="TextBody"/>
        <w:bidi w:val="0"/>
        <w:spacing w:before="0" w:after="200"/>
        <w:jc w:val="left"/>
        <w:rPr>
          <w:rFonts w:ascii="Arial" w:hAnsi="Arial"/>
          <w:color w:val="000000"/>
          <w:sz w:val="20"/>
        </w:rPr>
      </w:pPr>
      <w:r>
        <w:rPr>
          <w:rFonts w:ascii="Arial" w:hAnsi="Arial"/>
          <w:color w:val="000000"/>
          <w:sz w:val="20"/>
        </w:rPr>
        <w:t>During 2022, we completed a Section 382 study and as a result of the ownership changes identified, $1.6 million of Flywire’s NOLs and $0.2 million of Simplificare Inc.’s NOLs will expire unutilized, assuming sufficient taxable income is generated in the future. We updated our Section 382 study through the 2024 tax year and determined there are no additional limitations in using federal and state NOL and credit carryforwards.</w:t>
      </w:r>
    </w:p>
    <w:p>
      <w:pPr>
        <w:pStyle w:val="TextBody"/>
        <w:bidi w:val="0"/>
        <w:jc w:val="left"/>
        <w:rPr>
          <w:rFonts w:ascii="Arial" w:hAnsi="Arial"/>
          <w:b/>
          <w:color w:val="000000"/>
          <w:sz w:val="20"/>
        </w:rPr>
      </w:pPr>
      <w:r>
        <w:rPr>
          <w:rFonts w:ascii="Arial" w:hAnsi="Arial"/>
          <w:b/>
          <w:color w:val="000000"/>
          <w:sz w:val="20"/>
        </w:rPr>
        <w:t>Risks Related to Being a Public Company</w:t>
      </w:r>
    </w:p>
    <w:p>
      <w:pPr>
        <w:pStyle w:val="TextBody"/>
        <w:bidi w:val="0"/>
        <w:spacing w:before="200" w:after="283"/>
        <w:jc w:val="left"/>
        <w:rPr>
          <w:rFonts w:ascii="Arial" w:hAnsi="Arial"/>
          <w:b/>
          <w:i/>
          <w:color w:val="000000"/>
          <w:sz w:val="20"/>
        </w:rPr>
      </w:pPr>
      <w:r>
        <w:rPr>
          <w:rFonts w:ascii="Arial" w:hAnsi="Arial"/>
          <w:b/>
          <w:i/>
          <w:color w:val="000000"/>
          <w:sz w:val="20"/>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pStyle w:val="TextBody"/>
        <w:bidi w:val="0"/>
        <w:spacing w:before="200" w:after="283"/>
        <w:jc w:val="left"/>
        <w:rPr>
          <w:rFonts w:ascii="Arial" w:hAnsi="Arial"/>
          <w:color w:val="000000"/>
          <w:sz w:val="20"/>
        </w:rPr>
      </w:pPr>
      <w:r>
        <w:rPr>
          <w:rFonts w:ascii="Arial" w:hAnsi="Arial"/>
          <w:color w:val="000000"/>
          <w:sz w:val="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pStyle w:val="TextBody"/>
        <w:bidi w:val="0"/>
        <w:spacing w:before="200" w:after="283"/>
        <w:jc w:val="left"/>
        <w:rPr>
          <w:rFonts w:ascii="Arial" w:hAnsi="Arial"/>
          <w:color w:val="000000"/>
          <w:sz w:val="20"/>
        </w:rPr>
      </w:pPr>
      <w:r>
        <w:rPr>
          <w:rFonts w:ascii="Arial" w:hAnsi="Arial"/>
          <w:color w:val="000000"/>
          <w:sz w:val="20"/>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200" w:after="283"/>
        <w:jc w:val="left"/>
        <w:rPr>
          <w:rFonts w:ascii="Arial" w:hAnsi="Arial"/>
          <w:color w:val="000000"/>
          <w:sz w:val="20"/>
        </w:rPr>
      </w:pPr>
      <w:r>
        <w:rPr>
          <w:rFonts w:ascii="Arial" w:hAnsi="Arial"/>
          <w:color w:val="000000"/>
          <w:sz w:val="20"/>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pStyle w:val="TextBody"/>
        <w:bidi w:val="0"/>
        <w:spacing w:before="200" w:after="283"/>
        <w:jc w:val="left"/>
        <w:rPr>
          <w:rFonts w:ascii="Arial" w:hAnsi="Arial"/>
          <w:color w:val="000000"/>
          <w:sz w:val="20"/>
        </w:rPr>
      </w:pPr>
      <w:r>
        <w:rPr>
          <w:rFonts w:ascii="Arial" w:hAnsi="Arial"/>
          <w:color w:val="000000"/>
          <w:sz w:val="20"/>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pStyle w:val="TextBody"/>
        <w:bidi w:val="0"/>
        <w:spacing w:before="200" w:after="283"/>
        <w:jc w:val="left"/>
        <w:rPr>
          <w:rFonts w:ascii="Arial" w:hAnsi="Arial"/>
          <w:color w:val="000000"/>
          <w:sz w:val="20"/>
        </w:rPr>
      </w:pPr>
      <w:r>
        <w:rPr>
          <w:rFonts w:ascii="Arial" w:hAnsi="Arial"/>
          <w:color w:val="000000"/>
          <w:sz w:val="20"/>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pStyle w:val="TextBody"/>
        <w:bidi w:val="0"/>
        <w:spacing w:before="200" w:after="283"/>
        <w:jc w:val="left"/>
        <w:rPr>
          <w:rFonts w:ascii="Arial" w:hAnsi="Arial"/>
          <w:b/>
          <w:i/>
          <w:color w:val="000000"/>
          <w:sz w:val="20"/>
        </w:rPr>
      </w:pPr>
      <w:r>
        <w:rPr>
          <w:rFonts w:ascii="Arial" w:hAnsi="Arial"/>
          <w:b/>
          <w:i/>
          <w:color w:val="000000"/>
          <w:sz w:val="20"/>
        </w:rPr>
        <w:t>We will continue to incur increased costs as a result of operating as a public company, and our management will be required to devote substantial time to compliance with our public company responsibilities and corporate governance practices.</w:t>
      </w:r>
    </w:p>
    <w:p>
      <w:pPr>
        <w:pStyle w:val="TextBody"/>
        <w:bidi w:val="0"/>
        <w:spacing w:before="200" w:after="283"/>
        <w:jc w:val="left"/>
        <w:rPr>
          <w:rFonts w:ascii="Arial" w:hAnsi="Arial"/>
          <w:color w:val="000000"/>
          <w:sz w:val="20"/>
        </w:rPr>
      </w:pPr>
      <w:r>
        <w:rPr>
          <w:rFonts w:ascii="Arial" w:hAnsi="Arial"/>
          <w:color w:val="000000"/>
          <w:sz w:val="20"/>
        </w:rPr>
        <w:t>As a public company, we will continue to incur significant legal, accounting, and other expenses as a result of operating as a public company, which increased starting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before="200" w:after="283"/>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200" w:after="283"/>
        <w:jc w:val="left"/>
        <w:rPr>
          <w:rFonts w:ascii="Arial" w:hAnsi="Arial"/>
          <w:b/>
          <w:i/>
          <w:color w:val="000000"/>
          <w:sz w:val="20"/>
        </w:rPr>
      </w:pPr>
      <w:r>
        <w:rPr>
          <w:rFonts w:ascii="Arial" w:hAnsi="Arial"/>
          <w:b/>
          <w:i/>
          <w:color w:val="000000"/>
          <w:sz w:val="20"/>
        </w:rPr>
        <w:t>The price of our common stock may be volatile or may decline regardless of our operating performance and you may not be able to resell your shares at or above the price you paid for them.</w:t>
      </w:r>
    </w:p>
    <w:p>
      <w:pPr>
        <w:pStyle w:val="TextBody"/>
        <w:bidi w:val="0"/>
        <w:spacing w:before="200" w:after="283"/>
        <w:jc w:val="left"/>
        <w:rPr>
          <w:rFonts w:ascii="Arial" w:hAnsi="Arial"/>
          <w:color w:val="000000"/>
          <w:sz w:val="20"/>
        </w:rPr>
      </w:pPr>
      <w:r>
        <w:rPr>
          <w:rFonts w:ascii="Arial" w:hAnsi="Arial"/>
          <w:color w:val="000000"/>
          <w:sz w:val="20"/>
        </w:rPr>
        <w:t>An active or liquid market in our common stock may not be sustainable.</w:t>
      </w:r>
    </w:p>
    <w:p>
      <w:pPr>
        <w:pStyle w:val="TextBody"/>
        <w:bidi w:val="0"/>
        <w:spacing w:before="200" w:after="283"/>
        <w:jc w:val="left"/>
        <w:rPr>
          <w:rFonts w:ascii="Arial" w:hAnsi="Arial"/>
          <w:color w:val="000000"/>
          <w:sz w:val="20"/>
        </w:rPr>
      </w:pPr>
      <w:r>
        <w:rPr>
          <w:rFonts w:ascii="Arial" w:hAnsi="Arial"/>
          <w:color w:val="000000"/>
          <w:sz w:val="20"/>
        </w:rPr>
        <w:t>The market price of our common stock may fluctuate significantly in response to numerous factors, many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operating performance and the performance of other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the roll out of new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actions with respect to our payment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 including the priorities of the U.S. presidential administration and related changes in laws, regulations or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level of expenses related to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of acquisitions, strategic alliances or significant agreements by us or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or disputes concerning patent applications, issued patents or other intellectual property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economy as a whole and market conditions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or social unrest, war or other military conflict, including the continuation or escalation of the conflicts between Russia and Ukraine, or between Israel and Hamas and the ongoing conflict between the U.S., Iran and Israel (or other combatants in the region), respectively, economic instability, repression, or human rights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variations in our financial results or the financial results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financing or other corporate transactions, or inability to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cutbacks or withholding of funding to, and real or perceived hostility towards higher education institutions in the U.S.;</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that negatively impact international travel, study or commerce, including actual or threatened revocation of visas, mass deportations, or delays in issuances of visas;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structure of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threatened imposition of tariffs, trade wars including the effects of ongoing United States-China and Canada-India diplomatic and trade friction;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trading activity by a limited number of stockholders who together beneficially own a majority of our outstanding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of our market float;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other factors discussed in this Quarterly Report on Form 10-Q and our other SEC filings.</w:t>
      </w:r>
    </w:p>
    <w:p>
      <w:pPr>
        <w:pStyle w:val="TextBody"/>
        <w:bidi w:val="0"/>
        <w:spacing w:before="200" w:after="283"/>
        <w:jc w:val="left"/>
        <w:rPr>
          <w:rFonts w:ascii="Arial" w:hAnsi="Arial"/>
          <w:color w:val="000000"/>
          <w:sz w:val="20"/>
        </w:rPr>
      </w:pPr>
      <w:r>
        <w:rPr>
          <w:rFonts w:ascii="Arial" w:hAnsi="Arial"/>
          <w:color w:val="000000"/>
          <w:sz w:val="20"/>
        </w:rPr>
        <w:t>In addition, the stock markets have experienced extreme price and volume fluctuations that have affected and continue to affect the market prices of equity securities of many companies.</w:t>
      </w:r>
    </w:p>
    <w:p>
      <w:pPr>
        <w:pStyle w:val="TextBody"/>
        <w:bidi w:val="0"/>
        <w:spacing w:before="200" w:after="283"/>
        <w:jc w:val="left"/>
        <w:rPr>
          <w:rFonts w:ascii="Arial" w:hAnsi="Arial"/>
          <w:color w:val="000000"/>
          <w:sz w:val="20"/>
        </w:rPr>
      </w:pPr>
      <w:r>
        <w:rPr>
          <w:rFonts w:ascii="Arial" w:hAnsi="Arial"/>
          <w:color w:val="000000"/>
          <w:sz w:val="20"/>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or Israel and Hamas and/or Iran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pStyle w:val="TextBody"/>
        <w:bidi w:val="0"/>
        <w:spacing w:before="200" w:after="200"/>
        <w:jc w:val="left"/>
        <w:rPr>
          <w:rFonts w:ascii="Arial" w:hAnsi="Arial"/>
          <w:b/>
          <w:i/>
          <w:color w:val="000000"/>
          <w:sz w:val="20"/>
        </w:rPr>
      </w:pPr>
      <w:r>
        <w:rPr>
          <w:rFonts w:ascii="Arial" w:hAnsi="Arial"/>
          <w:b/>
          <w:i/>
          <w:color w:val="000000"/>
          <w:sz w:val="20"/>
        </w:rPr>
        <w:t>Our business and operations could be negatively affected by securities litigation or stockholder activism.</w:t>
      </w:r>
    </w:p>
    <w:p>
      <w:pPr>
        <w:pStyle w:val="TextBody"/>
        <w:bidi w:val="0"/>
        <w:spacing w:before="0" w:after="200"/>
        <w:jc w:val="left"/>
        <w:rPr>
          <w:rFonts w:ascii="Arial" w:hAnsi="Arial"/>
          <w:color w:val="000000"/>
          <w:sz w:val="20"/>
        </w:rPr>
      </w:pPr>
      <w:r>
        <w:rPr>
          <w:rFonts w:ascii="Arial" w:hAnsi="Arial"/>
          <w:color w:val="000000"/>
          <w:sz w:val="20"/>
        </w:rPr>
        <w:t>From time to time, we may be subject to securities class actions, derivative suits or other securities-related legal actions.</w:t>
      </w:r>
    </w:p>
    <w:p>
      <w:pPr>
        <w:pStyle w:val="TextBody"/>
        <w:bidi w:val="0"/>
        <w:jc w:val="left"/>
        <w:rPr>
          <w:rFonts w:ascii="Times New Roman" w:hAnsi="Times New Roman"/>
          <w:sz w:val="20"/>
        </w:rPr>
      </w:pPr>
      <w:r>
        <w:rPr>
          <w:rFonts w:ascii="Arial" w:hAnsi="Arial"/>
          <w:color w:val="000000"/>
          <w:sz w:val="20"/>
        </w:rPr>
        <w:t xml:space="preserve">In the past, securities class action litigation have often been brought against a company following a decline in the market price of its securities. In July 2025, we and certain of our current and former officers were named as defendants in a securities class action complaint captioned </w:t>
      </w:r>
      <w:r>
        <w:rPr>
          <w:rFonts w:ascii="Arial" w:hAnsi="Arial"/>
          <w:i/>
          <w:color w:val="000000"/>
          <w:sz w:val="20"/>
        </w:rPr>
        <w:t>Hickman v. Flywire Corporation</w:t>
      </w:r>
      <w:r>
        <w:rPr>
          <w:rFonts w:ascii="Times New Roman" w:hAnsi="Times New Roman"/>
          <w:color w:val="000000"/>
          <w:sz w:val="20"/>
        </w:rPr>
        <w:t xml:space="preserve"> </w:t>
      </w:r>
      <w:r>
        <w:rPr>
          <w:rFonts w:ascii="Arial" w:hAnsi="Arial"/>
          <w:color w:val="000000"/>
          <w:sz w:val="20"/>
        </w:rPr>
        <w:t>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Plaintiffs’ counsel filed a second amended complaint on May 7, 2026, which among other matters, added new allegations and another named plaintiff. Plaintiffs allege that the defendants violated Sections 10(b) and 20(a) of the Exchange Act by purportedly overstating the strength and sustainability of our revenue growth and understating the negative impact of certain government permit and visa related policies on the business. The lawsuit seeks unspecified damages, costs, attorneys’ fees, and other relief. We believe we have strong defenses against the asserted claims and intend to vigorously defend ourselves and we filed a motion to dismiss in response to the second amended complaint on June 15, 2026.</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pStyle w:val="TextBody"/>
        <w:bidi w:val="0"/>
        <w:spacing w:before="200" w:after="200"/>
        <w:jc w:val="left"/>
        <w:rPr>
          <w:rFonts w:ascii="Times New Roman" w:hAnsi="Times New Roman"/>
          <w:sz w:val="20"/>
        </w:rPr>
      </w:pPr>
      <w:r>
        <w:rPr>
          <w:rFonts w:ascii="Arial" w:hAnsi="Arial"/>
          <w:color w:val="000000"/>
          <w:sz w:val="20"/>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pStyle w:val="TextBody"/>
        <w:bidi w:val="0"/>
        <w:spacing w:before="0" w:after="200"/>
        <w:jc w:val="left"/>
        <w:rPr>
          <w:rFonts w:ascii="Arial" w:hAnsi="Arial"/>
          <w:color w:val="000000"/>
          <w:sz w:val="20"/>
        </w:rPr>
      </w:pPr>
      <w:r>
        <w:rPr>
          <w:rFonts w:ascii="Arial" w:hAnsi="Arial"/>
          <w:color w:val="000000"/>
          <w:sz w:val="20"/>
        </w:rPr>
        <w:t>As a result, lawsuits involving us, or our officers or directors, could have a material adverse effect on our business, reputation, financial condition, results of operations, liquidity and the trading price of our common stock.</w:t>
      </w:r>
    </w:p>
    <w:p>
      <w:pPr>
        <w:pStyle w:val="TextBody"/>
        <w:bidi w:val="0"/>
        <w:spacing w:before="0" w:after="200"/>
        <w:jc w:val="left"/>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our intellectual property on unfavorable terms to us.</w:t>
      </w:r>
    </w:p>
    <w:p>
      <w:pPr>
        <w:pStyle w:val="TextBody"/>
        <w:bidi w:val="0"/>
        <w:spacing w:before="0" w:after="200"/>
        <w:jc w:val="left"/>
        <w:rPr>
          <w:rFonts w:ascii="Arial" w:hAnsi="Arial"/>
          <w:color w:val="000000"/>
          <w:sz w:val="20"/>
        </w:rPr>
      </w:pPr>
      <w:r>
        <w:rPr>
          <w:rFonts w:ascii="Arial" w:hAnsi="Arial"/>
          <w:color w:val="000000"/>
          <w:sz w:val="20"/>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pStyle w:val="TextBody"/>
        <w:bidi w:val="0"/>
        <w:spacing w:before="0" w:after="200"/>
        <w:jc w:val="left"/>
        <w:rPr>
          <w:rFonts w:ascii="Arial" w:hAnsi="Arial"/>
          <w:color w:val="000000"/>
          <w:sz w:val="20"/>
        </w:rPr>
      </w:pPr>
      <w:r>
        <w:rPr>
          <w:rFonts w:ascii="Arial" w:hAnsi="Arial"/>
          <w:color w:val="000000"/>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pStyle w:val="TextBody"/>
        <w:bidi w:val="0"/>
        <w:jc w:val="left"/>
        <w:rPr>
          <w:rFonts w:ascii="Arial" w:hAnsi="Arial"/>
          <w:b/>
          <w:i/>
          <w:color w:val="000000"/>
          <w:sz w:val="20"/>
        </w:rPr>
      </w:pPr>
      <w:r>
        <w:rPr>
          <w:rFonts w:ascii="Arial" w:hAnsi="Arial"/>
          <w:b/>
          <w:i/>
          <w:color w:val="000000"/>
          <w:sz w:val="20"/>
        </w:rPr>
        <w:t>We may allocate our cash and cash equivalents in ways that you and other stockholders may not approve.</w:t>
      </w:r>
    </w:p>
    <w:p>
      <w:pPr>
        <w:pStyle w:val="TextBody"/>
        <w:bidi w:val="0"/>
        <w:spacing w:before="200" w:after="283"/>
        <w:jc w:val="left"/>
        <w:rPr>
          <w:rFonts w:ascii="Arial" w:hAnsi="Arial"/>
          <w:color w:val="000000"/>
          <w:sz w:val="20"/>
        </w:rPr>
      </w:pPr>
      <w:r>
        <w:rPr>
          <w:rFonts w:ascii="Arial" w:hAnsi="Arial"/>
          <w:color w:val="000000"/>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pStyle w:val="TextBody"/>
        <w:bidi w:val="0"/>
        <w:spacing w:before="200" w:after="200"/>
        <w:jc w:val="left"/>
        <w:rPr>
          <w:rFonts w:ascii="Arial" w:hAnsi="Arial"/>
          <w:b/>
          <w:i/>
          <w:color w:val="000000"/>
          <w:sz w:val="20"/>
        </w:rPr>
      </w:pPr>
      <w:r>
        <w:rPr>
          <w:rFonts w:ascii="Arial" w:hAnsi="Arial"/>
          <w:b/>
          <w:i/>
          <w:color w:val="000000"/>
          <w:sz w:val="20"/>
        </w:rPr>
        <w:t>We cannot guarantee that our Repurchase Program will be fully implemented or that it will enhance stockholder value, and share repurchases could affect the price of our common stock.</w:t>
      </w:r>
    </w:p>
    <w:p>
      <w:pPr>
        <w:pStyle w:val="TextBody"/>
        <w:bidi w:val="0"/>
        <w:spacing w:before="0" w:after="200"/>
        <w:jc w:val="left"/>
        <w:rPr>
          <w:rFonts w:ascii="Arial" w:hAnsi="Arial"/>
          <w:color w:val="000000"/>
          <w:sz w:val="20"/>
        </w:rPr>
      </w:pPr>
      <w:r>
        <w:rPr>
          <w:rFonts w:ascii="Arial" w:hAnsi="Arial"/>
          <w:color w:val="000000"/>
          <w:sz w:val="20"/>
        </w:rPr>
        <w:t>In August 2024, we announced that our Board of Directors authorized the Repurchase Program, pursuant to which we may, from time to time, purchase shares of our Voting and Non-voting common stock for an aggregate purchase price not to exceed $150 million. In July 2025, our Board of Directors approved an increase in the aggregate amount of voting and non-voting common stock outstanding that may be repurchased under the Repurchase Program by an additional $150 million, bringing the total authorized amount under the Repurchase Program to $300 million. As of June 30, 2026 approximately $122.7 million remained available for repurchases under the Repurchase Program.</w:t>
      </w:r>
    </w:p>
    <w:p>
      <w:pPr>
        <w:pStyle w:val="TextBody"/>
        <w:bidi w:val="0"/>
        <w:spacing w:before="0" w:after="200"/>
        <w:jc w:val="left"/>
        <w:rPr>
          <w:rFonts w:ascii="Times New Roman" w:hAnsi="Times New Roman"/>
          <w:sz w:val="20"/>
        </w:rPr>
      </w:pPr>
      <w:r>
        <w:rPr>
          <w:rFonts w:ascii="Arial" w:hAnsi="Arial"/>
          <w:color w:val="000000"/>
          <w:sz w:val="20"/>
        </w:rPr>
        <w:t>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under the Repurchase Program, will depend on a number of factors, including price, corporate and regulatory requirements, capital allocation alternatives, and general market and economic conditions. The Repurchase Program, does not obligate us to repurchase any minimum dollar amount or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number of shares, and may be suspended or discontinued by our Board of Directors at any time, which may result in a decrease in the price of our common stock.</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pStyle w:val="TextBody"/>
        <w:bidi w:val="0"/>
        <w:jc w:val="left"/>
        <w:rPr>
          <w:rFonts w:ascii="Arial" w:hAnsi="Arial"/>
          <w:b/>
          <w:i/>
          <w:color w:val="000000"/>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200" w:after="283"/>
        <w:jc w:val="left"/>
        <w:rPr>
          <w:rFonts w:ascii="Arial" w:hAnsi="Arial"/>
          <w:color w:val="000000"/>
          <w:sz w:val="20"/>
        </w:rPr>
      </w:pPr>
      <w:r>
        <w:rPr>
          <w:rFonts w:ascii="Arial" w:hAnsi="Arial"/>
          <w:color w:val="000000"/>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200" w:after="200"/>
        <w:jc w:val="left"/>
        <w:rPr>
          <w:rFonts w:ascii="Arial" w:hAnsi="Arial"/>
          <w:b/>
          <w:i/>
          <w:color w:val="000000"/>
          <w:sz w:val="20"/>
        </w:rPr>
      </w:pPr>
      <w:r>
        <w:rPr>
          <w:rFonts w:ascii="Arial" w:hAnsi="Arial"/>
          <w:b/>
          <w:i/>
          <w:color w:val="000000"/>
          <w:sz w:val="20"/>
        </w:rPr>
        <w:t>Sales of substantial amounts of our common stock in the public markets could cause the market price of our common stock to decline.</w:t>
      </w:r>
    </w:p>
    <w:p>
      <w:pPr>
        <w:pStyle w:val="TextBody"/>
        <w:bidi w:val="0"/>
        <w:spacing w:before="0" w:after="200"/>
        <w:jc w:val="left"/>
        <w:rPr>
          <w:rFonts w:ascii="Arial" w:hAnsi="Arial"/>
          <w:color w:val="000000"/>
          <w:sz w:val="20"/>
        </w:rPr>
      </w:pPr>
      <w:r>
        <w:rPr>
          <w:rFonts w:ascii="Arial" w:hAnsi="Arial"/>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121,609,147 shares of our voting common stock outstanding as of June 30, 2026.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pStyle w:val="TextBody"/>
        <w:bidi w:val="0"/>
        <w:jc w:val="left"/>
        <w:rPr>
          <w:rFonts w:ascii="Arial" w:hAnsi="Arial"/>
          <w:color w:val="000000"/>
          <w:sz w:val="20"/>
        </w:rPr>
      </w:pPr>
      <w:r>
        <w:rPr>
          <w:rFonts w:ascii="Arial" w:hAnsi="Arial"/>
          <w:color w:val="000000"/>
          <w:sz w:val="20"/>
        </w:rPr>
        <w:t>Certain of our stockholders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pStyle w:val="TextBody"/>
        <w:bidi w:val="0"/>
        <w:spacing w:before="200" w:after="283"/>
        <w:jc w:val="left"/>
        <w:rPr>
          <w:rFonts w:ascii="Arial" w:hAnsi="Arial"/>
          <w:color w:val="000000"/>
          <w:sz w:val="20"/>
        </w:rPr>
      </w:pPr>
      <w:r>
        <w:rPr>
          <w:rFonts w:ascii="Arial" w:hAnsi="Arial"/>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pStyle w:val="TextBody"/>
        <w:bidi w:val="0"/>
        <w:spacing w:before="200" w:after="283"/>
        <w:jc w:val="left"/>
        <w:rPr>
          <w:rFonts w:ascii="Arial" w:hAnsi="Arial"/>
          <w:b/>
          <w:i/>
          <w:color w:val="000000"/>
          <w:sz w:val="20"/>
        </w:rPr>
      </w:pPr>
      <w:r>
        <w:rPr>
          <w:rFonts w:ascii="Arial" w:hAnsi="Arial"/>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200" w:after="283"/>
        <w:jc w:val="left"/>
        <w:rPr>
          <w:rFonts w:ascii="Arial" w:hAnsi="Arial"/>
          <w:color w:val="000000"/>
          <w:sz w:val="20"/>
        </w:rPr>
      </w:pPr>
      <w:r>
        <w:rPr>
          <w:rFonts w:ascii="Arial" w:hAnsi="Arial"/>
          <w:color w:val="000000"/>
          <w:sz w:val="20"/>
        </w:rPr>
        <w:t>As of June 30, 2026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before="200" w:after="283"/>
        <w:jc w:val="left"/>
        <w:rPr>
          <w:rFonts w:ascii="Arial" w:hAnsi="Arial"/>
          <w:b/>
          <w:i/>
          <w:color w:val="000000"/>
          <w:sz w:val="20"/>
        </w:rPr>
      </w:pPr>
      <w:r>
        <w:rPr>
          <w:rFonts w:ascii="Arial" w:hAnsi="Arial"/>
          <w:b/>
          <w:i/>
          <w:color w:val="000000"/>
          <w:sz w:val="20"/>
        </w:rPr>
        <w:t>We do not intend to pay dividends on our common stock, consequently, your ability to achieve a return on your investment will depend on appreciation in the price of our common stock.</w:t>
      </w:r>
    </w:p>
    <w:p>
      <w:pPr>
        <w:pStyle w:val="TextBody"/>
        <w:bidi w:val="0"/>
        <w:spacing w:before="200" w:after="283"/>
        <w:jc w:val="left"/>
        <w:rPr>
          <w:rFonts w:ascii="Times New Roman" w:hAnsi="Times New Roman"/>
          <w:sz w:val="20"/>
        </w:rPr>
      </w:pPr>
      <w:r>
        <w:rPr>
          <w:rFonts w:ascii="Arial" w:hAnsi="Arial"/>
          <w:color w:val="000000"/>
          <w:sz w:val="20"/>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pStyle w:val="TextBody"/>
        <w:bidi w:val="0"/>
        <w:spacing w:before="200" w:after="283"/>
        <w:jc w:val="left"/>
        <w:rPr>
          <w:rFonts w:ascii="Arial" w:hAnsi="Arial"/>
          <w:b/>
          <w:i/>
          <w:color w:val="000000"/>
          <w:sz w:val="20"/>
        </w:rPr>
      </w:pPr>
      <w:r>
        <w:rPr>
          <w:rFonts w:ascii="Arial" w:hAnsi="Arial"/>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283"/>
        <w:jc w:val="left"/>
        <w:rPr>
          <w:rFonts w:ascii="Arial" w:hAnsi="Arial"/>
          <w:color w:val="000000"/>
          <w:sz w:val="20"/>
        </w:rPr>
      </w:pPr>
      <w:r>
        <w:rPr>
          <w:rFonts w:ascii="Arial" w:hAnsi="Arial"/>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classified board of directors with three-year staggered terms, which could delay the ability of stockholders to change the membership of a majority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prohibition on stockholder action by written consent, which forces stockholder action to be taken at an annual or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00" w:after="283"/>
        <w:jc w:val="left"/>
        <w:rPr>
          <w:rFonts w:ascii="Arial" w:hAnsi="Arial"/>
          <w:color w:val="000000"/>
          <w:sz w:val="20"/>
        </w:rPr>
      </w:pPr>
      <w:r>
        <w:rPr>
          <w:rFonts w:ascii="Arial" w:hAnsi="Arial"/>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200" w:after="283"/>
        <w:jc w:val="left"/>
        <w:rPr>
          <w:rFonts w:ascii="Arial" w:hAnsi="Arial"/>
          <w:color w:val="000000"/>
          <w:sz w:val="20"/>
        </w:rPr>
      </w:pPr>
      <w:r>
        <w:rPr>
          <w:rFonts w:ascii="Arial" w:hAnsi="Arial"/>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pStyle w:val="TextBody"/>
        <w:bidi w:val="0"/>
        <w:spacing w:before="20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pStyle w:val="TextBody"/>
        <w:bidi w:val="0"/>
        <w:spacing w:before="200" w:after="283"/>
        <w:jc w:val="left"/>
        <w:rPr>
          <w:rFonts w:ascii="Arial" w:hAnsi="Arial"/>
          <w:b/>
          <w:color w:val="000000"/>
          <w:sz w:val="20"/>
        </w:rPr>
      </w:pPr>
      <w:bookmarkStart w:id="38" w:name="item_2"/>
      <w:bookmarkEnd w:id="38"/>
      <w:r>
        <w:rPr>
          <w:rFonts w:ascii="Arial" w:hAnsi="Arial"/>
          <w:b/>
          <w:color w:val="000000"/>
          <w:sz w:val="20"/>
        </w:rPr>
        <w:t>Item 2. Unregistered Sales of Equity Securities and Use of Proceeds</w:t>
      </w:r>
    </w:p>
    <w:p>
      <w:pPr>
        <w:pStyle w:val="TextBody"/>
        <w:bidi w:val="0"/>
        <w:spacing w:before="200" w:after="200"/>
        <w:jc w:val="left"/>
        <w:rPr>
          <w:rFonts w:ascii="Arial" w:hAnsi="Arial"/>
          <w:b/>
          <w:color w:val="000000"/>
          <w:sz w:val="20"/>
        </w:rPr>
      </w:pPr>
      <w:r>
        <w:rPr>
          <w:rFonts w:ascii="Arial" w:hAnsi="Arial"/>
          <w:b/>
          <w:color w:val="000000"/>
          <w:sz w:val="20"/>
        </w:rPr>
        <w:t>Recent Sales of Unregistered Equity Securities</w:t>
      </w:r>
    </w:p>
    <w:p>
      <w:pPr>
        <w:pStyle w:val="TextBody"/>
        <w:bidi w:val="0"/>
        <w:spacing w:before="0" w:after="200"/>
        <w:jc w:val="left"/>
        <w:rPr>
          <w:rFonts w:ascii="Arial" w:hAnsi="Arial"/>
          <w:color w:val="000000"/>
          <w:sz w:val="20"/>
        </w:rPr>
      </w:pPr>
      <w:r>
        <w:rPr>
          <w:rFonts w:ascii="Arial" w:hAnsi="Arial"/>
          <w:color w:val="000000"/>
          <w:sz w:val="20"/>
        </w:rPr>
        <w:t>None.</w:t>
      </w:r>
    </w:p>
    <w:p>
      <w:pPr>
        <w:pStyle w:val="TextBody"/>
        <w:bidi w:val="0"/>
        <w:spacing w:before="0" w:after="200"/>
        <w:jc w:val="left"/>
        <w:rPr>
          <w:rFonts w:ascii="Arial" w:hAnsi="Arial"/>
          <w:b/>
          <w:i/>
          <w:color w:val="000000"/>
          <w:sz w:val="20"/>
        </w:rPr>
      </w:pPr>
      <w:r>
        <w:rPr>
          <w:rFonts w:ascii="Arial" w:hAnsi="Arial"/>
          <w:b/>
          <w:i/>
          <w:color w:val="000000"/>
          <w:sz w:val="20"/>
        </w:rPr>
        <w:t>Issuer Purchases of Equity Securities</w:t>
      </w:r>
    </w:p>
    <w:p>
      <w:pPr>
        <w:pStyle w:val="TextBody"/>
        <w:bidi w:val="0"/>
        <w:spacing w:before="0" w:after="200"/>
        <w:jc w:val="left"/>
        <w:rPr>
          <w:rFonts w:ascii="Arial" w:hAnsi="Arial"/>
          <w:color w:val="000000"/>
          <w:sz w:val="20"/>
        </w:rPr>
      </w:pPr>
      <w:r>
        <w:rPr>
          <w:rFonts w:ascii="Arial" w:hAnsi="Arial"/>
          <w:color w:val="000000"/>
          <w:sz w:val="20"/>
        </w:rPr>
        <w:t>The following table summarizes the repurchases of voting and non-voting common stock during the three months ended June 30, 2026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1124"/>
        <w:gridCol w:w="1655"/>
        <w:gridCol w:w="146"/>
        <w:gridCol w:w="371"/>
        <w:gridCol w:w="1006"/>
        <w:gridCol w:w="146"/>
        <w:gridCol w:w="2652"/>
        <w:gridCol w:w="146"/>
        <w:gridCol w:w="600"/>
        <w:gridCol w:w="2359"/>
      </w:tblGrid>
      <w:tr>
        <w:trPr/>
        <w:tc>
          <w:tcPr>
            <w:tcW w:w="112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Period</w:t>
            </w:r>
          </w:p>
        </w:tc>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Total Number of Shares Purchased </w:t>
            </w:r>
            <w:r>
              <w:rPr>
                <w:rFonts w:ascii="Arial" w:hAnsi="Arial"/>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Average Price Paid per Share </w:t>
            </w:r>
            <w:r>
              <w:rPr>
                <w:rFonts w:ascii="Arial" w:hAnsi="Arial"/>
                <w:b/>
                <w:color w:val="000000"/>
                <w:sz w:val="11"/>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 of Shares Purchased as Part of Publicly 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 Dollar Value of Shares that May Yet Be Purchased Under the Plans</w:t>
            </w:r>
          </w:p>
        </w:tc>
      </w:tr>
      <w:tr>
        <w:trPr/>
        <w:tc>
          <w:tcPr>
            <w:tcW w:w="11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April 1 - April 30, 2026</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171,895</w:t>
            </w:r>
          </w:p>
        </w:tc>
      </w:tr>
      <w:tr>
        <w:trPr/>
        <w:tc>
          <w:tcPr>
            <w:tcW w:w="11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1 - May 31, 2026</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3,140,218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3,140,218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122,716</w:t>
            </w:r>
          </w:p>
        </w:tc>
      </w:tr>
      <w:tr>
        <w:trPr/>
        <w:tc>
          <w:tcPr>
            <w:tcW w:w="11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June 1 - June 30, 2026</w:t>
            </w:r>
          </w:p>
        </w:tc>
        <w:tc>
          <w:tcPr>
            <w:tcW w:w="1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122,716</w:t>
            </w:r>
          </w:p>
        </w:tc>
      </w:tr>
      <w:tr>
        <w:trPr/>
        <w:tc>
          <w:tcPr>
            <w:tcW w:w="11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w:t>
            </w:r>
          </w:p>
        </w:tc>
        <w:tc>
          <w:tcPr>
            <w:tcW w:w="1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3,140,218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3,140,218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60" w:after="6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 xml:space="preserve">All shares were repurchased in open market transactions or in a privately negotiated repurchase of all outstanding shares of our non-voting common stock, pursuant to a share repurchase program to repurchase up to $300 million of our outstanding voting and non-voting common stock for an indefinite period (the Repurchase Program). The Repurchase Program was authorized by our board of directors and publicly announced on August 6, 2024. On July 30, 2025, our board of directors approved an increase to the capacity of the Repurchase Program by $150 million.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hAnsi="Arial"/>
          <w:i/>
          <w:color w:val="000000"/>
          <w:sz w:val="16"/>
        </w:rPr>
        <w:t>Note 13 - Stockholders’ Equity</w:t>
      </w:r>
      <w:r>
        <w:rPr>
          <w:rFonts w:ascii="Times New Roman" w:hAnsi="Times New Roman"/>
          <w:color w:val="000000"/>
          <w:sz w:val="20"/>
        </w:rPr>
        <w:t xml:space="preserve"> </w:t>
      </w:r>
      <w:r>
        <w:rPr>
          <w:rFonts w:ascii="Arial" w:hAnsi="Arial"/>
          <w:color w:val="000000"/>
          <w:sz w:val="16"/>
        </w:rPr>
        <w:t>in our condensed consolidated financial statements included elsewhere in this Quarterly Report on Form 10-Q. Included in the shares repurchased were 1,873,320 shares of our non-voting common stock that were retired.</w:t>
      </w:r>
    </w:p>
    <w:p>
      <w:pPr>
        <w:pStyle w:val="TextBody"/>
        <w:bidi w:val="0"/>
        <w:jc w:val="left"/>
        <w:rPr>
          <w:rFonts w:ascii="Times New Roman" w:hAnsi="Times New Roman"/>
          <w:sz w:val="20"/>
        </w:rPr>
      </w:pPr>
      <w:r>
        <w:rPr>
          <w:rFonts w:ascii="Arial" w:hAnsi="Arial"/>
          <w:color w:val="000000"/>
          <w:sz w:val="11"/>
        </w:rPr>
        <w:t>(b)</w:t>
      </w:r>
      <w:r>
        <w:rPr>
          <w:rFonts w:ascii="Times New Roman" w:hAnsi="Times New Roman"/>
          <w:color w:val="000000"/>
          <w:sz w:val="20"/>
        </w:rPr>
        <w:t xml:space="preserve"> </w:t>
      </w:r>
      <w:r>
        <w:rPr>
          <w:rFonts w:ascii="Arial" w:hAnsi="Arial"/>
          <w:color w:val="000000"/>
          <w:sz w:val="16"/>
        </w:rPr>
        <w:t>Average price paid per share includes related commissions, but excludes the 1% excise tax accrued on our share repurchases as a result of the Inflation Reduction Act of 2022.</w:t>
      </w:r>
    </w:p>
    <w:p>
      <w:pPr>
        <w:pStyle w:val="TextBody"/>
        <w:bidi w:val="0"/>
        <w:spacing w:before="200" w:after="283"/>
        <w:jc w:val="left"/>
        <w:rPr>
          <w:rFonts w:ascii="Arial" w:hAnsi="Arial"/>
          <w:b/>
          <w:color w:val="000000"/>
          <w:sz w:val="20"/>
        </w:rPr>
      </w:pPr>
      <w:bookmarkStart w:id="39" w:name="item_3"/>
      <w:bookmarkEnd w:id="39"/>
      <w:r>
        <w:rPr>
          <w:rFonts w:ascii="Arial" w:hAnsi="Arial"/>
          <w:b/>
          <w:color w:val="000000"/>
          <w:sz w:val="20"/>
        </w:rPr>
        <w:t>Item 3. Defaults Upon Senior Securities</w:t>
      </w:r>
    </w:p>
    <w:p>
      <w:pPr>
        <w:pStyle w:val="TextBody"/>
        <w:bidi w:val="0"/>
        <w:spacing w:before="200" w:after="283"/>
        <w:jc w:val="left"/>
        <w:rPr>
          <w:rFonts w:ascii="Arial" w:hAnsi="Arial"/>
          <w:color w:val="000000"/>
          <w:sz w:val="20"/>
        </w:rPr>
      </w:pPr>
      <w:r>
        <w:rPr>
          <w:rFonts w:ascii="Arial" w:hAnsi="Arial"/>
          <w:color w:val="000000"/>
          <w:sz w:val="20"/>
        </w:rPr>
        <w:t>Not applicable.</w:t>
      </w:r>
    </w:p>
    <w:p>
      <w:pPr>
        <w:pStyle w:val="TextBody"/>
        <w:bidi w:val="0"/>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40" w:name="item_4_mine"/>
      <w:bookmarkEnd w:id="40"/>
      <w:r>
        <w:rPr>
          <w:rFonts w:ascii="Arial" w:hAnsi="Arial"/>
          <w:b/>
          <w:color w:val="000000"/>
          <w:sz w:val="20"/>
        </w:rPr>
        <w:t>Item 4. Mine Safety Disclosures</w:t>
      </w:r>
    </w:p>
    <w:p>
      <w:pPr>
        <w:pStyle w:val="TextBody"/>
        <w:bidi w:val="0"/>
        <w:spacing w:before="200" w:after="283"/>
        <w:jc w:val="left"/>
        <w:rPr>
          <w:rFonts w:ascii="Arial" w:hAnsi="Arial"/>
          <w:color w:val="000000"/>
          <w:sz w:val="20"/>
        </w:rPr>
      </w:pPr>
      <w:r>
        <w:rPr>
          <w:rFonts w:ascii="Arial" w:hAnsi="Arial"/>
          <w:color w:val="000000"/>
          <w:sz w:val="20"/>
        </w:rPr>
        <w:t>Not applicable.</w:t>
      </w:r>
    </w:p>
    <w:p>
      <w:pPr>
        <w:pStyle w:val="TextBody"/>
        <w:bidi w:val="0"/>
        <w:spacing w:before="200" w:after="283"/>
        <w:jc w:val="left"/>
        <w:rPr>
          <w:rFonts w:ascii="Arial" w:hAnsi="Arial"/>
          <w:b/>
          <w:color w:val="000000"/>
          <w:sz w:val="20"/>
        </w:rPr>
      </w:pPr>
      <w:bookmarkStart w:id="41" w:name="item_5"/>
      <w:bookmarkEnd w:id="41"/>
      <w:r>
        <w:rPr>
          <w:rFonts w:ascii="Arial" w:hAnsi="Arial"/>
          <w:b/>
          <w:color w:val="000000"/>
          <w:sz w:val="20"/>
        </w:rPr>
        <w:t>Item 5. Other Information</w:t>
      </w:r>
    </w:p>
    <w:p>
      <w:pPr>
        <w:pStyle w:val="TextBody"/>
        <w:bidi w:val="0"/>
        <w:spacing w:before="200" w:after="200"/>
        <w:jc w:val="left"/>
        <w:rPr>
          <w:rFonts w:ascii="Arial" w:hAnsi="Arial"/>
          <w:b/>
          <w:i/>
          <w:color w:val="000000"/>
          <w:sz w:val="20"/>
        </w:rPr>
      </w:pPr>
      <w:r>
        <w:rPr>
          <w:rFonts w:ascii="Arial" w:hAnsi="Arial"/>
          <w:b/>
          <w:i/>
          <w:color w:val="000000"/>
          <w:sz w:val="20"/>
        </w:rPr>
        <w:t>Rule 10b5-1 Trading Plans</w:t>
      </w:r>
    </w:p>
    <w:p>
      <w:pPr>
        <w:pStyle w:val="TextBody"/>
        <w:bidi w:val="0"/>
        <w:spacing w:before="0" w:after="200"/>
        <w:jc w:val="left"/>
        <w:rPr>
          <w:rFonts w:ascii="Times New Roman" w:hAnsi="Times New Roman"/>
          <w:sz w:val="20"/>
        </w:rPr>
      </w:pPr>
      <w:r>
        <w:rPr>
          <w:rFonts w:ascii="Arial" w:hAnsi="Arial"/>
          <w:color w:val="000000"/>
          <w:sz w:val="20"/>
        </w:rPr>
        <w:t>During the period covered by this Quarterly Report on Form 10-Q, other than as set forth below,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spacing w:before="0" w:after="200"/>
        <w:jc w:val="left"/>
        <w:rPr>
          <w:rFonts w:ascii="Times New Roman" w:hAnsi="Times New Roman"/>
          <w:sz w:val="20"/>
        </w:rPr>
      </w:pPr>
      <w:r>
        <w:rPr>
          <w:rFonts w:ascii="Arial" w:hAnsi="Arial"/>
          <w:color w:val="000000"/>
          <w:sz w:val="20"/>
        </w:rPr>
        <w:t>On June 8, 2026, Rob Orgel, our President and Chief Operating Officer, adopted a trading arrangement for the sale of shares of our common stock that is intended to satisfy the affirmative defense conditions of Securities Exchange Act Rule 10b5-1(c) (a Rule 10b-5 Trading Plan). Mr. Orgel's Rule 10b-5 Trading Plan provides for the sale of up to 200,000</w:t>
      </w:r>
      <w:r>
        <w:rPr>
          <w:rFonts w:ascii="Times New Roman" w:hAnsi="Times New Roman"/>
          <w:color w:val="000000"/>
          <w:sz w:val="20"/>
        </w:rPr>
        <w:t xml:space="preserve"> </w:t>
      </w:r>
      <w:r>
        <w:rPr>
          <w:rFonts w:ascii="Arial" w:hAnsi="Arial"/>
          <w:color w:val="000000"/>
          <w:sz w:val="20"/>
        </w:rPr>
        <w:t>shares of common stock pursuant to the terms of the plan. The plan is effective through July 15, 2027 unless earlier terminated in accordance with the terms of the plan.</w:t>
      </w:r>
    </w:p>
    <w:p>
      <w:pPr>
        <w:pStyle w:val="TextBody"/>
        <w:bidi w:val="0"/>
        <w:spacing w:before="0" w:after="200"/>
        <w:jc w:val="left"/>
        <w:rPr>
          <w:rFonts w:ascii="Times New Roman" w:hAnsi="Times New Roman"/>
          <w:sz w:val="20"/>
        </w:rPr>
      </w:pPr>
      <w:r>
        <w:rPr>
          <w:rFonts w:ascii="Arial" w:hAnsi="Arial"/>
          <w:color w:val="000000"/>
          <w:sz w:val="20"/>
        </w:rPr>
        <w:t>On June 12, 2026, David King, our Chief Product Officer and Co-President of Global Education, adopted</w:t>
      </w:r>
      <w:r>
        <w:rPr>
          <w:rFonts w:ascii="Times New Roman" w:hAnsi="Times New Roman"/>
          <w:color w:val="000000"/>
          <w:sz w:val="20"/>
        </w:rPr>
        <w:t xml:space="preserve"> </w:t>
      </w:r>
      <w:r>
        <w:rPr>
          <w:rFonts w:ascii="Arial" w:hAnsi="Arial"/>
          <w:color w:val="000000"/>
          <w:sz w:val="20"/>
        </w:rPr>
        <w:t>Rule 10b-5 Trading Plan for the sale by the DR King Revocable Trust of shares of our common stock. Mr. King's Rule 10b-5 Trading Plan provides for the sale of up to 147,550</w:t>
      </w:r>
      <w:r>
        <w:rPr>
          <w:rFonts w:ascii="Times New Roman" w:hAnsi="Times New Roman"/>
          <w:color w:val="000000"/>
          <w:sz w:val="20"/>
        </w:rPr>
        <w:t xml:space="preserve"> </w:t>
      </w:r>
      <w:r>
        <w:rPr>
          <w:rFonts w:ascii="Arial" w:hAnsi="Arial"/>
          <w:color w:val="000000"/>
          <w:sz w:val="20"/>
        </w:rPr>
        <w:t>shares of common stock pursuant to the terms of the plan. The plan is effective through September 15, 2027 unless earlier terminated in accordance with the terms of the plan.</w:t>
      </w:r>
    </w:p>
    <w:p>
      <w:pPr>
        <w:pStyle w:val="TextBody"/>
        <w:bidi w:val="0"/>
        <w:spacing w:before="0" w:after="200"/>
        <w:jc w:val="left"/>
        <w:rPr>
          <w:rFonts w:ascii="Times New Roman" w:hAnsi="Times New Roman"/>
          <w:sz w:val="20"/>
        </w:rPr>
      </w:pPr>
      <w:r>
        <w:rPr>
          <w:rFonts w:ascii="Arial" w:hAnsi="Arial"/>
          <w:color w:val="000000"/>
          <w:sz w:val="20"/>
        </w:rPr>
        <w:t>In addition, on March 11, 2026, Mohit Kansal, our Chief Payments Officer, adopted a Rule 10b-5 Trading Plan for the sale of shares of our common stock. Mr. Kansal's Rule 10b-5 Trading Plan provides for the sale of up to 182,831</w:t>
      </w:r>
      <w:r>
        <w:rPr>
          <w:rFonts w:ascii="Times New Roman" w:hAnsi="Times New Roman"/>
          <w:color w:val="000000"/>
          <w:sz w:val="20"/>
        </w:rPr>
        <w:t xml:space="preserve"> </w:t>
      </w:r>
      <w:r>
        <w:rPr>
          <w:rFonts w:ascii="Arial" w:hAnsi="Arial"/>
          <w:color w:val="000000"/>
          <w:sz w:val="20"/>
        </w:rPr>
        <w:t>shares of common stock pursuant to the terms of the plan. The plan is effective through June 15, 2027 unless earlier terminated in accordance with the terms of the plan.</w:t>
        <w:br/>
      </w:r>
      <w:r>
        <w:rPr>
          <w:rFonts w:ascii="Times New Roman" w:hAnsi="Times New Roman"/>
          <w:color w:val="000000"/>
          <w:sz w:val="20"/>
        </w:rPr>
        <w:br/>
        <w:t> </w:t>
      </w:r>
    </w:p>
    <w:p>
      <w:pPr>
        <w:pStyle w:val="TextBody"/>
        <w:bidi w:val="0"/>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42" w:name="exhibits"/>
      <w:bookmarkEnd w:id="42"/>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3"/>
        <w:gridCol w:w="146"/>
        <w:gridCol w:w="9206"/>
      </w:tblGrid>
      <w:tr>
        <w:trPr/>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6" w:type="dxa"/>
            <w:tcBorders/>
            <w:vAlign w:val="center"/>
          </w:tcPr>
          <w:p>
            <w:pPr>
              <w:pStyle w:val="TableContents"/>
              <w:bidi w:val="0"/>
              <w:spacing w:before="0" w:after="283"/>
              <w:jc w:val="left"/>
              <w:rPr>
                <w:sz w:val="4"/>
                <w:szCs w:val="4"/>
              </w:rPr>
            </w:pPr>
            <w:r>
              <w:rPr>
                <w:sz w:val="4"/>
                <w:szCs w:val="4"/>
              </w:rPr>
            </w:r>
          </w:p>
        </w:tc>
      </w:tr>
      <w:tr>
        <w:trPr/>
        <w:tc>
          <w:tcPr>
            <w:tcW w:w="85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10_1.htm">
              <w:r>
                <w:rPr>
                  <w:rStyle w:val="InternetLink"/>
                  <w:rFonts w:ascii="Arial" w:hAnsi="Arial"/>
                  <w:color w:val="0000FF"/>
                  <w:sz w:val="20"/>
                  <w:u w:val="single"/>
                </w:rPr>
                <w:t>Employment Agreement, dated as of February 5, 2026, by and between the Registrant and Patrick Blanc.</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10_2.htm">
              <w:r>
                <w:rPr>
                  <w:rStyle w:val="InternetLink"/>
                  <w:rFonts w:ascii="Arial" w:hAnsi="Arial"/>
                  <w:color w:val="0000FF"/>
                  <w:sz w:val="20"/>
                  <w:u w:val="single"/>
                </w:rPr>
                <w:t>Employment Agreement, dated as of March 1, 2026, by and between the Registrant and Mohit Kansal.</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spacing w:before="120" w:after="283"/>
        <w:jc w:val="left"/>
        <w:rPr>
          <w:rFonts w:ascii="Times New Roman" w:hAnsi="Times New Roman"/>
          <w:sz w:val="20"/>
        </w:rPr>
      </w:pPr>
      <w:r>
        <w:rPr>
          <w:rFonts w:ascii="Arial" w:hAnsi="Arial"/>
          <w:color w:val="000000"/>
          <w:sz w:val="14"/>
        </w:rPr>
        <w:t># Indicates a management contract or compensatory plan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center"/>
        <w:rPr>
          <w:rFonts w:ascii="Times New Roman" w:hAnsi="Times New Roman"/>
          <w:sz w:val="20"/>
        </w:rPr>
      </w:pPr>
      <w:bookmarkStart w:id="43" w:name="signatures"/>
      <w:bookmarkEnd w:id="43"/>
      <w:r>
        <w:rPr>
          <w:rFonts w:ascii="Arial" w:hAnsi="Arial"/>
          <w:b/>
          <w:color w:val="000000"/>
          <w:sz w:val="20"/>
        </w:rPr>
        <w:t>SIGNATURES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tbl>
      <w:tblPr>
        <w:tblW w:w="7409" w:type="dxa"/>
        <w:jc w:val="left"/>
        <w:tblInd w:w="0" w:type="dxa"/>
        <w:tblLayout w:type="fixed"/>
        <w:tblCellMar>
          <w:top w:w="28" w:type="dxa"/>
          <w:left w:w="28" w:type="dxa"/>
          <w:bottom w:w="28" w:type="dxa"/>
          <w:right w:w="28" w:type="dxa"/>
        </w:tblCellMar>
      </w:tblPr>
      <w:tblGrid>
        <w:gridCol w:w="2206"/>
        <w:gridCol w:w="326"/>
        <w:gridCol w:w="646"/>
        <w:gridCol w:w="4231"/>
      </w:tblGrid>
      <w:tr>
        <w:trPr/>
        <w:tc>
          <w:tcPr>
            <w:tcW w:w="22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87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FLYWIRE CORPORATION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August 5, 2026</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20"/>
              </w:rPr>
              <w:t>(Principal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August 5, 2026</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44" w:name="flyw-ex10_1.htm"/>
      <w:bookmarkStart w:id="45" w:name="ksflywex10_1"/>
      <w:bookmarkEnd w:id="44"/>
      <w:bookmarkEnd w:id="4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600"/>
        <w:jc w:val="center"/>
        <w:rPr>
          <w:rFonts w:ascii="Times New Roman" w:hAnsi="Times New Roman"/>
          <w:b/>
          <w:smallCaps/>
          <w:color w:val="000000"/>
          <w:sz w:val="36"/>
        </w:rPr>
      </w:pPr>
      <w:r>
        <w:rPr>
          <w:rFonts w:ascii="Times New Roman" w:hAnsi="Times New Roman"/>
          <w:b/>
          <w:smallCaps/>
          <w:color w:val="000000"/>
          <w:sz w:val="36"/>
        </w:rPr>
        <w:t>Employment Agreement</w:t>
      </w:r>
    </w:p>
    <w:p>
      <w:pPr>
        <w:pStyle w:val="TextBody"/>
        <w:bidi w:val="0"/>
        <w:spacing w:before="0" w:after="240"/>
        <w:jc w:val="both"/>
        <w:rPr>
          <w:rFonts w:ascii="Times New Roman" w:hAnsi="Times New Roman"/>
          <w:sz w:val="20"/>
        </w:rPr>
      </w:pPr>
      <w:r>
        <w:rPr>
          <w:rFonts w:ascii="Times New Roman" w:hAnsi="Times New Roman"/>
          <w:smallCaps/>
          <w:color w:val="000000"/>
          <w:sz w:val="26"/>
        </w:rPr>
        <w:t>This Agreement</w:t>
      </w:r>
      <w:r>
        <w:rPr>
          <w:rFonts w:ascii="Times New Roman" w:hAnsi="Times New Roman"/>
          <w:color w:val="000000"/>
          <w:sz w:val="20"/>
        </w:rPr>
        <w:t xml:space="preserve"> </w:t>
      </w:r>
      <w:r>
        <w:rPr>
          <w:rFonts w:ascii="Times New Roman" w:hAnsi="Times New Roman"/>
          <w:color w:val="000000"/>
          <w:sz w:val="24"/>
        </w:rPr>
        <w:t xml:space="preserve">(the “Agreement”) is entered into by and between Patrick Blanc, with an address of 780 Woodstock Lane, Los Altos, CA 94022, U.S.A. (the “Executive” or “you”) and </w:t>
      </w:r>
      <w:r>
        <w:rPr>
          <w:rFonts w:ascii="Times New Roman" w:hAnsi="Times New Roman"/>
          <w:b/>
          <w:smallCaps/>
          <w:color w:val="000000"/>
          <w:sz w:val="26"/>
        </w:rPr>
        <w:t>Flywire corporation</w:t>
      </w:r>
      <w:r>
        <w:rPr>
          <w:rFonts w:ascii="Times New Roman" w:hAnsi="Times New Roman"/>
          <w:color w:val="000000"/>
          <w:sz w:val="24"/>
        </w:rPr>
        <w:t>, a Delaware corporation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rPr>
        <w:t>Duties and Scope of Employment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Position</w:t>
      </w:r>
      <w:r>
        <w:rPr>
          <w:rFonts w:ascii="Times New Roman" w:hAnsi="Times New Roman"/>
          <w:color w:val="000000"/>
          <w:sz w:val="24"/>
        </w:rPr>
        <w:t>. For the term of his employment under this Agreement (the “Employment”), the Company agrees to employ the Executive in the position of Chief Technology Officer. The Executive shall report to the Chief Executive Officer. Your start date shall be on or before March 2, 2026, or as otherwise agreed to by you and the Company (the “Start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Obligations to the Company</w:t>
      </w:r>
      <w:r>
        <w:rPr>
          <w:rFonts w:ascii="Times New Roman" w:hAnsi="Times New Roman"/>
          <w:color w:val="000000"/>
          <w:sz w:val="24"/>
        </w:rPr>
        <w:t>. During his Employment, the Executive (i) shall devote his full 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No Conflicting Obligations</w:t>
      </w:r>
      <w:r>
        <w:rPr>
          <w:rFonts w:ascii="Times New Roman" w:hAnsi="Times New Roman"/>
          <w:color w:val="000000"/>
          <w:sz w:val="24"/>
        </w:rPr>
        <w:t xml:space="preserve">. The Executive represents and warrants to the Company that she is under no obligations or commitments, whether contractual or otherwise, that are inconsistent with his obligations under this Agreement. The Executive represents and warrants that she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Employment Eligibility</w:t>
      </w:r>
      <w:r>
        <w:rPr>
          <w:rFonts w:ascii="Times New Roman" w:hAnsi="Times New Roman"/>
          <w:color w:val="000000"/>
          <w:sz w:val="24"/>
        </w:rPr>
        <w:t>. 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Certain capitalized terms are defined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rPr>
        <w:t>Cash and Incentive 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Salary</w:t>
      </w:r>
      <w:r>
        <w:rPr>
          <w:rFonts w:ascii="Times New Roman" w:hAnsi="Times New Roman"/>
          <w:color w:val="000000"/>
          <w:sz w:val="24"/>
        </w:rPr>
        <w:t xml:space="preserve">. The Company shall pay the Executive as compensation for his services a base salary at a gross annual rate of $450,000 (as may be adjusted, the “Base Salary”). Such salary shall be payable in accordance with the Company’s standard payroll procedures and shall be subject to adjustment pursuant to the Company’s executive compensation policies in effect from time to time.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Bonus</w:t>
      </w:r>
      <w:r>
        <w:rPr>
          <w:rFonts w:ascii="Times New Roman" w:hAnsi="Times New Roman"/>
          <w:color w:val="000000"/>
          <w:sz w:val="24"/>
        </w:rPr>
        <w:t xml:space="preserve">. You will be eligible for an annual discretionary performance bonus subject to achievement of targets as approved by the Company’s Board of Directors (the “Board”) or its People and Compensation Committee (the “Committee”). This discretionary target bonus will be $275,000 and any such bonus will be paid in accordance with the Company’s bonus program then in effect. Performance bonus goals and attainment of such goals will be evaluated and approved by the Committee and paid on an annual basis, with such payment, to the extent earned, to be made within 2 ½ months following the close of the applicable fiscal year, but only if you are still employed by the Company as of the date of payment. The determinations of the Board or Committee with respect to your bonus will be final and binding.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[[INTENTIONALLY OMITTED]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Equity Awards</w:t>
      </w:r>
      <w:r>
        <w:rPr>
          <w:rFonts w:ascii="Times New Roman" w:hAnsi="Times New Roman"/>
          <w:color w:val="000000"/>
          <w:sz w:val="24"/>
        </w:rPr>
        <w:t>. You will be eligible to participate in the Company’s equity award program, subject to the approval of the Board or the Committee. Subject to the approval of the Board or the Committee, you will be granted a one-time sign-on award of a number of restricted stock units with an aggregate grant value equal to $2,600,000 (determined using the average daily closing price per share of the Company’s common stock for the 10 trading days immediately preceding the Start Date, rounded down to the nearest whole share) (the "RSUs") under the Company’s 2021 Equity Incentive Plan (the “Plan”). The RSUs will be subject to the terms and conditions of the Plan and your notice of restricted stock unit award and restricted stock unit agreement (collectively, the “RSU Award Agreement”). Your initial grant ($2,600,000) will vest 35% of the RSUs after 12 months of continuous full-time service, and the balance will vest in quarterly installments over the next 12 quarters of continuous service such that 28% of the RSUs shall vest in the second year and 22% of the RSUs shall vest in the third year and the remaining 15% of the RSUs shall vest in the fourth year, as described more fully in the Plan and in your RSU Award Agreement. In addition, if you are a Section 16 Officer of the Company when an installment of your RSUs vest, you agree not to sell any after-tax shares issued to you upon settlement of such RSUs until the earliest of the 12 month anniversary of the date such RSUs vest, a Change in Control, termination of your Employment or your death. You may be eligible for additional equity awards in subsequent years as determined by the Board or the Committee in its sole discretion.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 xml:space="preserve">Sign-On Bonus and Repayment Obligation. </w:t>
      </w:r>
      <w:r>
        <w:rPr>
          <w:rFonts w:ascii="Times New Roman" w:hAnsi="Times New Roman"/>
          <w:color w:val="000000"/>
          <w:sz w:val="24"/>
        </w:rPr>
        <w:t>The Company shall pay you a sign-on bonus in the gross amount of Three Hundred Fifty Thousand Dollars ($350,000)</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in two equal installments of One Hundred Seventy Five Thousand Dollars ($175,000), less applicable tax withholdings and deductions (“Sign-On Bonus”). The first installment payment will be payable within fourteen (14) business days following your Start Date and the second installment payment will be made in January 2027. If your employment with the Company terminates voluntarily or the Company terminates your employment for Cause (as defined herein) at any time during the first twelve (12) months of employment, you agree to repay the full gross amount of the Sign-On Bonus to the Company within thirty (30) days following the effective date of such termination. You expressly acknowledge and agree that the Company may, to the fullest extent permitted by law, deduct any unpaid portion of the repayment obligation from any amounts otherwise owed to you (including but not limited to wages, bonuses, expense reimbursements, or accrued vacation), provided that such deductions shall not exceed limits established by applicable law. This repayment obligation shall not apply if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your employment is terminated by the Company without Cause or due to your death or disability.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rPr>
        <w:t>Executive Benefits</w:t>
      </w:r>
      <w:r>
        <w:rPr>
          <w:rFonts w:ascii="Times New Roman" w:hAnsi="Times New Roman"/>
          <w:color w:val="000000"/>
          <w:sz w:val="24"/>
        </w:rPr>
        <w:t xml:space="preserve">. During his Employment, the Executive shall be eligible for paid time off in accordance with the Company’s PTO policy, as in effect from time to time. During his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rPr>
        <w:t>Term of Employment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Employment at Will</w:t>
      </w:r>
      <w:r>
        <w:rPr>
          <w:rFonts w:ascii="Times New Roman" w:hAnsi="Times New Roman"/>
          <w:color w:val="000000"/>
          <w:sz w:val="24"/>
        </w:rPr>
        <w:t>. The Executive’s Employment with the Company shall be “at will,” meaning that 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the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obligations under Sections 6 and/or 7 below or his rights under Section 5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Rights upon Termination</w:t>
      </w:r>
      <w:r>
        <w:rPr>
          <w:rFonts w:ascii="Times New Roman" w:hAnsi="Times New Roman"/>
          <w:color w:val="000000"/>
          <w:sz w:val="24"/>
        </w:rPr>
        <w:t>. Except as expressly provided in Section 5 below, upon the termination of the 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rPr>
        <w:t>Termination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General.</w:t>
      </w:r>
      <w:r>
        <w:rPr>
          <w:color w:val="000000"/>
        </w:rPr>
        <w:t xml:space="preserve"> </w:t>
      </w:r>
      <w:r>
        <w:rPr>
          <w:rFonts w:ascii="Times New Roman" w:hAnsi="Times New Roman"/>
          <w:color w:val="000000"/>
          <w:sz w:val="24"/>
        </w:rPr>
        <w:t xml:space="preserve">If you are subject to an Involuntary Termination, then you will be entitled to the benefits 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Sections 5(b) or 5(c), as applicable.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avoidance of doubt, severance 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Involuntary Termination Not Involving a Change in Control</w:t>
      </w:r>
      <w:r>
        <w:rPr>
          <w:rFonts w:ascii="Times New Roman" w:hAnsi="Times New Roman"/>
          <w:color w:val="000000"/>
          <w:sz w:val="24"/>
        </w:rPr>
        <w:t>. If you are subject to an Involuntary Termination at any time other than during a Change in Control Window and you satisfy the conditions described in Section 5(a) above, then you will be entitled to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lump-sum cash severance payment equal to 0.75 times the sum of your Base Salary and Target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Involuntary Termination occurs after the end of a fiscal year, but prior to payment of bonuses for such fiscal year, a lump sum payment equal to any accrued and unpaid bonus for the prior fiscal year (the “Accrued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nine (9) months following your Separation;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outstanding equity award that you hold as of the Involuntary Termination and that is subject to time-based vesting will accelerate and become vested and, if applicable, exercisable with respect the number of shares that would have vested if you had completed an additional nine (9) months of service with the Company. Any equity awards that are subject to unsatisfied performance conditions will not be eligible for acceleration pursuant to this clause (iv) and will be treated as described in the applicable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Involuntary Termination Involving a Change in Control</w:t>
      </w:r>
      <w:r>
        <w:rPr>
          <w:rFonts w:ascii="Times New Roman" w:hAnsi="Times New Roman"/>
          <w:color w:val="000000"/>
          <w:sz w:val="24"/>
        </w:rPr>
        <w:t>. If you are subject to an Involuntary Termination during a Change in Control Window and you satisfy the conditions described in Section 5(a) above, then you will be entitled to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lump-sum cash severance payment equal to one (1) times the sum of your Base Salary and Target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Accrued Bonus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you elect to continue your health insurance coverage under COBRA following your Separation, then the Company will pay your monthly premium under COBRA, which is understood to potentially be higher than said premium for active employees, for the twelve (12) months following your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Separation;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Accrued Rights.</w:t>
      </w:r>
      <w:r>
        <w:rPr>
          <w:color w:val="000000"/>
        </w:rPr>
        <w:t xml:space="preserve"> </w:t>
      </w:r>
      <w:r>
        <w:rPr>
          <w:rFonts w:ascii="Times New Roman" w:hAnsi="Times New Roman"/>
          <w:color w:val="000000"/>
          <w:sz w:val="24"/>
        </w:rPr>
        <w:t>You will be entitled to receive the following upon termination of employment for any 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rPr>
        <w:t>Documents and Company Property.</w:t>
      </w:r>
      <w:r>
        <w:rPr>
          <w:color w:val="000000"/>
        </w:rPr>
        <w:t xml:space="preserve"> </w:t>
      </w:r>
      <w:r>
        <w:rPr>
          <w:rFonts w:ascii="Times New Roman" w:hAnsi="Times New Roman"/>
          <w:color w:val="000000"/>
          <w:sz w:val="24"/>
        </w:rPr>
        <w:t xml:space="preserve">The Executive is prohibited from keeping in his possession in any way any 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work for the Company. In any event, the Executive is obliged to immediately hand over such documents and other goods made available to him at the end of this Agreement or upon suspension of his active duties for any reason other than documents relating to his own employment and compensation.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rPr>
        <w:t xml:space="preserve">Proprietary Information and Inventions Agreement. </w:t>
      </w:r>
      <w:r>
        <w:rPr>
          <w:rFonts w:ascii="Times New Roman" w:hAnsi="Times New Roman"/>
          <w:color w:val="000000"/>
          <w:sz w:val="24"/>
        </w:rPr>
        <w:t xml:space="preserve">You will also be required to sign a Proprietary Rights, Non-Disclosure, Developments, Non-Competition, and Non-Solicitation Agreement in the form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 “PIIA”), as a condition of your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rPr>
        <w:t>Reimbursement of Expenses.</w:t>
      </w:r>
      <w:r>
        <w:rPr>
          <w:color w:val="000000"/>
        </w:rPr>
        <w:t xml:space="preserve"> </w:t>
      </w:r>
      <w:r>
        <w:rPr>
          <w:rFonts w:ascii="Times New Roman" w:hAnsi="Times New Roman"/>
          <w:color w:val="000000"/>
          <w:sz w:val="24"/>
        </w:rPr>
        <w:t xml:space="preserve">The Company will reimburse business expenses reasonably incurred in the performance of your duties in accordance with the Company’s standard practice and expense scheme in place at the time (generally within 30 days after you have submitted appropriate documentation, which you must do within 30 days after incurring the expense) and, in any case, on or before the last day of the calendar year following the calendar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year in which the relevant expense is incurred. The Company will reimburse reasonable costs of the professional use of your (mobile) telephone.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rPr>
        <w:t>Successors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Company’s Successors</w:t>
      </w:r>
      <w:r>
        <w:rPr>
          <w:rFonts w:ascii="Times New Roman" w:hAnsi="Times New Roman"/>
          <w:color w:val="000000"/>
          <w:sz w:val="24"/>
        </w:rPr>
        <w:t>. This Agreement shall be binding upon any successor (whether direct or 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Executive’s Successors</w:t>
      </w:r>
      <w:r>
        <w:rPr>
          <w:rFonts w:ascii="Times New Roman" w:hAnsi="Times New Roman"/>
          <w:color w:val="000000"/>
          <w:sz w:val="24"/>
        </w:rPr>
        <w:t>. This Agreement and all rights of the Executive hereunder shall inure to the benefit of, and be enforceable by, the Executive’s personal or legal representatives, executors, administrators, successors, heirs, distributees, devisees and legatees.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rPr>
        <w:t>Indemnification</w:t>
      </w:r>
      <w:r>
        <w:rPr>
          <w:rFonts w:ascii="Times New Roman" w:hAnsi="Times New Roman"/>
          <w:color w:val="000000"/>
          <w:sz w:val="24"/>
        </w:rPr>
        <w:t xml:space="preserve">. As an officer of the Company, you are entitled to indemnification by the Company pursuant to the Company’s standard form of Indemnification Agreement, the form of which is attached hereto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(the “Indemnification Agreement”). The Company’s indemnification obligation shall survive any termination of your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The following terms shall have the meaning set forth below wherever they are used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Base Salary</w:t>
      </w:r>
      <w:r>
        <w:rPr>
          <w:rFonts w:ascii="Times New Roman" w:hAnsi="Times New Roman"/>
          <w:color w:val="000000"/>
          <w:sz w:val="24"/>
        </w:rPr>
        <w:t>. The term “</w:t>
      </w:r>
      <w:r>
        <w:rPr>
          <w:rFonts w:ascii="Times New Roman" w:hAnsi="Times New Roman"/>
          <w:b/>
          <w:color w:val="000000"/>
          <w:sz w:val="24"/>
        </w:rPr>
        <w:t>Base Salary</w:t>
      </w:r>
      <w:r>
        <w:rPr>
          <w:color w:val="000000"/>
        </w:rPr>
        <w:t xml:space="preserve">” </w:t>
      </w:r>
      <w:r>
        <w:rPr>
          <w:rFonts w:ascii="Times New Roman" w:hAnsi="Times New Roman"/>
          <w:color w:val="000000"/>
          <w:sz w:val="24"/>
        </w:rPr>
        <w:t>shall mean the Executive’s annual base salary, as it may be adjusted from time to time. For purposes of Sections 5(b) and (c), “</w:t>
      </w:r>
      <w:r>
        <w:rPr>
          <w:rFonts w:ascii="Times New Roman" w:hAnsi="Times New Roman"/>
          <w:b/>
          <w:color w:val="000000"/>
          <w:sz w:val="24"/>
        </w:rPr>
        <w:t>Base Salary</w:t>
      </w:r>
      <w:r>
        <w:rPr>
          <w:color w:val="000000"/>
        </w:rPr>
        <w:t xml:space="preserve">” </w:t>
      </w:r>
      <w:r>
        <w:rPr>
          <w:rFonts w:ascii="Times New Roman" w:hAnsi="Times New Roman"/>
          <w:color w:val="000000"/>
          <w:sz w:val="24"/>
        </w:rPr>
        <w:t>shall mean Executive’s annual base salary as in effect immediately prior to an Involuntary Termination, determined without regard to any reduction that constitutes grounds for a Resignation for Good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Cause</w:t>
      </w:r>
      <w:r>
        <w:rPr>
          <w:rFonts w:ascii="Times New Roman" w:hAnsi="Times New Roman"/>
          <w:color w:val="000000"/>
          <w:sz w:val="24"/>
        </w:rPr>
        <w:t>. The term “</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shall mean: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 a material failure by you to comply with the Company’s written policies or rules after being provided written notice and 30 days’ opportunity to cure;</w:t>
      </w:r>
    </w:p>
    <w:p>
      <w:pPr>
        <w:pStyle w:val="TextBody"/>
        <w:bidi w:val="0"/>
        <w:spacing w:before="0" w:after="120"/>
        <w:jc w:val="both"/>
        <w:rPr>
          <w:rFonts w:ascii="Times New Roman" w:hAnsi="Times New Roman"/>
          <w:sz w:val="20"/>
        </w:rPr>
      </w:pPr>
      <w:r>
        <w:rPr>
          <w:rFonts w:ascii="Times New Roman" w:hAnsi="Times New Roman"/>
          <w:color w:val="000000"/>
          <w:sz w:val="24"/>
        </w:rPr>
        <w:t>(ii) your conviction of, or plea of “guilty” or “no contest” to, a crime involving moral turpitude, deceit, dishonesty or fraud that has caused harm to the Company or any affiliate of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(iii) your willful and continued failure to substantially perform (other than by reason of Disability) your duties and responsibilities assigned or delegated after receiving written notification of such failure from the Company and 30 days’ opportunity to cure;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(iv) any intentional act of dishonesty, deceit, fraud, moral turpitude, misconduct, breach of trust or acts intentionally against the financial or business interests of the Company by you, or your use or possession of illegal drugs in the workplace;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(v) the material breach by you of any of your obligations under any agreement between you and the Company after being provided written notice and 30 days’ opportunity to cure; or</w:t>
      </w:r>
    </w:p>
    <w:p>
      <w:pPr>
        <w:pStyle w:val="TextBody"/>
        <w:bidi w:val="0"/>
        <w:spacing w:before="0" w:after="120"/>
        <w:jc w:val="both"/>
        <w:rPr>
          <w:rFonts w:ascii="Times New Roman" w:hAnsi="Times New Roman"/>
          <w:sz w:val="20"/>
        </w:rPr>
      </w:pPr>
      <w:r>
        <w:rPr>
          <w:rFonts w:ascii="Times New Roman" w:hAnsi="Times New Roman"/>
          <w:color w:val="000000"/>
          <w:sz w:val="24"/>
        </w:rPr>
        <w:t>(vi) your failure to cooperate in good faith with a governmental or internal investigation of the Company or its directors, officers or employees, if the Company has requested your cooperation</w:t>
      </w:r>
      <w:r>
        <w:rPr>
          <w:rFonts w:ascii="Times New Roman" w:hAnsi="Times New Roman"/>
          <w:b/>
          <w:color w:val="000000"/>
          <w:sz w:val="24"/>
        </w:rPr>
        <w: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Change in Control</w:t>
      </w:r>
      <w:r>
        <w:rPr>
          <w:rFonts w:ascii="Times New Roman" w:hAnsi="Times New Roman"/>
          <w:color w:val="000000"/>
          <w:sz w:val="24"/>
        </w:rPr>
        <w:t>. The term “</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 xml:space="preserve">shall mean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Change in Control Window</w:t>
      </w:r>
      <w:r>
        <w:rPr>
          <w:rFonts w:ascii="Times New Roman" w:hAnsi="Times New Roman"/>
          <w:color w:val="000000"/>
          <w:sz w:val="24"/>
        </w:rPr>
        <w:t>. The term “</w:t>
      </w:r>
      <w:r>
        <w:rPr>
          <w:rFonts w:ascii="Times New Roman" w:hAnsi="Times New Roman"/>
          <w:b/>
          <w:color w:val="000000"/>
          <w:sz w:val="24"/>
        </w:rPr>
        <w:t>Change in Control Window</w:t>
      </w:r>
      <w:r>
        <w:rPr>
          <w:color w:val="000000"/>
        </w:rPr>
        <w:t xml:space="preserve">” </w:t>
      </w:r>
      <w:r>
        <w:rPr>
          <w:rFonts w:ascii="Times New Roman" w:hAnsi="Times New Roman"/>
          <w:color w:val="000000"/>
          <w:sz w:val="24"/>
        </w:rPr>
        <w:t>shall mean the period beginning three (3) months prior to a Change in Control (if any) and ending twelve months after such Change in Control. In addition, the “</w:t>
      </w:r>
      <w:r>
        <w:rPr>
          <w:rFonts w:ascii="Times New Roman" w:hAnsi="Times New Roman"/>
          <w:b/>
          <w:color w:val="000000"/>
          <w:sz w:val="24"/>
        </w:rPr>
        <w:t>Change in Control Window</w:t>
      </w:r>
      <w:r>
        <w:rPr>
          <w:color w:val="000000"/>
        </w:rPr>
        <w:t xml:space="preserve">” </w:t>
      </w:r>
      <w:r>
        <w:rPr>
          <w:rFonts w:ascii="Times New Roman" w:hAnsi="Times New Roman"/>
          <w:color w:val="000000"/>
          <w:sz w:val="24"/>
        </w:rPr>
        <w:t>shall also include such longer period (if any) beginning on the date that a definitive agreement for a Change in Control is executed, but only if such Change in Control is consummated.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Code</w:t>
      </w:r>
      <w:r>
        <w:rPr>
          <w:rFonts w:ascii="Times New Roman" w:hAnsi="Times New Roman"/>
          <w:color w:val="000000"/>
          <w:sz w:val="24"/>
        </w:rPr>
        <w:t>. The term “</w:t>
      </w:r>
      <w:r>
        <w:rPr>
          <w:rFonts w:ascii="Times New Roman" w:hAnsi="Times New Roman"/>
          <w:b/>
          <w:color w:val="000000"/>
          <w:sz w:val="24"/>
        </w:rPr>
        <w:t>Code</w:t>
      </w:r>
      <w:r>
        <w:rPr>
          <w:color w:val="000000"/>
        </w:rPr>
        <w:t xml:space="preserve">” </w:t>
      </w:r>
      <w:r>
        <w:rPr>
          <w:rFonts w:ascii="Times New Roman" w:hAnsi="Times New Roman"/>
          <w:color w:val="000000"/>
          <w:sz w:val="24"/>
        </w:rPr>
        <w:t>shall mean the Internal Revenue Code of 1986,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Disability</w:t>
      </w:r>
      <w:r>
        <w:rPr>
          <w:rFonts w:ascii="Times New Roman" w:hAnsi="Times New Roman"/>
          <w:color w:val="000000"/>
          <w:sz w:val="24"/>
        </w:rPr>
        <w:t>. The term “</w:t>
      </w:r>
      <w:r>
        <w:rPr>
          <w:rFonts w:ascii="Times New Roman" w:hAnsi="Times New Roman"/>
          <w:b/>
          <w:color w:val="000000"/>
          <w:sz w:val="24"/>
        </w:rPr>
        <w:t>Disability</w:t>
      </w:r>
      <w:r>
        <w:rPr>
          <w:color w:val="000000"/>
        </w:rPr>
        <w:t xml:space="preserve">” </w:t>
      </w:r>
      <w:r>
        <w:rPr>
          <w:rFonts w:ascii="Times New Roman" w:hAnsi="Times New Roman"/>
          <w:color w:val="000000"/>
          <w:sz w:val="24"/>
        </w:rPr>
        <w:t>shall mean that the Executive is unable to engage in any substantial gainful activity as required to perform his material duties (with reasonable accommodation) by reason of any medically determinable physical or mental impairment which can be expected to result in death or to last for a continuous period of not less than twelve months.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color w:val="000000"/>
          <w:sz w:val="24"/>
        </w:rPr>
        <w:t>Involuntary Termination</w:t>
      </w:r>
      <w:r>
        <w:rPr>
          <w:rFonts w:ascii="Times New Roman" w:hAnsi="Times New Roman"/>
          <w:color w:val="000000"/>
          <w:sz w:val="24"/>
        </w:rPr>
        <w:t>. The term “</w:t>
      </w:r>
      <w:r>
        <w:rPr>
          <w:rFonts w:ascii="Times New Roman" w:hAnsi="Times New Roman"/>
          <w:b/>
          <w:color w:val="000000"/>
          <w:sz w:val="24"/>
        </w:rPr>
        <w:t>Involuntary Termination</w:t>
      </w:r>
      <w:r>
        <w:rPr>
          <w:color w:val="000000"/>
        </w:rPr>
        <w:t xml:space="preserve">” </w:t>
      </w:r>
      <w:r>
        <w:rPr>
          <w:rFonts w:ascii="Times New Roman" w:hAnsi="Times New Roman"/>
          <w:color w:val="000000"/>
          <w:sz w:val="24"/>
        </w:rPr>
        <w:t>shall mean either the Executive’s (i) Termination Without Cause or (ii) Resignation for Good Reason. For avoidance of doubt, Executive’s Separation due to Executive’s death or Disability shall not constitute an Involuntary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b/>
          <w:color w:val="000000"/>
          <w:sz w:val="24"/>
        </w:rPr>
        <w:t>Resignation for Good Reason</w:t>
      </w:r>
      <w:r>
        <w:rPr>
          <w:rFonts w:ascii="Times New Roman" w:hAnsi="Times New Roman"/>
          <w:color w:val="000000"/>
          <w:sz w:val="24"/>
        </w:rPr>
        <w:t>. The term “</w:t>
      </w:r>
      <w:r>
        <w:rPr>
          <w:rFonts w:ascii="Times New Roman" w:hAnsi="Times New Roman"/>
          <w:b/>
          <w:color w:val="000000"/>
          <w:sz w:val="24"/>
        </w:rPr>
        <w:t>Resignation for Good Reason</w:t>
      </w:r>
      <w:r>
        <w:rPr>
          <w:color w:val="000000"/>
        </w:rPr>
        <w:t xml:space="preserve">” </w:t>
      </w:r>
      <w:r>
        <w:rPr>
          <w:rFonts w:ascii="Times New Roman" w:hAnsi="Times New Roman"/>
          <w:color w:val="000000"/>
          <w:sz w:val="24"/>
        </w:rPr>
        <w:t>means a Separation as a result of the Executive’s resignation within 12 months after one of the following conditions has come into existence without the Executive’s written consent: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material diminution in your compensation (consisting of base salary, target bonus opportunity and target annual equity value and excluding any special, one-time, new hire, promotion or other exceptional equity awards), except for across-the-board reductions, outside of the Change in Control Window, affecting the Company’s similarly situated employees generally;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material diminution in your title, duties, authority and responsibilities within the Company;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material breach of the Company’s obligation under any agreement between the Company and you.</w:t>
      </w:r>
    </w:p>
    <w:p>
      <w:pPr>
        <w:pStyle w:val="TextBody"/>
        <w:bidi w:val="0"/>
        <w:spacing w:before="0" w:after="240"/>
        <w:jc w:val="both"/>
        <w:rPr>
          <w:rFonts w:ascii="Times New Roman" w:hAnsi="Times New Roman"/>
          <w:sz w:val="20"/>
        </w:rPr>
      </w:pPr>
      <w:r>
        <w:rPr>
          <w:rFonts w:ascii="Times New Roman" w:hAnsi="Times New Roman"/>
          <w:color w:val="000000"/>
          <w:sz w:val="24"/>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Section 16 Officer.</w:t>
      </w:r>
      <w:r>
        <w:rPr>
          <w:color w:val="000000"/>
        </w:rPr>
        <w:t xml:space="preserve"> </w:t>
      </w:r>
      <w:r>
        <w:rPr>
          <w:rFonts w:ascii="Times New Roman" w:hAnsi="Times New Roman"/>
          <w:color w:val="000000"/>
          <w:sz w:val="24"/>
        </w:rPr>
        <w:t>The term “</w:t>
      </w:r>
      <w:r>
        <w:rPr>
          <w:rFonts w:ascii="Times New Roman" w:hAnsi="Times New Roman"/>
          <w:b/>
          <w:color w:val="000000"/>
          <w:sz w:val="24"/>
        </w:rPr>
        <w:t>Section 16 Officer”</w:t>
      </w:r>
      <w:r>
        <w:rPr>
          <w:color w:val="000000"/>
        </w:rPr>
        <w:t xml:space="preserve"> </w:t>
      </w:r>
      <w:r>
        <w:rPr>
          <w:rFonts w:ascii="Times New Roman" w:hAnsi="Times New Roman"/>
          <w:color w:val="000000"/>
          <w:sz w:val="24"/>
        </w:rPr>
        <w:t>means an “officer” of the Company within the meaning of Rule 16a-1(f) under the Securities Exchange Act of 1934, as amended, including any individual designated by the Company’s Board of Directors or People and Compensation Committee as an executive officer for purposes of Section 16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b/>
          <w:color w:val="000000"/>
          <w:sz w:val="24"/>
        </w:rPr>
        <w:t>Separation</w:t>
      </w:r>
      <w:r>
        <w:rPr>
          <w:rFonts w:ascii="Times New Roman" w:hAnsi="Times New Roman"/>
          <w:color w:val="000000"/>
          <w:sz w:val="24"/>
        </w:rPr>
        <w:t xml:space="preserve">. The term </w:t>
      </w:r>
      <w:r>
        <w:rPr>
          <w:color w:val="000000"/>
        </w:rPr>
        <w:t>“</w:t>
      </w:r>
      <w:r>
        <w:rPr>
          <w:rFonts w:ascii="Times New Roman" w:hAnsi="Times New Roman"/>
          <w:b/>
          <w:color w:val="000000"/>
          <w:sz w:val="24"/>
        </w:rPr>
        <w:t>Separation”</w:t>
      </w:r>
      <w:r>
        <w:rPr>
          <w:color w:val="000000"/>
        </w:rPr>
        <w:t xml:space="preserve"> </w:t>
      </w:r>
      <w:r>
        <w:rPr>
          <w:rFonts w:ascii="Times New Roman" w:hAnsi="Times New Roman"/>
          <w:color w:val="000000"/>
          <w:sz w:val="24"/>
        </w:rPr>
        <w:t>shall mean a “separation from service,” as defined in the regulations under Section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b/>
          <w:color w:val="000000"/>
          <w:sz w:val="24"/>
        </w:rPr>
        <w:t>Target Bonus</w:t>
      </w:r>
      <w:r>
        <w:rPr>
          <w:rFonts w:ascii="Times New Roman" w:hAnsi="Times New Roman"/>
          <w:color w:val="000000"/>
          <w:sz w:val="24"/>
        </w:rPr>
        <w:t xml:space="preserve">. The term </w:t>
      </w:r>
      <w:r>
        <w:rPr>
          <w:color w:val="000000"/>
        </w:rPr>
        <w:t>“</w:t>
      </w:r>
      <w:r>
        <w:rPr>
          <w:rFonts w:ascii="Times New Roman" w:hAnsi="Times New Roman"/>
          <w:b/>
          <w:color w:val="000000"/>
          <w:sz w:val="24"/>
        </w:rPr>
        <w:t>Target Bonus”</w:t>
      </w:r>
      <w:r>
        <w:rPr>
          <w:color w:val="000000"/>
        </w:rPr>
        <w:t xml:space="preserve"> </w:t>
      </w:r>
      <w:r>
        <w:rPr>
          <w:rFonts w:ascii="Times New Roman" w:hAnsi="Times New Roman"/>
          <w:color w:val="000000"/>
          <w:sz w:val="24"/>
        </w:rPr>
        <w:t>shall mean Executive’s annual target bonus opportunity, as may be adjusted from time to time. For purposes of Sections 5(b) and (c), “Target Bonus” shall mean Executive’s annual target bonus opportunity as in effect immediately prior to an Involuntary Termination, determined without regard to any reduction that constitutes grounds for a Resignation for Good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b/>
          <w:color w:val="000000"/>
          <w:sz w:val="24"/>
        </w:rPr>
        <w:t>Termination Without Cause</w:t>
      </w:r>
      <w:r>
        <w:rPr>
          <w:color w:val="000000"/>
        </w:rPr>
        <w:t xml:space="preserve"> </w:t>
      </w:r>
      <w:r>
        <w:rPr>
          <w:rFonts w:ascii="Times New Roman" w:hAnsi="Times New Roman"/>
          <w:color w:val="000000"/>
          <w:sz w:val="24"/>
        </w:rPr>
        <w:t>The term “Termination Without Cause” means a Separation as a result of a termination of the Executive’s employment by the Company without Cause and other than as a result of Disability.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b/>
          <w:color w:val="000000"/>
          <w:sz w:val="24"/>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Notices and all other communications contemplated by this Agreement shall be in writing and shall be deemed to have been duly given when personally 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Modifications and Waivers</w:t>
      </w:r>
      <w:r>
        <w:rPr>
          <w:rFonts w:ascii="Times New Roman" w:hAnsi="Times New Roman"/>
          <w:color w:val="000000"/>
          <w:sz w:val="24"/>
        </w:rPr>
        <w:t>.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Whole Agreement</w:t>
      </w:r>
      <w:r>
        <w:rPr>
          <w:rFonts w:ascii="Times New Roman" w:hAnsi="Times New Roman"/>
          <w:color w:val="000000"/>
          <w:sz w:val="24"/>
        </w:rPr>
        <w:t>. This Agreement supersedes and replaces any prior agreements, representations or understandings (whether written, oral, implied or otherwise) between the Executive and the Company and constitute the complete agreement between the Executive and the Company regarding the subject matter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Tax Matters</w:t>
      </w:r>
      <w:r>
        <w:rPr>
          <w:rFonts w:ascii="Times New Roman" w:hAnsi="Times New Roman"/>
          <w:color w:val="000000"/>
          <w:sz w:val="24"/>
        </w:rPr>
        <w:t>. All payments made under this Agreement shall be subject to reduction to reflect taxes or other charges required to be withheld by law. The Company intends that all payments and benefits provided under this Agreement or otherwise are exempt from, or comply with, with the requirements of Section 409A of the Code so that none of the payments or benefits will be subject to the additional tax imposed under Section 409A of the Code, and any ambiguities herein will be interpreted in accordance with such intent. For purposes of Section 409A of the Code, each payment, installment or benefit payable under this Agreement is hereby designated as a separate payment. In addition, if the Company determines that you are a “specified employee” under Section 409A(a)(2)(B)(i) of the Code at the time of your Separation, then (i) any severance payments or benefits, to the extent that they are subject to Section 409A of the Code,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 xml:space="preserve">280G. Parachute Payments. </w:t>
      </w:r>
      <w:r>
        <w:rPr>
          <w:rFonts w:ascii="Times New Roman" w:hAnsi="Times New Roman"/>
          <w:color w:val="000000"/>
          <w:sz w:val="24"/>
        </w:rPr>
        <w:t xml:space="preserve">If any payment or benefit that you would receive in connection with a 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hAnsi="Times New Roman"/>
          <w:i/>
          <w:color w:val="000000"/>
          <w:sz w:val="24"/>
        </w:rPr>
        <w:t>pro rata</w:t>
      </w:r>
      <w:r>
        <w:rPr>
          <w:color w:val="000000"/>
        </w:rPr>
        <w:t xml:space="preserve"> </w:t>
      </w:r>
      <w:r>
        <w:rPr>
          <w:rFonts w:ascii="Times New Roman" w:hAnsi="Times New Roman"/>
          <w:color w:val="000000"/>
          <w:sz w:val="24"/>
        </w:rPr>
        <w:t xml:space="preserve">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hAnsi="Times New Roman"/>
          <w:i/>
          <w:color w:val="000000"/>
          <w:sz w:val="24"/>
        </w:rPr>
        <w:t>pro rata</w:t>
      </w:r>
      <w:r>
        <w:rPr>
          <w:color w:val="000000"/>
        </w:rPr>
        <w:t xml:space="preserve"> </w:t>
      </w:r>
      <w:r>
        <w:rPr>
          <w:rFonts w:ascii="Times New Roman" w:hAnsi="Times New Roman"/>
          <w:color w:val="000000"/>
          <w:sz w:val="24"/>
        </w:rPr>
        <w:t xml:space="preserve">basis, to any other remaining payments, first with respect to amounts payable in cash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before being made in respect to any payments to be provided in the form of benefits or equity award acceleration, and in the form of benefits before being made with respect to equity award acceleration</w:t>
      </w:r>
      <w:r>
        <w:rPr>
          <w:rFonts w:ascii="Times New Roman" w:hAnsi="Times New Roman"/>
          <w:i/>
          <w:color w:val="000000"/>
          <w:sz w:val="24"/>
        </w:rPr>
        <w:t>.</w:t>
      </w:r>
      <w:r>
        <w:rPr>
          <w:color w:val="000000"/>
        </w:rPr>
        <w:t xml:space="preserve"> </w:t>
      </w:r>
      <w:r>
        <w:rPr>
          <w:rFonts w:ascii="Times New Roman" w:hAnsi="Times New Roman"/>
          <w:color w:val="000000"/>
          <w:sz w:val="24"/>
        </w:rPr>
        <w:t>The Company’s determinations hereunder shall be final, binding and conclusive on all interested parties.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 xml:space="preserve">Arbitration. </w:t>
      </w:r>
      <w:r>
        <w:rPr>
          <w:rFonts w:ascii="Times New Roman" w:hAnsi="Times New Roman"/>
          <w:color w:val="000000"/>
          <w:sz w:val="24"/>
        </w:rPr>
        <w:t xml:space="preserve">Any controversy or claim arising out of this Agreement and any and all claims relating to 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PIIA).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color w:val="000000"/>
          <w:sz w:val="24"/>
        </w:rPr>
        <w:t>Choice of Law and Severability</w:t>
      </w:r>
      <w:r>
        <w:rPr>
          <w:rFonts w:ascii="Times New Roman" w:hAnsi="Times New Roman"/>
          <w:color w:val="000000"/>
          <w:sz w:val="24"/>
        </w:rPr>
        <w:t>. This Agreement shall be interpreted in accordance with the laws of the 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b/>
          <w:color w:val="000000"/>
          <w:sz w:val="24"/>
        </w:rPr>
        <w:t>No Assignment</w:t>
      </w:r>
      <w:r>
        <w:rPr>
          <w:rFonts w:ascii="Times New Roman" w:hAnsi="Times New Roman"/>
          <w:color w:val="000000"/>
          <w:sz w:val="24"/>
        </w:rPr>
        <w:t>. This Agreement and all rights and obligations of the Executive hereunder are 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480"/>
        <w:jc w:val="both"/>
        <w:rPr/>
      </w:pPr>
      <w:r>
        <w:rPr>
          <w:rFonts w:ascii="Times New Roman" w:hAnsi="Times New Roman"/>
          <w:b/>
          <w:color w:val="000000"/>
          <w:sz w:val="24"/>
        </w:rPr>
        <w:t>Counterparts</w:t>
      </w:r>
      <w:r>
        <w:rPr>
          <w:rFonts w:ascii="Times New Roman" w:hAnsi="Times New Roman"/>
          <w:color w:val="000000"/>
          <w:sz w:val="24"/>
        </w:rPr>
        <w:t>. This Agreement may be executed in two or more counterparts, each of which shall be deemed an original, but all of which together shall constitute one and the same instrument.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Signatures on following page</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each of the parties has executed this Agreement, in the case of the Company by its duly authorized officer, as of the day and year written below.</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b/>
          <w:smallCaps/>
          <w:color w:val="000000"/>
          <w:sz w:val="28"/>
        </w:rPr>
        <w:t>flywire corporation</w:t>
        <w:br/>
      </w:r>
      <w:r>
        <w:rPr>
          <w:rFonts w:ascii="Times New Roman" w:hAnsi="Times New Roman"/>
          <w:smallCaps/>
          <w:color w:val="000000"/>
          <w:sz w:val="20"/>
        </w:rPr>
        <w:t> </w:t>
      </w:r>
    </w:p>
    <w:p>
      <w:pPr>
        <w:pStyle w:val="TextBody"/>
        <w:bidi w:val="0"/>
        <w:jc w:val="left"/>
        <w:rPr>
          <w:rFonts w:ascii="Times New Roman" w:hAnsi="Times New Roman"/>
          <w:sz w:val="20"/>
        </w:rPr>
      </w:pPr>
      <w:r>
        <w:rPr>
          <w:rFonts w:ascii="Times New Roman" w:hAnsi="Times New Roman"/>
          <w:color w:val="000000"/>
          <w:sz w:val="24"/>
        </w:rPr>
        <w:t xml:space="preserve">Signature: </w:t>
      </w:r>
      <w:r>
        <w:rPr>
          <w:rFonts w:ascii="Times New Roman" w:hAnsi="Times New Roman"/>
          <w:color w:val="000000"/>
          <w:sz w:val="24"/>
          <w:u w:val="single"/>
        </w:rPr>
        <w:t xml:space="preserve">/s/ Michael Massaro </w:t>
      </w:r>
      <w:r>
        <w:rPr>
          <w:rFonts w:ascii="Times New Roman" w:hAnsi="Times New Roman"/>
          <w:color w:val="000000"/>
          <w:sz w:val="24"/>
        </w:rPr>
        <w:t>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Michael Massaro</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Date: February 5, 2026</w:t>
      </w:r>
    </w:p>
    <w:p>
      <w:pPr>
        <w:pStyle w:val="TextBody"/>
        <w:bidi w:val="0"/>
        <w:spacing w:before="0" w:after="240"/>
        <w:jc w:val="left"/>
        <w:rPr/>
      </w:pPr>
      <w:r>
        <w:rPr/>
        <w:t> </w:t>
      </w:r>
    </w:p>
    <w:p>
      <w:pPr>
        <w:pStyle w:val="TextBody"/>
        <w:bidi w:val="0"/>
        <w:spacing w:before="0" w:after="600"/>
        <w:jc w:val="left"/>
        <w:rPr>
          <w:rFonts w:ascii="Times New Roman" w:hAnsi="Times New Roman"/>
          <w:sz w:val="20"/>
        </w:rPr>
      </w:pPr>
      <w:r>
        <w:rPr>
          <w:rFonts w:ascii="Times New Roman" w:hAnsi="Times New Roman"/>
          <w:b/>
          <w:smallCaps/>
          <w:color w:val="000000"/>
          <w:sz w:val="28"/>
        </w:rPr>
        <w:t>Executive</w:t>
        <w:br/>
      </w:r>
      <w:r>
        <w:rPr>
          <w:rFonts w:ascii="Times New Roman" w:hAnsi="Times New Roman"/>
          <w:smallCaps/>
          <w:color w:val="000000"/>
          <w:sz w:val="20"/>
        </w:rPr>
        <w:t> </w:t>
      </w:r>
    </w:p>
    <w:p>
      <w:pPr>
        <w:pStyle w:val="TextBody"/>
        <w:bidi w:val="0"/>
        <w:spacing w:before="0" w:after="600"/>
        <w:jc w:val="left"/>
        <w:rPr>
          <w:rFonts w:ascii="Times New Roman" w:hAnsi="Times New Roman"/>
          <w:sz w:val="20"/>
        </w:rPr>
      </w:pPr>
      <w:r>
        <w:rPr>
          <w:rFonts w:ascii="Times New Roman" w:hAnsi="Times New Roman"/>
          <w:color w:val="000000"/>
          <w:sz w:val="24"/>
          <w:u w:val="single"/>
        </w:rPr>
        <w:t xml:space="preserve">/s/ Patrick Blanc </w:t>
        <w:br/>
      </w:r>
      <w:r>
        <w:rPr>
          <w:rFonts w:ascii="Times New Roman" w:hAnsi="Times New Roman"/>
          <w:color w:val="000000"/>
          <w:sz w:val="24"/>
        </w:rPr>
        <w:t>Patrick Blanc</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Date: February 5,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bookmarkStart w:id="46" w:name="flyw-ex10_2.htm"/>
      <w:bookmarkStart w:id="47" w:name="ksflywex10_2"/>
      <w:bookmarkEnd w:id="46"/>
      <w:bookmarkEnd w:id="47"/>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0" w:after="600"/>
        <w:jc w:val="center"/>
        <w:rPr>
          <w:rFonts w:ascii="Times New Roman" w:hAnsi="Times New Roman"/>
          <w:b/>
          <w:smallCaps/>
          <w:color w:val="000000"/>
          <w:sz w:val="36"/>
        </w:rPr>
      </w:pPr>
      <w:r>
        <w:rPr>
          <w:rFonts w:ascii="Times New Roman" w:hAnsi="Times New Roman"/>
          <w:b/>
          <w:smallCaps/>
          <w:color w:val="000000"/>
          <w:sz w:val="36"/>
        </w:rPr>
        <w:t>Employment Agreement</w:t>
      </w:r>
    </w:p>
    <w:p>
      <w:pPr>
        <w:pStyle w:val="TextBody"/>
        <w:bidi w:val="0"/>
        <w:spacing w:before="0" w:after="240"/>
        <w:jc w:val="both"/>
        <w:rPr>
          <w:rFonts w:ascii="Times New Roman" w:hAnsi="Times New Roman"/>
          <w:sz w:val="20"/>
        </w:rPr>
      </w:pPr>
      <w:r>
        <w:rPr>
          <w:rFonts w:ascii="Times New Roman" w:hAnsi="Times New Roman"/>
          <w:smallCaps/>
          <w:color w:val="000000"/>
          <w:sz w:val="26"/>
        </w:rPr>
        <w:t>This Agreement</w:t>
      </w:r>
      <w:r>
        <w:rPr>
          <w:rFonts w:ascii="Times New Roman" w:hAnsi="Times New Roman"/>
          <w:color w:val="000000"/>
          <w:sz w:val="20"/>
        </w:rPr>
        <w:t xml:space="preserve"> </w:t>
      </w:r>
      <w:r>
        <w:rPr>
          <w:rFonts w:ascii="Times New Roman" w:hAnsi="Times New Roman"/>
          <w:color w:val="000000"/>
          <w:sz w:val="24"/>
        </w:rPr>
        <w:t xml:space="preserve">(the “Agreement”) is entered into as of March 1, 2026 by and between </w:t>
      </w:r>
      <w:r>
        <w:rPr>
          <w:rFonts w:ascii="Times New Roman" w:hAnsi="Times New Roman"/>
          <w:b/>
          <w:smallCaps/>
          <w:color w:val="000000"/>
          <w:sz w:val="26"/>
        </w:rPr>
        <w:t xml:space="preserve">Mohit Kansal </w:t>
      </w:r>
      <w:r>
        <w:rPr>
          <w:rFonts w:ascii="Times New Roman" w:hAnsi="Times New Roman"/>
          <w:color w:val="000000"/>
          <w:sz w:val="24"/>
        </w:rPr>
        <w:t xml:space="preserve">(the “Executive” or “you”) and </w:t>
      </w:r>
      <w:r>
        <w:rPr>
          <w:rFonts w:ascii="Times New Roman" w:hAnsi="Times New Roman"/>
          <w:b/>
          <w:smallCaps/>
          <w:color w:val="000000"/>
          <w:sz w:val="26"/>
        </w:rPr>
        <w:t>Flywire corporation</w:t>
      </w:r>
      <w:r>
        <w:rPr>
          <w:rFonts w:ascii="Times New Roman" w:hAnsi="Times New Roman"/>
          <w:color w:val="000000"/>
          <w:sz w:val="24"/>
        </w:rPr>
        <w:t>, a Delaware corporation (the “Company”), and replaces and supersedes the offer letter between the Executive and peerTransfer Corp. (now the Company), dated January 21, 2016 (the “Prior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rPr>
        <w:t>Duties and Scope of Employment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Position</w:t>
      </w:r>
      <w:r>
        <w:rPr>
          <w:rFonts w:ascii="Times New Roman" w:hAnsi="Times New Roman"/>
          <w:color w:val="000000"/>
          <w:sz w:val="24"/>
        </w:rPr>
        <w:t xml:space="preserve">. For the term of his or her employment under this Agreement (the “Employment”), the Company agrees to employ the Executive in the position of Chief Payments Officer. The Executive shall report to the Chief Executive Officer.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Obligations to the Company</w:t>
      </w:r>
      <w:r>
        <w:rPr>
          <w:rFonts w:ascii="Times New Roman" w:hAnsi="Times New Roman"/>
          <w:color w:val="000000"/>
          <w:sz w:val="24"/>
        </w:rPr>
        <w:t>. During his or her Employment, the Executive (i) shall devote his or her full 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No Conflicting Obligations</w:t>
      </w:r>
      <w:r>
        <w:rPr>
          <w:rFonts w:ascii="Times New Roman" w:hAnsi="Times New Roman"/>
          <w:color w:val="000000"/>
          <w:sz w:val="24"/>
        </w:rPr>
        <w:t xml:space="preserve">. The Executive represents and warrants to the Company that he or she is under no obligations or commitments, whether contractual or otherwise, that are inconsistent with his or her obligations under this Agreement. The Executive represents and warrants that he or she will not use or disclose, in connection with his or her Employment, any trade secrets or other proprietary information or intellectual property in which the Executive or any other person has any right, title or interest and that his Employment will not infringe or violate the rights of any other person.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Certain capitalized terms are defined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rPr>
        <w:t>Cash and Incentive Compensation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Salary</w:t>
      </w:r>
      <w:r>
        <w:rPr>
          <w:rFonts w:ascii="Times New Roman" w:hAnsi="Times New Roman"/>
          <w:color w:val="000000"/>
          <w:sz w:val="24"/>
        </w:rPr>
        <w:t>. The Company shall pay the Executive as compensation for his services a base salary at a gross annual rate of $290,000, which shall be increased to $355,000 effective July 1, 2026. Such salary shall be payable in accordance with the Company’s standard payroll procedures and shall be subject to adjustment pursuant to the Company’s executive compensation policies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Bonus</w:t>
      </w:r>
      <w:r>
        <w:rPr>
          <w:rFonts w:ascii="Times New Roman" w:hAnsi="Times New Roman"/>
          <w:color w:val="000000"/>
          <w:sz w:val="24"/>
        </w:rPr>
        <w:t xml:space="preserve">. You will be eligible for an annual discretionary performance bonus subject to achievement of targets as approved by the Company’s Board of Directors (the “Board”) or its Compensation Committee (the “Committee”). This discretionary target bonus will be $250,000 and any such bonus will be paid in accordance with the Company’s bonus program then in effect. Performance bonus goals and attainment of such goals will be evaluated and approved by the Committee and paid on an annual basis, with such payment, to the extent earned, to be made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within 2 ½ months following the close of the applicable fiscal year, but only if you are still employed by the Company as of the date of payment. The determinations of the Board or Committee with respect to your bonus will be final and binding.</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rPr>
        <w:t>Executive Benefits</w:t>
      </w:r>
      <w:r>
        <w:rPr>
          <w:rFonts w:ascii="Times New Roman" w:hAnsi="Times New Roman"/>
          <w:color w:val="000000"/>
          <w:sz w:val="24"/>
        </w:rPr>
        <w:t xml:space="preserve">. During his or her Employment, the Executive shall be eligible for paid time off in accordance with the Company’s PTO policy, as in effect from time to time. During his or her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rPr>
        <w:t>Term of Employment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Employment at Will</w:t>
      </w:r>
      <w:r>
        <w:rPr>
          <w:rFonts w:ascii="Times New Roman" w:hAnsi="Times New Roman"/>
          <w:color w:val="000000"/>
          <w:sz w:val="24"/>
        </w:rPr>
        <w:t>. The Executive’s Employment with the Company shall be “at will,” meaning that 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or her obligations under Sections 6 and/or 7 below or his or her rights under Section 5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Rights upon Termination</w:t>
      </w:r>
      <w:r>
        <w:rPr>
          <w:rFonts w:ascii="Times New Roman" w:hAnsi="Times New Roman"/>
          <w:color w:val="000000"/>
          <w:sz w:val="24"/>
        </w:rPr>
        <w:t>. Except as expressly provided in Section 5 below, upon the termination of the Executive’s Employment, the Executive shall only be entitled 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rPr>
        <w:t>Termination Benefits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General.</w:t>
      </w:r>
      <w:r>
        <w:rPr>
          <w:color w:val="000000"/>
        </w:rPr>
        <w:t xml:space="preserve"> </w:t>
      </w:r>
      <w:r>
        <w:rPr>
          <w:rFonts w:ascii="Times New Roman" w:hAnsi="Times New Roman"/>
          <w:color w:val="000000"/>
          <w:sz w:val="24"/>
        </w:rPr>
        <w:t xml:space="preserve">If you are subject to an Involuntary Termination, then you will be entitled to the benefits described in Section 5(b) or 5(c), as applicable, below. However, Section 5(b) or 5(c), as applicable, will not apply unless you (i) have returned all Company property in your possession, (ii) have resigned from all positions you hold with the Company, including (if applicable) as a member of the Board and as a member of the board of directors of any subsidiaries of the Company, and (iii) have executed a general release of all claims (with applicable carve-out for continued indemnification pursuant to law, contract or the Company’s bylaws and other customary exceptions at the discretion of the Company)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release on or before the Release Deadline, or if you revoke the release, then you will not be entitled to the benefits described in Section 5(b) or 5(c), as applicable. For avoidance of doubt, severance benefits will be provided pursuant to either, but not both of, Section 5(b) or 5(c) below. All lump sum severance payments and equity acceleration will be paid or provided within 60 days after your Separation or, if later, on the date a Change in Control occurs. Notwithstanding the foregoing, if the 60 day period described in the preceding sentence spans calendar years, then payment will in any event be made in the second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Involuntary Termination Not Involving a Change in Control</w:t>
      </w:r>
      <w:r>
        <w:rPr>
          <w:rFonts w:ascii="Times New Roman" w:hAnsi="Times New Roman"/>
          <w:color w:val="000000"/>
          <w:sz w:val="24"/>
        </w:rPr>
        <w:t>. If you are subject to an Involuntary Termination at any time other than during a Change in Control Window and you satisfy the conditions described in Section 5(a) above, then you will be entitled to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lump-sum cash severance payment equal to 0.75 times the sum of your Base Salary and Target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Involuntary Termination occurs after the end of a fiscal year, but prior to payment of bonuses for such fiscal year, a lump sum payment equal to any accrued and unpaid bonus for the prior fiscal year (the “Accrued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elect to continue your health insurance coverage under the Consolidated Omnibus Budget Reconciliation Act (“COBRA”) following your Separation, then the Company will pay your monthly premium under COBRA, which is understood to potentially be higher than said premium for active employees, for the nine (9) months following your Separation;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outstanding equity award that you hold as of the Involuntary Termination and that is subject to time-based vesting will accelerate and become vested and, if applicable, exercisable with respect the number of shares that would have vested if you had completed an additional nine (9) months of service with the Company. Any equity awards that are subject to unsatisfied performance conditions will not be eligible for acceleration pursuant to this clause (iv) and will be treated as described in the applicable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Involuntary Termination Involving a Change in Control</w:t>
      </w:r>
      <w:r>
        <w:rPr>
          <w:rFonts w:ascii="Times New Roman" w:hAnsi="Times New Roman"/>
          <w:color w:val="000000"/>
          <w:sz w:val="24"/>
        </w:rPr>
        <w:t>. If you are subject to an Involuntary Termination during a Change in Control Window and you satisfy the conditions described in Section 5(a) above, then you will be entitled to the following severance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lump-sum cash severance payment equal to one (1) times the sum of your Base Salary and Target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Accrued Bonus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you elect to continue your health insurance coverage under COBRA following your Separation, then the Company will pay your monthly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premium under COBRA, which is understood to potentially be higher than said premium for active employees, for the twelve (12) months following your Separation;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one hundred percent (100%) of the unvested portion of each outstanding equity award that you hold as of the Involuntary Termination and that is subject to time-based vesting will vest and, if applicable, become exercisable. Any equity awards that are subject to unsatisfied performance conditions will not be eligible for acceleration pursuant to this clause (iv) and will be treated as described in the applicable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avoidance of doubt, if you are subject to an Involuntary Termination that occurs during a Change in Control Window and such Involuntary Termination occurs prior to a Change in Control, the portion of your then-outstanding and unvested equity awards that is eligible to vest and become exercisable pursuant to clause (iv) above will remain outstanding post-termination so that any additional benefits due pursuant to clause (iv) may be provided if a Change in Control occurs during the Change in Control Window, provided that in no event will any of your stock options remain outstanding beyond the option’s maximum term to expiration. If a Change in Control does not occur during the Change in Control Window, any unvested portion of your equity awards that remained outstanding following your Involuntary Termination will immediately and automatically be forfeited on the date that such awards are no longer eligible for acceleration pursuant to clause (iv) above.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Accrued Rights.</w:t>
      </w:r>
      <w:r>
        <w:rPr>
          <w:color w:val="000000"/>
        </w:rPr>
        <w:t xml:space="preserve"> </w:t>
      </w:r>
      <w:r>
        <w:rPr>
          <w:rFonts w:ascii="Times New Roman" w:hAnsi="Times New Roman"/>
          <w:color w:val="000000"/>
          <w:sz w:val="24"/>
        </w:rPr>
        <w:t>You will be entitled to receive the following upon termination of employment for any 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rPr>
        <w:t>Documents and Company Property.</w:t>
      </w:r>
      <w:r>
        <w:rPr>
          <w:color w:val="000000"/>
        </w:rPr>
        <w:t xml:space="preserve"> </w:t>
      </w:r>
      <w:r>
        <w:rPr>
          <w:rFonts w:ascii="Times New Roman" w:hAnsi="Times New Roman"/>
          <w:color w:val="000000"/>
          <w:sz w:val="24"/>
        </w:rPr>
        <w:t xml:space="preserve">The Executive is prohibited from keeping in his or her possession in any way any 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or her work for the Company. In any event, the Executive is obliged to immediately hand over such documents and other goods made available to him at the end of this Agreement or upon suspension of his or her active duties for any reason other than documents relating to his own employment and compensation.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rPr>
        <w:t xml:space="preserve">Proprietary Information and Inventions Agreement. </w:t>
      </w:r>
      <w:r>
        <w:rPr>
          <w:rFonts w:ascii="Times New Roman" w:hAnsi="Times New Roman"/>
          <w:color w:val="000000"/>
          <w:sz w:val="24"/>
        </w:rPr>
        <w:t xml:space="preserve">You will also be required to sign a Proprietary Rights, Non-Disclosure, Developments, Non-Competition, and Non-Solicitation Agreement in the form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 “PIIA”), which replaces and supersedes the Employee Invention Assignment and Confidentiality Agreement dated April 12, 2016</w:t>
      </w:r>
      <w:r>
        <w:rPr>
          <w:rFonts w:ascii="Times New Roman" w:hAnsi="Times New Roman"/>
          <w:b/>
          <w:color w:val="000000"/>
          <w:sz w:val="24"/>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rPr>
        <w:t>Reimbursement of Expenses.</w:t>
      </w:r>
      <w:r>
        <w:rPr>
          <w:color w:val="000000"/>
        </w:rPr>
        <w:t xml:space="preserve"> </w:t>
      </w:r>
      <w:r>
        <w:rPr>
          <w:rFonts w:ascii="Times New Roman" w:hAnsi="Times New Roman"/>
          <w:color w:val="000000"/>
          <w:sz w:val="24"/>
        </w:rPr>
        <w:t>The Company will reimburse business expenses reasonably incurred in the performance of your duties in accordance with the Company’s standard practice and expense scheme in place at the time (generally within 30 days after you have submitted appropriate documentation, which you must do within 30 days after incurring the expense) and, in any case, on or before the last day of the calendar year following the calendar year in which the relevant expense is incurred. The Company will reimburse reasonable costs of the professional use of your (mobile) telephone.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rPr>
        <w:t>Successors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Company’s Successors</w:t>
      </w:r>
      <w:r>
        <w:rPr>
          <w:rFonts w:ascii="Times New Roman" w:hAnsi="Times New Roman"/>
          <w:color w:val="000000"/>
          <w:sz w:val="24"/>
        </w:rPr>
        <w:t>. This Agreement shall be binding upon any successor (whether direct or 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Executive’s Successors</w:t>
      </w:r>
      <w:r>
        <w:rPr>
          <w:rFonts w:ascii="Times New Roman" w:hAnsi="Times New Roman"/>
          <w:color w:val="000000"/>
          <w:sz w:val="24"/>
        </w:rPr>
        <w:t>. This Agreement and all rights of the Executive hereunder shall inure to the benefit of, and be enforceable by, the Executive’s personal or legal representatives, executors, administrators, successors, heirs, distributees, devisees and legatees.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rPr>
        <w:t>Indemnification</w:t>
      </w:r>
      <w:r>
        <w:rPr>
          <w:rFonts w:ascii="Times New Roman" w:hAnsi="Times New Roman"/>
          <w:color w:val="000000"/>
          <w:sz w:val="24"/>
        </w:rPr>
        <w:t xml:space="preserve">. As an officer of the Company, you are entitled to indemnification by the Company pursuant to the Company’s standard form of Indemnification Agreement, the form of which is attached hereto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 xml:space="preserve">(the “Indemnification Agreement”). The Company’s indemnification obligation shall survive any termination of your employment.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The following terms shall have the meaning set forth below wherever they are used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Base Salary</w:t>
      </w:r>
      <w:r>
        <w:rPr>
          <w:rFonts w:ascii="Times New Roman" w:hAnsi="Times New Roman"/>
          <w:color w:val="000000"/>
          <w:sz w:val="24"/>
        </w:rPr>
        <w:t>. The term “</w:t>
      </w:r>
      <w:r>
        <w:rPr>
          <w:rFonts w:ascii="Times New Roman" w:hAnsi="Times New Roman"/>
          <w:b/>
          <w:color w:val="000000"/>
          <w:sz w:val="24"/>
        </w:rPr>
        <w:t>Base Salary</w:t>
      </w:r>
      <w:r>
        <w:rPr>
          <w:color w:val="000000"/>
        </w:rPr>
        <w:t xml:space="preserve">” </w:t>
      </w:r>
      <w:r>
        <w:rPr>
          <w:rFonts w:ascii="Times New Roman" w:hAnsi="Times New Roman"/>
          <w:color w:val="000000"/>
          <w:sz w:val="24"/>
        </w:rPr>
        <w:t>shall mean the Executive’s annual base salary, as it may be adjusted from time to time. For purposes of Sections 5(b) and (c), “</w:t>
      </w:r>
      <w:r>
        <w:rPr>
          <w:rFonts w:ascii="Times New Roman" w:hAnsi="Times New Roman"/>
          <w:b/>
          <w:color w:val="000000"/>
          <w:sz w:val="24"/>
        </w:rPr>
        <w:t>Base Salary</w:t>
      </w:r>
      <w:r>
        <w:rPr>
          <w:color w:val="000000"/>
        </w:rPr>
        <w:t xml:space="preserve">” </w:t>
      </w:r>
      <w:r>
        <w:rPr>
          <w:rFonts w:ascii="Times New Roman" w:hAnsi="Times New Roman"/>
          <w:color w:val="000000"/>
          <w:sz w:val="24"/>
        </w:rPr>
        <w:t>shall mean Executive’s annual base salary as in effect immediately prior to an Involuntary Termination, determined without regard to any reduction that constitutes grounds for a Resignation for Good Reason.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Cause</w:t>
      </w:r>
      <w:r>
        <w:rPr>
          <w:rFonts w:ascii="Times New Roman" w:hAnsi="Times New Roman"/>
          <w:color w:val="000000"/>
          <w:sz w:val="24"/>
        </w:rPr>
        <w:t>. The term “</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shall mean: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 a material failure by you to comply with the Company’s written policies or rules after being provided written notice and 30 days’ opportunity to cure;</w:t>
      </w:r>
    </w:p>
    <w:p>
      <w:pPr>
        <w:pStyle w:val="TextBody"/>
        <w:bidi w:val="0"/>
        <w:spacing w:before="0" w:after="120"/>
        <w:jc w:val="both"/>
        <w:rPr>
          <w:rFonts w:ascii="Times New Roman" w:hAnsi="Times New Roman"/>
          <w:sz w:val="20"/>
        </w:rPr>
      </w:pPr>
      <w:r>
        <w:rPr>
          <w:rFonts w:ascii="Times New Roman" w:hAnsi="Times New Roman"/>
          <w:color w:val="000000"/>
          <w:sz w:val="24"/>
        </w:rPr>
        <w:t>(ii) your conviction of, or plea of “guilty” or “no contest” to, a crime involving moral turpitude, deceit, dishonesty or fraud that has caused harm to the Company or any affiliate of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(iii) your willful and continued failure to substantially perform (other than by reason of Disability) your duties and responsibilities assigned or delegated after receiving written notification of such failure from the Company and 30 days’ opportunity to cure;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(iv) any intentional act of dishonesty, deceit, fraud, moral turpitude, misconduct, breach of trust or acts intentionally against the financial or business interests of the Company by you, or your use or possession of illegal drugs in the workplace;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(v) the material breach by you of any of your obligations under any agreement between you and the Company after being provided written notice and 30 days’ opportunity to cure; or</w:t>
      </w:r>
    </w:p>
    <w:p>
      <w:pPr>
        <w:pStyle w:val="TextBody"/>
        <w:bidi w:val="0"/>
        <w:spacing w:before="0" w:after="120"/>
        <w:jc w:val="both"/>
        <w:rPr>
          <w:rFonts w:ascii="Times New Roman" w:hAnsi="Times New Roman"/>
          <w:sz w:val="20"/>
        </w:rPr>
      </w:pPr>
      <w:r>
        <w:rPr>
          <w:rFonts w:ascii="Times New Roman" w:hAnsi="Times New Roman"/>
          <w:color w:val="000000"/>
          <w:sz w:val="24"/>
        </w:rPr>
        <w:t>(vi) your failure to cooperate in good faith with a governmental or internal investigation of the Company or its directors, officers or employees, if the Company has requested your cooperation</w:t>
      </w:r>
      <w:r>
        <w:rPr>
          <w:rFonts w:ascii="Times New Roman" w:hAnsi="Times New Roman"/>
          <w:b/>
          <w:color w:val="000000"/>
          <w:sz w:val="24"/>
        </w:rPr>
        <w: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Change in Control</w:t>
      </w:r>
      <w:r>
        <w:rPr>
          <w:rFonts w:ascii="Times New Roman" w:hAnsi="Times New Roman"/>
          <w:color w:val="000000"/>
          <w:sz w:val="24"/>
        </w:rPr>
        <w:t>. The term “</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shall mean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 other disposition of all or substantially all of the Company’s assets. In the case of any severance payment or benefit that is subject to Section 409A of the Code, a Change in Control must also constitute a “change in control event,” as defined in Treasury Regulation Section 1.409A-3(i)(5), but only to the extent necessary to avoid the imposition of penalty taxes pursuant to Code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Change in Control Window</w:t>
      </w:r>
      <w:r>
        <w:rPr>
          <w:rFonts w:ascii="Times New Roman" w:hAnsi="Times New Roman"/>
          <w:color w:val="000000"/>
          <w:sz w:val="24"/>
        </w:rPr>
        <w:t>. The term “</w:t>
      </w:r>
      <w:r>
        <w:rPr>
          <w:rFonts w:ascii="Times New Roman" w:hAnsi="Times New Roman"/>
          <w:b/>
          <w:color w:val="000000"/>
          <w:sz w:val="24"/>
        </w:rPr>
        <w:t>Change in Control Window</w:t>
      </w:r>
      <w:r>
        <w:rPr>
          <w:color w:val="000000"/>
        </w:rPr>
        <w:t xml:space="preserve">” </w:t>
      </w:r>
      <w:r>
        <w:rPr>
          <w:rFonts w:ascii="Times New Roman" w:hAnsi="Times New Roman"/>
          <w:color w:val="000000"/>
          <w:sz w:val="24"/>
        </w:rPr>
        <w:t>shall mean the period beginning three (3) months prior to a Change in Control (if any) and ending twelve months after such Change in Control. In addition, the “</w:t>
      </w:r>
      <w:r>
        <w:rPr>
          <w:rFonts w:ascii="Times New Roman" w:hAnsi="Times New Roman"/>
          <w:b/>
          <w:color w:val="000000"/>
          <w:sz w:val="24"/>
        </w:rPr>
        <w:t>Change in Control Window</w:t>
      </w:r>
      <w:r>
        <w:rPr>
          <w:color w:val="000000"/>
        </w:rPr>
        <w:t xml:space="preserve">” </w:t>
      </w:r>
      <w:r>
        <w:rPr>
          <w:rFonts w:ascii="Times New Roman" w:hAnsi="Times New Roman"/>
          <w:color w:val="000000"/>
          <w:sz w:val="24"/>
        </w:rPr>
        <w:t>shall also include such longer period (if any) beginning on the date that a definitive agreement for a Change in Control is executed, but only if such Change in Control is consummated.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Code</w:t>
      </w:r>
      <w:r>
        <w:rPr>
          <w:rFonts w:ascii="Times New Roman" w:hAnsi="Times New Roman"/>
          <w:color w:val="000000"/>
          <w:sz w:val="24"/>
        </w:rPr>
        <w:t>. The term “</w:t>
      </w:r>
      <w:r>
        <w:rPr>
          <w:rFonts w:ascii="Times New Roman" w:hAnsi="Times New Roman"/>
          <w:b/>
          <w:color w:val="000000"/>
          <w:sz w:val="24"/>
        </w:rPr>
        <w:t>Code</w:t>
      </w:r>
      <w:r>
        <w:rPr>
          <w:color w:val="000000"/>
        </w:rPr>
        <w:t xml:space="preserve">” </w:t>
      </w:r>
      <w:r>
        <w:rPr>
          <w:rFonts w:ascii="Times New Roman" w:hAnsi="Times New Roman"/>
          <w:color w:val="000000"/>
          <w:sz w:val="24"/>
        </w:rPr>
        <w:t>shall mean the Internal Revenue Code of 1986,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Disability</w:t>
      </w:r>
      <w:r>
        <w:rPr>
          <w:rFonts w:ascii="Times New Roman" w:hAnsi="Times New Roman"/>
          <w:color w:val="000000"/>
          <w:sz w:val="24"/>
        </w:rPr>
        <w:t>. The term “</w:t>
      </w:r>
      <w:r>
        <w:rPr>
          <w:rFonts w:ascii="Times New Roman" w:hAnsi="Times New Roman"/>
          <w:b/>
          <w:color w:val="000000"/>
          <w:sz w:val="24"/>
        </w:rPr>
        <w:t>Disability</w:t>
      </w:r>
      <w:r>
        <w:rPr>
          <w:color w:val="000000"/>
        </w:rPr>
        <w:t xml:space="preserve">” </w:t>
      </w:r>
      <w:r>
        <w:rPr>
          <w:rFonts w:ascii="Times New Roman" w:hAnsi="Times New Roman"/>
          <w:color w:val="000000"/>
          <w:sz w:val="24"/>
        </w:rPr>
        <w:t>shall mean that the Executive is unable to engage in any substantial gainful activity as required to perform his or her material duties (with reasonable accommodation) by reason of any medically determinable physical or mental impairment which can be expected to result in death or to last for a continuous period of not less than twelve months.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Involuntary Termination</w:t>
      </w:r>
      <w:r>
        <w:rPr>
          <w:rFonts w:ascii="Times New Roman" w:hAnsi="Times New Roman"/>
          <w:color w:val="000000"/>
          <w:sz w:val="24"/>
        </w:rPr>
        <w:t>. The term “</w:t>
      </w:r>
      <w:r>
        <w:rPr>
          <w:rFonts w:ascii="Times New Roman" w:hAnsi="Times New Roman"/>
          <w:b/>
          <w:color w:val="000000"/>
          <w:sz w:val="24"/>
        </w:rPr>
        <w:t>Involuntary Termination</w:t>
      </w:r>
      <w:r>
        <w:rPr>
          <w:color w:val="000000"/>
        </w:rPr>
        <w:t xml:space="preserve">” </w:t>
      </w:r>
      <w:r>
        <w:rPr>
          <w:rFonts w:ascii="Times New Roman" w:hAnsi="Times New Roman"/>
          <w:color w:val="000000"/>
          <w:sz w:val="24"/>
        </w:rPr>
        <w:t>shall mean either the Executive’s (i) Termination Without Cause or (ii) Resignation for Good Reason. For avoidance of doubt, Executive’s Separation due to Executive’s death or Disability shall not constitute an Involuntary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Resignation for Good Reason</w:t>
      </w:r>
      <w:r>
        <w:rPr>
          <w:rFonts w:ascii="Times New Roman" w:hAnsi="Times New Roman"/>
          <w:color w:val="000000"/>
          <w:sz w:val="24"/>
        </w:rPr>
        <w:t>. The term “</w:t>
      </w:r>
      <w:r>
        <w:rPr>
          <w:rFonts w:ascii="Times New Roman" w:hAnsi="Times New Roman"/>
          <w:b/>
          <w:color w:val="000000"/>
          <w:sz w:val="24"/>
        </w:rPr>
        <w:t>Resignation for Good Reason</w:t>
      </w:r>
      <w:r>
        <w:rPr>
          <w:color w:val="000000"/>
        </w:rPr>
        <w:t xml:space="preserve">” </w:t>
      </w:r>
      <w:r>
        <w:rPr>
          <w:rFonts w:ascii="Times New Roman" w:hAnsi="Times New Roman"/>
          <w:color w:val="000000"/>
          <w:sz w:val="24"/>
        </w:rPr>
        <w:t>means a Separation as a result of the Executive’s resignation within 12 months after one of the following conditions has come into existence without the Executive’s written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material diminution in your compensation (consisting of base salary, target bonus opportunity and target annual equity value and excluding any special, one-time, new hire, promotion or other exceptional equity awards), except for across-the-board reductions, outside of Change in Control Window, affecting the Company’s similarly situated employees generally;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material diminution in your title, duties, authority and responsibilities within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relocation of your principal workplace by more than fifty (50) miles away from the location which you were working immediately prior to the required relocation without your prior consent;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material breach of the Company’s obligation under any agreement between the Company and you.</w:t>
      </w:r>
    </w:p>
    <w:p>
      <w:pPr>
        <w:pStyle w:val="TextBody"/>
        <w:bidi w:val="0"/>
        <w:spacing w:before="0" w:after="240"/>
        <w:jc w:val="both"/>
        <w:rPr>
          <w:rFonts w:ascii="Times New Roman" w:hAnsi="Times New Roman"/>
          <w:sz w:val="20"/>
        </w:rPr>
      </w:pPr>
      <w:r>
        <w:rPr>
          <w:rFonts w:ascii="Times New Roman" w:hAnsi="Times New Roman"/>
          <w:color w:val="000000"/>
          <w:sz w:val="24"/>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Separation</w:t>
      </w:r>
      <w:r>
        <w:rPr>
          <w:rFonts w:ascii="Times New Roman" w:hAnsi="Times New Roman"/>
          <w:color w:val="000000"/>
          <w:sz w:val="24"/>
        </w:rPr>
        <w:t>. The term “Separation” shall mean a “separation from service,” as defined in the regulations under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Target Bonus</w:t>
      </w:r>
      <w:r>
        <w:rPr>
          <w:rFonts w:ascii="Times New Roman" w:hAnsi="Times New Roman"/>
          <w:color w:val="000000"/>
          <w:sz w:val="24"/>
        </w:rPr>
        <w:t>. The term “Target Bonus” shall mean Executive’s annual target bonus opportunity, as may be adjusted from time to time. For purposes of Sections 5(b) and (c), “Target Bonus” shall mean Executive’s annual target bonus opportunity as in effect immediately prior to an Involuntary Termination, determined without regard to any reduction that constitutes grounds for a Resignation for Good Reason.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4"/>
        </w:rPr>
        <w:t>Termination Without Cause</w:t>
      </w:r>
      <w:r>
        <w:rPr>
          <w:rFonts w:ascii="Times New Roman" w:hAnsi="Times New Roman"/>
          <w:color w:val="000000"/>
          <w:sz w:val="24"/>
        </w:rPr>
        <w:t>. The term “Termination without Cause” means a Separation as a result of a termination of the Executive’s employment by the Company without Cause and other than as a result of Disability.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b/>
          <w:color w:val="000000"/>
          <w:sz w:val="24"/>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xml:space="preserve">. Notices and all other communications contemplated by this Agreement shall be in writing and shall be deemed to have been duly given when personally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Modifications and Waivers</w:t>
      </w:r>
      <w:r>
        <w:rPr>
          <w:rFonts w:ascii="Times New Roman" w:hAnsi="Times New Roman"/>
          <w:color w:val="000000"/>
          <w:sz w:val="24"/>
        </w:rPr>
        <w:t>.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Whole Agreement</w:t>
      </w:r>
      <w:r>
        <w:rPr>
          <w:rFonts w:ascii="Times New Roman" w:hAnsi="Times New Roman"/>
          <w:color w:val="000000"/>
          <w:sz w:val="24"/>
        </w:rPr>
        <w:t>. This Agreement supersedes and replaces any prior agreements, including without limitation, the Prior Agreement, representations or understandings (whether written, oral, implied or otherwise) between the Executive and the Company and constitute the complete agreement between the Executive and the Company regarding the subject matter set forth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Tax Matters</w:t>
      </w:r>
      <w:r>
        <w:rPr>
          <w:rFonts w:ascii="Times New Roman" w:hAnsi="Times New Roman"/>
          <w:color w:val="000000"/>
          <w:sz w:val="24"/>
        </w:rPr>
        <w:t>. All payments made under this Agreement shall be subject to reduction to reflect taxes or other charges required to be withheld by law. The Company intends that all payments and benefits provided under this Agreement or otherwise are exempt from, or comply with, with the requirements of Code Section 409A so that none of the payments or benefits will be subject to the additional tax imposed under Code Section 409A, and any ambiguities herein will be interpreted in accordance with such intent. For purposes of Code Section 409A, each payment, installment or benefit payable under this Agreement is hereby designated as a separate payment. In addition, if the Company determines that you are a “specified employee” under Code Section 409A(a)(2)(B)(i) at the time of your Separation, then (i) any severance payments or benefits, to the extent that they are subject to Code Section 409A,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 xml:space="preserve">280G. Parachute Payments. </w:t>
      </w:r>
      <w:r>
        <w:rPr>
          <w:rFonts w:ascii="Times New Roman" w:hAnsi="Times New Roman"/>
          <w:color w:val="000000"/>
          <w:sz w:val="24"/>
        </w:rPr>
        <w:t xml:space="preserve">If any payment or benefit that you would receive in connection with a 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 xml:space="preserve">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hAnsi="Times New Roman"/>
          <w:i/>
          <w:color w:val="000000"/>
          <w:sz w:val="24"/>
        </w:rPr>
        <w:t>pro rata</w:t>
      </w:r>
      <w:r>
        <w:rPr>
          <w:color w:val="000000"/>
        </w:rPr>
        <w:t xml:space="preserve"> </w:t>
      </w:r>
      <w:r>
        <w:rPr>
          <w:rFonts w:ascii="Times New Roman" w:hAnsi="Times New Roman"/>
          <w:color w:val="000000"/>
          <w:sz w:val="24"/>
        </w:rPr>
        <w:t xml:space="preserve">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hAnsi="Times New Roman"/>
          <w:i/>
          <w:color w:val="000000"/>
          <w:sz w:val="24"/>
        </w:rPr>
        <w:t>pro rata</w:t>
      </w:r>
      <w:r>
        <w:rPr>
          <w:color w:val="000000"/>
        </w:rPr>
        <w:t xml:space="preserve"> </w:t>
      </w:r>
      <w:r>
        <w:rPr>
          <w:rFonts w:ascii="Times New Roman" w:hAnsi="Times New Roman"/>
          <w:color w:val="000000"/>
          <w:sz w:val="24"/>
        </w:rPr>
        <w:t>basis, to any other remaining payments, first with respect to amounts payable in cash before being made in respect to any payments to be provided in the form of benefits or equity award acceleration, and in the form of benefits before being made with respect to equity award acceleration</w:t>
      </w:r>
      <w:r>
        <w:rPr>
          <w:rFonts w:ascii="Times New Roman" w:hAnsi="Times New Roman"/>
          <w:i/>
          <w:color w:val="000000"/>
          <w:sz w:val="24"/>
        </w:rPr>
        <w:t>.</w:t>
      </w:r>
      <w:r>
        <w:rPr>
          <w:color w:val="000000"/>
        </w:rPr>
        <w:t xml:space="preserve"> </w:t>
      </w:r>
      <w:r>
        <w:rPr>
          <w:rFonts w:ascii="Times New Roman" w:hAnsi="Times New Roman"/>
          <w:color w:val="000000"/>
          <w:sz w:val="24"/>
        </w:rPr>
        <w:t>The Company’s determinations hereunder shall be final, binding and conclusive on all interested parties.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 xml:space="preserve">Arbitration. </w:t>
      </w:r>
      <w:r>
        <w:rPr>
          <w:rFonts w:ascii="Times New Roman" w:hAnsi="Times New Roman"/>
          <w:color w:val="000000"/>
          <w:sz w:val="24"/>
        </w:rPr>
        <w:t xml:space="preserve">Any controversy or claim arising out of this Agreement and any and all claims relating to 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Proprietary Information and Inventions Agreement between you and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Choice of Law and Severability</w:t>
      </w:r>
      <w:r>
        <w:rPr>
          <w:rFonts w:ascii="Times New Roman" w:hAnsi="Times New Roman"/>
          <w:color w:val="000000"/>
          <w:sz w:val="24"/>
        </w:rPr>
        <w:t>. This Agreement shall be interpreted in accordance with the laws of the 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No Assignment</w:t>
      </w:r>
      <w:r>
        <w:rPr>
          <w:rFonts w:ascii="Times New Roman" w:hAnsi="Times New Roman"/>
          <w:color w:val="000000"/>
          <w:sz w:val="24"/>
        </w:rPr>
        <w:t>. This Agreement and all rights and obligations of the Executive hereunder are 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pStyle w:val="TextBody"/>
        <w:bidi w:val="0"/>
        <w:spacing w:before="0" w:after="48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480"/>
        <w:jc w:val="both"/>
        <w:rPr/>
      </w:pPr>
      <w:r>
        <w:rPr>
          <w:rFonts w:ascii="Times New Roman" w:hAnsi="Times New Roman"/>
          <w:b/>
          <w:color w:val="000000"/>
          <w:sz w:val="24"/>
        </w:rPr>
        <w:t>Counterparts</w:t>
      </w:r>
      <w:r>
        <w:rPr>
          <w:rFonts w:ascii="Times New Roman" w:hAnsi="Times New Roman"/>
          <w:color w:val="000000"/>
          <w:sz w:val="24"/>
        </w:rPr>
        <w:t>. This Agreement may be executed in two or more counterparts, each of which shall be deemed an original, but all of which together shall constitute one and the same instrument.</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Signatures on following page</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each of the parties has executed this Agreement, in the case of the Company by its duly authorized officer, as of the day and year first above written.</w:t>
        <w:br/>
      </w:r>
      <w:r>
        <w:rPr>
          <w:rFonts w:ascii="Times New Roman" w:hAnsi="Times New Roman"/>
          <w:color w:val="000000"/>
          <w:sz w:val="20"/>
        </w:rPr>
        <w:t> </w:t>
      </w:r>
    </w:p>
    <w:p>
      <w:pPr>
        <w:pStyle w:val="TextBody"/>
        <w:bidi w:val="0"/>
        <w:spacing w:before="0" w:after="240"/>
        <w:jc w:val="center"/>
        <w:rPr>
          <w:rFonts w:ascii="Times New Roman" w:hAnsi="Times New Roman"/>
          <w:sz w:val="20"/>
        </w:rPr>
      </w:pPr>
      <w:r>
        <w:rPr>
          <w:rFonts w:ascii="Times New Roman" w:hAnsi="Times New Roman"/>
          <w:b/>
          <w:smallCaps/>
          <w:color w:val="000000"/>
          <w:sz w:val="28"/>
        </w:rPr>
        <w:t>flywire corporation</w:t>
        <w:br/>
      </w:r>
      <w:r>
        <w:rPr>
          <w:rFonts w:ascii="Times New Roman" w:hAnsi="Times New Roman"/>
          <w:smallCaps/>
          <w:color w:val="000000"/>
          <w:sz w:val="20"/>
        </w:rPr>
        <w:t> </w:t>
      </w:r>
    </w:p>
    <w:p>
      <w:pPr>
        <w:pStyle w:val="TextBody"/>
        <w:bidi w:val="0"/>
        <w:spacing w:before="0" w:after="120"/>
        <w:jc w:val="center"/>
        <w:rPr>
          <w:rFonts w:ascii="Times New Roman" w:hAnsi="Times New Roman"/>
          <w:sz w:val="20"/>
        </w:rPr>
      </w:pPr>
      <w:r>
        <w:rPr>
          <w:rFonts w:ascii="Times New Roman" w:hAnsi="Times New Roman"/>
          <w:color w:val="000000"/>
          <w:sz w:val="24"/>
        </w:rPr>
        <w:t xml:space="preserve">Signature: </w:t>
      </w:r>
      <w:r>
        <w:rPr>
          <w:rFonts w:ascii="Times New Roman" w:hAnsi="Times New Roman"/>
          <w:color w:val="000000"/>
          <w:sz w:val="24"/>
          <w:u w:val="single"/>
        </w:rPr>
        <w:t>/s/ Michael Massaro</w:t>
      </w:r>
      <w:r>
        <w:rPr>
          <w:rFonts w:ascii="Times New Roman" w:hAnsi="Times New Roman"/>
          <w:color w:val="000000"/>
          <w:sz w:val="20"/>
        </w:rPr>
        <w:t xml:space="preserve"> </w:t>
      </w:r>
    </w:p>
    <w:p>
      <w:pPr>
        <w:pStyle w:val="TextBody"/>
        <w:bidi w:val="0"/>
        <w:spacing w:before="0" w:after="12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120"/>
        <w:jc w:val="center"/>
        <w:rPr/>
      </w:pPr>
      <w:r>
        <w:rPr/>
        <w:t>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Date: March 1, 2026</w:t>
      </w:r>
    </w:p>
    <w:p>
      <w:pPr>
        <w:pStyle w:val="TextBody"/>
        <w:bidi w:val="0"/>
        <w:spacing w:before="0" w:after="600"/>
        <w:jc w:val="center"/>
        <w:rPr/>
      </w:pPr>
      <w:r>
        <w:rPr/>
        <w:t> </w:t>
      </w:r>
    </w:p>
    <w:p>
      <w:pPr>
        <w:pStyle w:val="TextBody"/>
        <w:bidi w:val="0"/>
        <w:spacing w:before="0" w:after="600"/>
        <w:jc w:val="center"/>
        <w:rPr>
          <w:rFonts w:ascii="Times New Roman" w:hAnsi="Times New Roman"/>
          <w:sz w:val="20"/>
        </w:rPr>
      </w:pPr>
      <w:r>
        <w:rPr>
          <w:rFonts w:ascii="Times New Roman" w:hAnsi="Times New Roman"/>
          <w:b/>
          <w:smallCaps/>
          <w:color w:val="000000"/>
          <w:sz w:val="28"/>
        </w:rPr>
        <w:t>Executive</w:t>
        <w:br/>
      </w:r>
      <w:r>
        <w:rPr>
          <w:rFonts w:ascii="Times New Roman" w:hAnsi="Times New Roman"/>
          <w:smallCaps/>
          <w:color w:val="000000"/>
          <w:sz w:val="20"/>
        </w:rPr>
        <w:t> </w:t>
      </w:r>
    </w:p>
    <w:p>
      <w:pPr>
        <w:pStyle w:val="TextBody"/>
        <w:bidi w:val="0"/>
        <w:spacing w:before="0" w:after="600"/>
        <w:jc w:val="center"/>
        <w:rPr>
          <w:rFonts w:ascii="Times New Roman" w:hAnsi="Times New Roman"/>
          <w:sz w:val="20"/>
        </w:rPr>
      </w:pPr>
      <w:r>
        <w:rPr>
          <w:rFonts w:ascii="Times New Roman" w:hAnsi="Times New Roman"/>
          <w:color w:val="000000"/>
          <w:sz w:val="24"/>
          <w:u w:val="single"/>
        </w:rPr>
        <w:t xml:space="preserve">/s/ Mohit Kansal </w:t>
        <w:br/>
      </w:r>
      <w:r>
        <w:rPr>
          <w:rFonts w:ascii="Times New Roman" w:hAnsi="Times New Roman"/>
          <w:color w:val="000000"/>
          <w:sz w:val="24"/>
        </w:rPr>
        <w:t>Mohit Kansal</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Date: March 1, 2026</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8" w:name="flyw-ex31_1.htm"/>
      <w:bookmarkStart w:id="49" w:name="ksflywex31_1"/>
      <w:bookmarkEnd w:id="48"/>
      <w:bookmarkEnd w:id="49"/>
      <w:r>
        <w:rPr>
          <w:rFonts w:ascii="Arial" w:hAnsi="Arial"/>
          <w:b/>
          <w:color w:val="000000"/>
          <w:sz w:val="20"/>
        </w:rPr>
        <w:t>Exhibit 31.1</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Michael Massaro,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quarterly report on Form 10-Q for the quarter ended June 30, 2026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284" w:type="dxa"/>
        <w:jc w:val="left"/>
        <w:tblInd w:w="0" w:type="dxa"/>
        <w:tblLayout w:type="fixed"/>
        <w:tblCellMar>
          <w:top w:w="28" w:type="dxa"/>
          <w:left w:w="28" w:type="dxa"/>
          <w:bottom w:w="28" w:type="dxa"/>
          <w:right w:w="28" w:type="dxa"/>
        </w:tblCellMar>
      </w:tblPr>
      <w:tblGrid>
        <w:gridCol w:w="2206"/>
        <w:gridCol w:w="146"/>
        <w:gridCol w:w="466"/>
        <w:gridCol w:w="34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0" w:name="flyw-ex31_2.htm"/>
      <w:bookmarkStart w:id="51" w:name="ksflywex31_2"/>
      <w:bookmarkEnd w:id="50"/>
      <w:bookmarkEnd w:id="51"/>
      <w:r>
        <w:rPr>
          <w:rFonts w:ascii="Arial" w:hAnsi="Arial"/>
          <w:b/>
          <w:color w:val="000000"/>
          <w:sz w:val="20"/>
        </w:rPr>
        <w:t>Exhibit 31.2</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Cosmin Pitigoi,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quarterly report on Form 10-Q for the quarter ended June 30, 2026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7049" w:type="dxa"/>
        <w:jc w:val="left"/>
        <w:tblInd w:w="0" w:type="dxa"/>
        <w:tblLayout w:type="fixed"/>
        <w:tblCellMar>
          <w:top w:w="28" w:type="dxa"/>
          <w:left w:w="28" w:type="dxa"/>
          <w:bottom w:w="28" w:type="dxa"/>
          <w:right w:w="28" w:type="dxa"/>
        </w:tblCellMar>
      </w:tblPr>
      <w:tblGrid>
        <w:gridCol w:w="2206"/>
        <w:gridCol w:w="146"/>
        <w:gridCol w:w="466"/>
        <w:gridCol w:w="423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2" w:name="flyw-ex32_1.htm"/>
      <w:bookmarkStart w:id="53" w:name="ksflywex32_1"/>
      <w:bookmarkEnd w:id="52"/>
      <w:bookmarkEnd w:id="53"/>
      <w:r>
        <w:rPr>
          <w:rFonts w:ascii="Arial" w:hAnsi="Arial"/>
          <w:b/>
          <w:color w:val="000000"/>
          <w:sz w:val="20"/>
        </w:rPr>
        <w:t>Exhibit 32.1</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Quarterly Report of Flywire Corporation (the “Company”) on Form 10-Q for the quarter ended June 30, 2026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6138" w:type="dxa"/>
        <w:jc w:val="left"/>
        <w:tblInd w:w="0" w:type="dxa"/>
        <w:tblLayout w:type="fixed"/>
        <w:tblCellMar>
          <w:top w:w="28" w:type="dxa"/>
          <w:left w:w="28" w:type="dxa"/>
          <w:bottom w:w="28" w:type="dxa"/>
          <w:right w:w="28" w:type="dxa"/>
        </w:tblCellMar>
      </w:tblPr>
      <w:tblGrid>
        <w:gridCol w:w="2206"/>
        <w:gridCol w:w="466"/>
        <w:gridCol w:w="3466"/>
      </w:tblGrid>
      <w:tr>
        <w:trPr/>
        <w:tc>
          <w:tcPr>
            <w:tcW w:w="22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August 5, 2026</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4" w:name="flyw-ex32_2.htm"/>
      <w:bookmarkStart w:id="55" w:name="ksflywex32_2"/>
      <w:bookmarkEnd w:id="54"/>
      <w:bookmarkEnd w:id="55"/>
      <w:r>
        <w:rPr>
          <w:rFonts w:ascii="Arial" w:hAnsi="Arial"/>
          <w:b/>
          <w:color w:val="000000"/>
          <w:sz w:val="20"/>
        </w:rPr>
        <w:t>Exhibit 32.2</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Quarterly Report of Flywire Corporation (the “Company”) on Form 10-Q for the quarter ended June 30, 2026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6903" w:type="dxa"/>
        <w:jc w:val="left"/>
        <w:tblInd w:w="0" w:type="dxa"/>
        <w:tblLayout w:type="fixed"/>
        <w:tblCellMar>
          <w:top w:w="28" w:type="dxa"/>
          <w:left w:w="28" w:type="dxa"/>
          <w:bottom w:w="28" w:type="dxa"/>
          <w:right w:w="28" w:type="dxa"/>
        </w:tblCellMar>
      </w:tblPr>
      <w:tblGrid>
        <w:gridCol w:w="2206"/>
        <w:gridCol w:w="466"/>
        <w:gridCol w:w="4231"/>
      </w:tblGrid>
      <w:tr>
        <w:trPr/>
        <w:tc>
          <w:tcPr>
            <w:tcW w:w="22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August 5, 2026</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87959</Words>
  <Characters>490514</Characters>
  <CharactersWithSpaces>577857</CharactersWithSpaces>
  <Paragraphs>8876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