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Orgel Rob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President and COO</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800" w:type="dxa"/>
            <w:vAlign w:val="bottom"/>
            <w:gridSpan w:val="7"/>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tcPr>
          <w:p>
            <w:pPr>
              <w:ind w:left="16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02/24/2026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362,318</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1,202,553</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underlying a time-based restricted stock unit award (RSU). The RSU vests with respect to 25% of the shares on March 1, 2027, with the remainder vesting in equal quarterly installments over the following three years, provided that the Reporting Person has provided continuous service to the Issuer through the applicable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Adjusted to reflect 1,243 shares acquired under the Issuer's Employee Stock Purchase Plan.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Rob Orgel</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02/26/2026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049"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2026-02-26T18:10:31Z</dcterms:created>
  <dcterms:modified xsi:type="dcterms:W3CDTF">2026-02-26T18:10:31Z</dcterms:modified>
</cp:coreProperties>
</file>