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18"/>
          <w:szCs w:val="18"/>
          <w:color w:val="auto"/>
        </w:rPr>
        <w:t>May 21, 2021</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color w:val="auto"/>
        </w:rPr>
        <w:t>VIA EDGAR</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20549-3720</w:t>
      </w:r>
    </w:p>
    <w:p>
      <w:pPr>
        <w:spacing w:after="0" w:line="238" w:lineRule="exact"/>
        <w:rPr>
          <w:sz w:val="24"/>
          <w:szCs w:val="24"/>
          <w:color w:val="auto"/>
        </w:rPr>
      </w:pPr>
    </w:p>
    <w:p>
      <w:pPr>
        <w:spacing w:after="0"/>
        <w:tabs>
          <w:tab w:leader="none" w:pos="86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6"/>
          <w:szCs w:val="16"/>
          <w:color w:val="auto"/>
        </w:rPr>
        <w:t>Charlie Guidry</w:t>
      </w:r>
    </w:p>
    <w:p>
      <w:pPr>
        <w:spacing w:after="0" w:line="23" w:lineRule="exact"/>
        <w:rPr>
          <w:sz w:val="24"/>
          <w:szCs w:val="24"/>
          <w:color w:val="auto"/>
        </w:rPr>
      </w:pPr>
    </w:p>
    <w:p>
      <w:pPr>
        <w:ind w:left="860"/>
        <w:spacing w:after="0"/>
        <w:rPr>
          <w:sz w:val="20"/>
          <w:szCs w:val="20"/>
          <w:color w:val="auto"/>
        </w:rPr>
      </w:pPr>
      <w:r>
        <w:rPr>
          <w:rFonts w:ascii="Arial" w:cs="Arial" w:eastAsia="Arial" w:hAnsi="Arial"/>
          <w:sz w:val="18"/>
          <w:szCs w:val="18"/>
          <w:color w:val="auto"/>
        </w:rPr>
        <w:t>Mara Ransom</w:t>
      </w:r>
    </w:p>
    <w:p>
      <w:pPr>
        <w:spacing w:after="0" w:line="234" w:lineRule="exact"/>
        <w:rPr>
          <w:sz w:val="24"/>
          <w:szCs w:val="24"/>
          <w:color w:val="auto"/>
        </w:rPr>
      </w:pPr>
    </w:p>
    <w:p>
      <w:pPr>
        <w:spacing w:after="0"/>
        <w:tabs>
          <w:tab w:leader="none" w:pos="40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b w:val="1"/>
          <w:bCs w:val="1"/>
          <w:color w:val="auto"/>
        </w:rPr>
        <w:t>Flywire Corporation</w:t>
      </w:r>
    </w:p>
    <w:p>
      <w:pPr>
        <w:spacing w:after="0" w:line="27" w:lineRule="exact"/>
        <w:rPr>
          <w:sz w:val="24"/>
          <w:szCs w:val="24"/>
          <w:color w:val="auto"/>
        </w:rPr>
      </w:pPr>
    </w:p>
    <w:p>
      <w:pPr>
        <w:ind w:left="440"/>
        <w:spacing w:after="0"/>
        <w:rPr>
          <w:sz w:val="20"/>
          <w:szCs w:val="20"/>
          <w:color w:val="auto"/>
        </w:rPr>
      </w:pPr>
      <w:r>
        <w:rPr>
          <w:rFonts w:ascii="Arial" w:cs="Arial" w:eastAsia="Arial" w:hAnsi="Arial"/>
          <w:sz w:val="18"/>
          <w:szCs w:val="18"/>
          <w:b w:val="1"/>
          <w:bCs w:val="1"/>
          <w:color w:val="auto"/>
        </w:rPr>
        <w:t>Registration Statement on Form S-1</w:t>
      </w:r>
    </w:p>
    <w:p>
      <w:pPr>
        <w:spacing w:after="0" w:line="9" w:lineRule="exact"/>
        <w:rPr>
          <w:sz w:val="24"/>
          <w:szCs w:val="24"/>
          <w:color w:val="auto"/>
        </w:rPr>
      </w:pPr>
    </w:p>
    <w:p>
      <w:pPr>
        <w:ind w:left="440"/>
        <w:spacing w:after="0"/>
        <w:rPr>
          <w:sz w:val="20"/>
          <w:szCs w:val="20"/>
          <w:color w:val="auto"/>
        </w:rPr>
      </w:pPr>
      <w:r>
        <w:rPr>
          <w:rFonts w:ascii="Arial" w:cs="Arial" w:eastAsia="Arial" w:hAnsi="Arial"/>
          <w:sz w:val="18"/>
          <w:szCs w:val="18"/>
          <w:b w:val="1"/>
          <w:bCs w:val="1"/>
          <w:color w:val="auto"/>
        </w:rPr>
        <w:t>Registration No. 333-255706</w:t>
      </w:r>
    </w:p>
    <w:p>
      <w:pPr>
        <w:spacing w:after="0" w:line="207" w:lineRule="exact"/>
        <w:rPr>
          <w:sz w:val="24"/>
          <w:szCs w:val="24"/>
          <w:color w:val="auto"/>
        </w:rPr>
      </w:pPr>
    </w:p>
    <w:p>
      <w:pPr>
        <w:ind w:left="440"/>
        <w:spacing w:after="0"/>
        <w:rPr>
          <w:sz w:val="20"/>
          <w:szCs w:val="20"/>
          <w:color w:val="auto"/>
        </w:rPr>
      </w:pPr>
      <w:r>
        <w:rPr>
          <w:rFonts w:ascii="Arial" w:cs="Arial" w:eastAsia="Arial" w:hAnsi="Arial"/>
          <w:sz w:val="18"/>
          <w:szCs w:val="18"/>
          <w:b w:val="1"/>
          <w:bCs w:val="1"/>
          <w:color w:val="auto"/>
        </w:rPr>
        <w:t>Acceleration Request</w:t>
      </w:r>
    </w:p>
    <w:p>
      <w:pPr>
        <w:spacing w:after="0" w:line="27" w:lineRule="exact"/>
        <w:rPr>
          <w:sz w:val="24"/>
          <w:szCs w:val="24"/>
          <w:color w:val="auto"/>
        </w:rPr>
      </w:pPr>
    </w:p>
    <w:p>
      <w:pPr>
        <w:ind w:left="860"/>
        <w:spacing w:after="0"/>
        <w:rPr>
          <w:sz w:val="20"/>
          <w:szCs w:val="20"/>
          <w:color w:val="auto"/>
        </w:rPr>
      </w:pPr>
      <w:r>
        <w:rPr>
          <w:rFonts w:ascii="Arial" w:cs="Arial" w:eastAsia="Arial" w:hAnsi="Arial"/>
          <w:sz w:val="18"/>
          <w:szCs w:val="18"/>
          <w:b w:val="1"/>
          <w:bCs w:val="1"/>
          <w:color w:val="auto"/>
        </w:rPr>
        <w:t>Requested Date: May 25, 2021</w:t>
      </w:r>
    </w:p>
    <w:p>
      <w:pPr>
        <w:spacing w:after="0" w:line="9" w:lineRule="exact"/>
        <w:rPr>
          <w:sz w:val="24"/>
          <w:szCs w:val="24"/>
          <w:color w:val="auto"/>
        </w:rPr>
      </w:pPr>
    </w:p>
    <w:p>
      <w:pPr>
        <w:ind w:left="860"/>
        <w:spacing w:after="0"/>
        <w:rPr>
          <w:sz w:val="20"/>
          <w:szCs w:val="20"/>
          <w:color w:val="auto"/>
        </w:rPr>
      </w:pPr>
      <w:r>
        <w:rPr>
          <w:rFonts w:ascii="Arial" w:cs="Arial" w:eastAsia="Arial" w:hAnsi="Arial"/>
          <w:sz w:val="18"/>
          <w:szCs w:val="18"/>
          <w:b w:val="1"/>
          <w:bCs w:val="1"/>
          <w:color w:val="auto"/>
        </w:rPr>
        <w:t>Requested Time: 4:00 PM, Eastern Time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ind w:firstLine="440"/>
        <w:spacing w:after="0" w:line="301" w:lineRule="auto"/>
        <w:rPr>
          <w:sz w:val="20"/>
          <w:szCs w:val="20"/>
          <w:color w:val="auto"/>
        </w:rPr>
      </w:pPr>
      <w:r>
        <w:rPr>
          <w:rFonts w:ascii="Arial" w:cs="Arial" w:eastAsia="Arial" w:hAnsi="Arial"/>
          <w:sz w:val="16"/>
          <w:szCs w:val="16"/>
          <w:color w:val="auto"/>
        </w:rPr>
        <w:t>In accordance with Rule 461 under the Securities Act of 1933, as amended (the “</w:t>
      </w:r>
      <w:r>
        <w:rPr>
          <w:rFonts w:ascii="Arial" w:cs="Arial" w:eastAsia="Arial" w:hAnsi="Arial"/>
          <w:sz w:val="16"/>
          <w:szCs w:val="16"/>
          <w:b w:val="1"/>
          <w:bCs w:val="1"/>
          <w:i w:val="1"/>
          <w:iCs w:val="1"/>
          <w:color w:val="auto"/>
        </w:rPr>
        <w:t>Act</w:t>
      </w:r>
      <w:r>
        <w:rPr>
          <w:rFonts w:ascii="Arial" w:cs="Arial" w:eastAsia="Arial" w:hAnsi="Arial"/>
          <w:sz w:val="16"/>
          <w:szCs w:val="16"/>
          <w:color w:val="auto"/>
        </w:rPr>
        <w:t>”), Goldman Sachs &amp; Co. LLC, J.P. Morgan Securities LLC and Citigroup Global Markets Inc., as representatives of the several underwriters, hereby join Flywire Corporation in requesting that the Securities and Exchange Commission (the “</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take appropriate action to cause the Registration Statement on Form S-1 (File No. 333-255706) (the “</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 to become effective on May 25, 2021, at 4:00 PM, Eastern Time, or as soon as practicable thereafter.</w:t>
      </w:r>
    </w:p>
    <w:p>
      <w:pPr>
        <w:spacing w:after="0" w:line="157" w:lineRule="exact"/>
        <w:rPr>
          <w:sz w:val="24"/>
          <w:szCs w:val="24"/>
          <w:color w:val="auto"/>
        </w:rPr>
      </w:pPr>
    </w:p>
    <w:p>
      <w:pPr>
        <w:ind w:right="480" w:firstLine="440"/>
        <w:spacing w:after="0" w:line="342" w:lineRule="auto"/>
        <w:rPr>
          <w:sz w:val="20"/>
          <w:szCs w:val="20"/>
          <w:color w:val="auto"/>
        </w:rPr>
      </w:pPr>
      <w:r>
        <w:rPr>
          <w:rFonts w:ascii="Arial" w:cs="Arial" w:eastAsia="Arial" w:hAnsi="Arial"/>
          <w:sz w:val="16"/>
          <w:szCs w:val="16"/>
          <w:color w:val="auto"/>
        </w:rPr>
        <w:t>Pursuant to Rule 460 under the Act, please be advised that we will take reasonable steps to secure adequate distribution of the preliminary prospectus, to underwriters, dealers, institutions and others, prior to the requested effective time of the Registration Statement.</w:t>
      </w:r>
    </w:p>
    <w:p>
      <w:pPr>
        <w:spacing w:after="0" w:line="124" w:lineRule="exact"/>
        <w:rPr>
          <w:sz w:val="24"/>
          <w:szCs w:val="24"/>
          <w:color w:val="auto"/>
        </w:rPr>
      </w:pPr>
    </w:p>
    <w:p>
      <w:pPr>
        <w:ind w:right="520" w:firstLine="440"/>
        <w:spacing w:after="0" w:line="277" w:lineRule="auto"/>
        <w:rPr>
          <w:sz w:val="20"/>
          <w:szCs w:val="20"/>
          <w:color w:val="auto"/>
        </w:rPr>
      </w:pPr>
      <w:r>
        <w:rPr>
          <w:rFonts w:ascii="Arial" w:cs="Arial" w:eastAsia="Arial" w:hAnsi="Arial"/>
          <w:sz w:val="18"/>
          <w:szCs w:val="18"/>
          <w:color w:val="auto"/>
        </w:rPr>
        <w:t>We have been informed by the participating underwriters that they will comply with the requirements of Rule 15c2-8 under the Securities Exchange Act of 1934, as amended, to the extent applicable.</w:t>
      </w:r>
    </w:p>
    <w:p>
      <w:pPr>
        <w:spacing w:after="0" w:line="170"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ectPr>
          <w:pgSz w:w="11900" w:h="16838" w:orient="portrait"/>
          <w:cols w:equalWidth="0" w:num="1">
            <w:col w:w="10860"/>
          </w:cols>
          <w:pgMar w:left="440" w:top="233" w:right="599" w:bottom="1440" w:gutter="0" w:footer="0" w:header="0"/>
        </w:sectPr>
      </w:pPr>
    </w:p>
    <w:bookmarkStart w:id="1" w:name="page2"/>
    <w:bookmarkEnd w:id="1"/>
    <w:p>
      <w:pPr>
        <w:ind w:left="662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Very truly yours,</w:t>
      </w:r>
    </w:p>
    <w:p>
      <w:pPr>
        <w:spacing w:after="0" w:line="225" w:lineRule="exact"/>
        <w:rPr>
          <w:sz w:val="20"/>
          <w:szCs w:val="20"/>
          <w:color w:val="auto"/>
        </w:rPr>
      </w:pPr>
    </w:p>
    <w:p>
      <w:pPr>
        <w:ind w:left="6624"/>
        <w:spacing w:after="0"/>
        <w:rPr>
          <w:sz w:val="20"/>
          <w:szCs w:val="20"/>
          <w:color w:val="auto"/>
        </w:rPr>
      </w:pPr>
      <w:r>
        <w:rPr>
          <w:rFonts w:ascii="Arial" w:cs="Arial" w:eastAsia="Arial" w:hAnsi="Arial"/>
          <w:sz w:val="17"/>
          <w:szCs w:val="17"/>
          <w:color w:val="auto"/>
        </w:rPr>
        <w:t>Goldman Sachs &amp; Co. LLC</w:t>
      </w:r>
    </w:p>
    <w:p>
      <w:pPr>
        <w:spacing w:after="0" w:line="237" w:lineRule="exact"/>
        <w:rPr>
          <w:sz w:val="20"/>
          <w:szCs w:val="20"/>
          <w:color w:val="auto"/>
        </w:rPr>
      </w:pPr>
    </w:p>
    <w:p>
      <w:pPr>
        <w:ind w:left="6624"/>
        <w:spacing w:after="0"/>
        <w:tabs>
          <w:tab w:leader="none" w:pos="7184"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Rebecca Steinthal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4680585</wp:posOffset>
            </wp:positionH>
            <wp:positionV relativeFrom="paragraph">
              <wp:posOffset>29210</wp:posOffset>
            </wp:positionV>
            <wp:extent cx="23145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14575" cy="8890"/>
                    </a:xfrm>
                    <a:prstGeom prst="rect">
                      <a:avLst/>
                    </a:prstGeom>
                    <a:noFill/>
                  </pic:spPr>
                </pic:pic>
              </a:graphicData>
            </a:graphic>
          </wp:anchor>
        </w:drawing>
      </w:r>
    </w:p>
    <w:p>
      <w:pPr>
        <w:spacing w:after="0" w:line="39"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Name: Rebecca Steinthal</w:t>
      </w:r>
    </w:p>
    <w:p>
      <w:pPr>
        <w:spacing w:after="0" w:line="23" w:lineRule="exact"/>
        <w:rPr>
          <w:sz w:val="20"/>
          <w:szCs w:val="20"/>
          <w:color w:val="auto"/>
        </w:rPr>
      </w:pPr>
    </w:p>
    <w:p>
      <w:pPr>
        <w:ind w:left="6624"/>
        <w:spacing w:after="0"/>
        <w:tabs>
          <w:tab w:leader="none" w:pos="7184" w:val="left"/>
        </w:tabs>
        <w:rPr>
          <w:sz w:val="20"/>
          <w:szCs w:val="20"/>
          <w:color w:val="auto"/>
        </w:rPr>
      </w:pPr>
      <w:r>
        <w:rPr>
          <w:rFonts w:ascii="Arial" w:cs="Arial" w:eastAsia="Arial" w:hAnsi="Arial"/>
          <w:sz w:val="18"/>
          <w:szCs w:val="18"/>
          <w:color w:val="auto"/>
        </w:rPr>
        <w:t>Title:</w:t>
        <w:tab/>
        <w:t>Managing Director</w:t>
      </w:r>
    </w:p>
    <w:p>
      <w:pPr>
        <w:spacing w:after="0" w:line="200" w:lineRule="exact"/>
        <w:rPr>
          <w:sz w:val="20"/>
          <w:szCs w:val="20"/>
          <w:color w:val="auto"/>
        </w:rPr>
      </w:pPr>
    </w:p>
    <w:p>
      <w:pPr>
        <w:spacing w:after="0" w:line="227" w:lineRule="exact"/>
        <w:rPr>
          <w:sz w:val="20"/>
          <w:szCs w:val="20"/>
          <w:color w:val="auto"/>
        </w:rPr>
      </w:pPr>
    </w:p>
    <w:p>
      <w:pPr>
        <w:ind w:left="6624"/>
        <w:spacing w:after="0"/>
        <w:rPr>
          <w:sz w:val="20"/>
          <w:szCs w:val="20"/>
          <w:color w:val="auto"/>
        </w:rPr>
      </w:pPr>
      <w:r>
        <w:rPr>
          <w:rFonts w:ascii="Arial" w:cs="Arial" w:eastAsia="Arial" w:hAnsi="Arial"/>
          <w:sz w:val="17"/>
          <w:szCs w:val="17"/>
          <w:color w:val="auto"/>
        </w:rPr>
        <w:t>J.P. Morgan Securities LLC</w:t>
      </w:r>
    </w:p>
    <w:p>
      <w:pPr>
        <w:spacing w:after="0" w:line="237" w:lineRule="exact"/>
        <w:rPr>
          <w:sz w:val="20"/>
          <w:szCs w:val="20"/>
          <w:color w:val="auto"/>
        </w:rPr>
      </w:pPr>
    </w:p>
    <w:p>
      <w:pPr>
        <w:ind w:left="6624"/>
        <w:spacing w:after="0"/>
        <w:tabs>
          <w:tab w:leader="none" w:pos="7184"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Alaoui Zenere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4680585</wp:posOffset>
            </wp:positionH>
            <wp:positionV relativeFrom="paragraph">
              <wp:posOffset>14605</wp:posOffset>
            </wp:positionV>
            <wp:extent cx="23145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Name: Alaoui Zenere</w:t>
      </w:r>
    </w:p>
    <w:p>
      <w:pPr>
        <w:spacing w:after="0" w:line="23" w:lineRule="exact"/>
        <w:rPr>
          <w:sz w:val="20"/>
          <w:szCs w:val="20"/>
          <w:color w:val="auto"/>
        </w:rPr>
      </w:pPr>
    </w:p>
    <w:p>
      <w:pPr>
        <w:ind w:left="6624"/>
        <w:spacing w:after="0"/>
        <w:tabs>
          <w:tab w:leader="none" w:pos="7184" w:val="left"/>
        </w:tabs>
        <w:rPr>
          <w:sz w:val="20"/>
          <w:szCs w:val="20"/>
          <w:color w:val="auto"/>
        </w:rPr>
      </w:pPr>
      <w:r>
        <w:rPr>
          <w:rFonts w:ascii="Arial" w:cs="Arial" w:eastAsia="Arial" w:hAnsi="Arial"/>
          <w:sz w:val="18"/>
          <w:szCs w:val="18"/>
          <w:color w:val="auto"/>
        </w:rPr>
        <w:t>Title:</w:t>
        <w:tab/>
        <w:t>Executive Director</w:t>
      </w:r>
    </w:p>
    <w:p>
      <w:pPr>
        <w:spacing w:after="0" w:line="200" w:lineRule="exact"/>
        <w:rPr>
          <w:sz w:val="20"/>
          <w:szCs w:val="20"/>
          <w:color w:val="auto"/>
        </w:rPr>
      </w:pPr>
    </w:p>
    <w:p>
      <w:pPr>
        <w:spacing w:after="0" w:line="227" w:lineRule="exact"/>
        <w:rPr>
          <w:sz w:val="20"/>
          <w:szCs w:val="20"/>
          <w:color w:val="auto"/>
        </w:rPr>
      </w:pPr>
    </w:p>
    <w:p>
      <w:pPr>
        <w:ind w:left="6624"/>
        <w:spacing w:after="0"/>
        <w:rPr>
          <w:sz w:val="20"/>
          <w:szCs w:val="20"/>
          <w:color w:val="auto"/>
        </w:rPr>
      </w:pPr>
      <w:r>
        <w:rPr>
          <w:rFonts w:ascii="Arial" w:cs="Arial" w:eastAsia="Arial" w:hAnsi="Arial"/>
          <w:sz w:val="16"/>
          <w:szCs w:val="16"/>
          <w:color w:val="auto"/>
        </w:rPr>
        <w:t>Citigroup Global Markets Inc.</w:t>
      </w:r>
    </w:p>
    <w:p>
      <w:pPr>
        <w:spacing w:after="0" w:line="248" w:lineRule="exact"/>
        <w:rPr>
          <w:sz w:val="20"/>
          <w:szCs w:val="20"/>
          <w:color w:val="auto"/>
        </w:rPr>
      </w:pPr>
    </w:p>
    <w:p>
      <w:pPr>
        <w:ind w:left="6624"/>
        <w:spacing w:after="0"/>
        <w:tabs>
          <w:tab w:leader="none" w:pos="7184"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Richard Diamond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4680585</wp:posOffset>
            </wp:positionH>
            <wp:positionV relativeFrom="paragraph">
              <wp:posOffset>22225</wp:posOffset>
            </wp:positionV>
            <wp:extent cx="23145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28"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Name: Richard Diamond</w:t>
      </w:r>
    </w:p>
    <w:p>
      <w:pPr>
        <w:spacing w:after="0" w:line="23" w:lineRule="exact"/>
        <w:rPr>
          <w:sz w:val="20"/>
          <w:szCs w:val="20"/>
          <w:color w:val="auto"/>
        </w:rPr>
      </w:pPr>
    </w:p>
    <w:p>
      <w:pPr>
        <w:ind w:left="6624"/>
        <w:spacing w:after="0"/>
        <w:tabs>
          <w:tab w:leader="none" w:pos="7184" w:val="left"/>
        </w:tabs>
        <w:rPr>
          <w:sz w:val="20"/>
          <w:szCs w:val="20"/>
          <w:color w:val="auto"/>
        </w:rPr>
      </w:pPr>
      <w:r>
        <w:rPr>
          <w:rFonts w:ascii="Arial" w:cs="Arial" w:eastAsia="Arial" w:hAnsi="Arial"/>
          <w:sz w:val="18"/>
          <w:szCs w:val="18"/>
          <w:color w:val="auto"/>
        </w:rPr>
        <w:t>Title:</w:t>
        <w:tab/>
        <w:t>Managing Director</w:t>
      </w:r>
    </w:p>
    <w:p>
      <w:pPr>
        <w:spacing w:after="0" w:line="200" w:lineRule="exact"/>
        <w:rPr>
          <w:sz w:val="20"/>
          <w:szCs w:val="20"/>
          <w:color w:val="auto"/>
        </w:rPr>
      </w:pPr>
    </w:p>
    <w:p>
      <w:pPr>
        <w:spacing w:after="0" w:line="294" w:lineRule="exact"/>
        <w:rPr>
          <w:sz w:val="20"/>
          <w:szCs w:val="20"/>
          <w:color w:val="auto"/>
        </w:rPr>
      </w:pPr>
    </w:p>
    <w:p>
      <w:pPr>
        <w:ind w:left="444" w:right="6499" w:hanging="444"/>
        <w:spacing w:after="0" w:line="269" w:lineRule="auto"/>
        <w:tabs>
          <w:tab w:leader="none" w:pos="436" w:val="left"/>
        </w:tabs>
        <w:numPr>
          <w:ilvl w:val="0"/>
          <w:numId w:val="1"/>
        </w:numPr>
        <w:rPr>
          <w:rFonts w:ascii="Arial" w:cs="Arial" w:eastAsia="Arial" w:hAnsi="Arial"/>
          <w:sz w:val="17"/>
          <w:szCs w:val="17"/>
          <w:color w:val="auto"/>
        </w:rPr>
      </w:pPr>
      <w:r>
        <w:rPr>
          <w:rFonts w:ascii="Arial" w:cs="Arial" w:eastAsia="Arial" w:hAnsi="Arial"/>
          <w:sz w:val="17"/>
          <w:szCs w:val="17"/>
          <w:color w:val="auto"/>
        </w:rPr>
        <w:t>Peter Butterfield, Flywire Corporation John J. Egan III, Goodwin Procter LLP Joseph C. Theis, Jr., Goodwin Procter LLP Jared J. Fine, Goodwin Procter LLP</w:t>
      </w:r>
    </w:p>
    <w:p>
      <w:pPr>
        <w:spacing w:after="0" w:line="1" w:lineRule="exact"/>
        <w:rPr>
          <w:rFonts w:ascii="Arial" w:cs="Arial" w:eastAsia="Arial" w:hAnsi="Arial"/>
          <w:sz w:val="17"/>
          <w:szCs w:val="17"/>
          <w:color w:val="auto"/>
        </w:rPr>
      </w:pPr>
    </w:p>
    <w:p>
      <w:pPr>
        <w:jc w:val="both"/>
        <w:ind w:left="444" w:right="3479"/>
        <w:spacing w:after="0" w:line="302" w:lineRule="auto"/>
        <w:rPr>
          <w:rFonts w:ascii="Arial" w:cs="Arial" w:eastAsia="Arial" w:hAnsi="Arial"/>
          <w:sz w:val="17"/>
          <w:szCs w:val="17"/>
          <w:color w:val="auto"/>
        </w:rPr>
      </w:pPr>
      <w:r>
        <w:rPr>
          <w:rFonts w:ascii="Arial" w:cs="Arial" w:eastAsia="Arial" w:hAnsi="Arial"/>
          <w:sz w:val="16"/>
          <w:szCs w:val="16"/>
          <w:color w:val="auto"/>
        </w:rPr>
        <w:t>David Gammell, Gunderson Dettmer Stough Villeneuve Franklin &amp; Hachigian, LLP Jeffrey R. Vetter, Gunderson Dettmer Stough Villeneuve Franklin &amp; Hachigian, LLP Keith Scherer, Gunderson Dettmer Stough Villeneuve Franklin &amp; Hachigian, LLP</w:t>
      </w:r>
    </w:p>
    <w:p>
      <w:pPr>
        <w:spacing w:after="0" w:line="155" w:lineRule="exact"/>
        <w:rPr>
          <w:sz w:val="20"/>
          <w:szCs w:val="20"/>
          <w:color w:val="auto"/>
        </w:rPr>
      </w:pPr>
    </w:p>
    <w:p>
      <w:pPr>
        <w:ind w:left="4004"/>
        <w:spacing w:after="0"/>
        <w:rPr>
          <w:sz w:val="20"/>
          <w:szCs w:val="20"/>
          <w:color w:val="auto"/>
        </w:rPr>
      </w:pPr>
      <w:r>
        <w:rPr>
          <w:rFonts w:ascii="Arial" w:cs="Arial" w:eastAsia="Arial" w:hAnsi="Arial"/>
          <w:sz w:val="18"/>
          <w:szCs w:val="18"/>
          <w:i w:val="1"/>
          <w:iCs w:val="1"/>
          <w:color w:val="auto"/>
        </w:rPr>
        <w:t>[Signature Page to Acceleration Request]</w:t>
      </w:r>
    </w:p>
    <w:sectPr>
      <w:pgSz w:w="11900" w:h="16838" w:orient="portrait"/>
      <w:cols w:equalWidth="0" w:num="1">
        <w:col w:w="10023"/>
      </w:cols>
      <w:pgMar w:left="436"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2021-06-23T23:07:36Z</dcterms:created>
  <dcterms:modified xsi:type="dcterms:W3CDTF">2021-06-23T23:07:36Z</dcterms:modified>
</cp:coreProperties>
</file>