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General Counsel and CCO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gridSpan w:val="7"/>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4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3,370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27.0393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65,088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$27.00 to $27.475,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03/03/2023</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2023-03-03T15:33:33Z</dcterms:created>
  <dcterms:modified xsi:type="dcterms:W3CDTF">2023-03-03T15:33:33Z</dcterms:modified>
</cp:coreProperties>
</file>