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593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593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Orgel Rob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60"/>
        <w:spacing w:after="0" w:line="319"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23"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560" w:type="dxa"/>
            <w:vAlign w:val="bottom"/>
            <w:gridSpan w:val="7"/>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0"/>
          </w:tcPr>
          <w:p>
            <w:pPr>
              <w:ind w:left="4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760" w:type="dxa"/>
            <w:vAlign w:val="bottom"/>
            <w:gridSpan w:val="10"/>
            <w:vMerge w:val="restart"/>
          </w:tcPr>
          <w:p>
            <w:pPr>
              <w:ind w:left="6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3"/>
          </w:tcPr>
          <w:p>
            <w:pPr>
              <w:jc w:val="right"/>
              <w:ind w:right="98"/>
              <w:spacing w:after="0"/>
              <w:rPr>
                <w:sz w:val="20"/>
                <w:szCs w:val="20"/>
                <w:color w:val="auto"/>
              </w:rPr>
            </w:pPr>
            <w:r>
              <w:rPr>
                <w:rFonts w:ascii="Times New Roman" w:cs="Times New Roman" w:eastAsia="Times New Roman" w:hAnsi="Times New Roman"/>
                <w:sz w:val="17"/>
                <w:szCs w:val="17"/>
                <w:color w:val="0000FF"/>
              </w:rPr>
              <w:t>03/13/2023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3.95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172,191</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3"/>
          </w:tcPr>
          <w:p>
            <w:pPr>
              <w:jc w:val="right"/>
              <w:ind w:right="98"/>
              <w:spacing w:after="0"/>
              <w:rPr>
                <w:sz w:val="20"/>
                <w:szCs w:val="20"/>
                <w:color w:val="auto"/>
              </w:rPr>
            </w:pPr>
            <w:r>
              <w:rPr>
                <w:rFonts w:ascii="Times New Roman" w:cs="Times New Roman" w:eastAsia="Times New Roman" w:hAnsi="Times New Roman"/>
                <w:sz w:val="17"/>
                <w:szCs w:val="17"/>
                <w:color w:val="0000FF"/>
              </w:rPr>
              <w:t>03/13/2023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24.0124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157,191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3"/>
          </w:tcPr>
          <w:p>
            <w:pPr>
              <w:jc w:val="right"/>
              <w:ind w:right="98"/>
              <w:spacing w:after="0"/>
              <w:rPr>
                <w:sz w:val="20"/>
                <w:szCs w:val="20"/>
                <w:color w:val="auto"/>
              </w:rPr>
            </w:pPr>
            <w:r>
              <w:rPr>
                <w:rFonts w:ascii="Times New Roman" w:cs="Times New Roman" w:eastAsia="Times New Roman" w:hAnsi="Times New Roman"/>
                <w:sz w:val="17"/>
                <w:szCs w:val="17"/>
                <w:color w:val="0000FF"/>
              </w:rPr>
              <w:t>03/14/2023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150,064</w:t>
            </w:r>
            <w:r>
              <w:rPr>
                <w:rFonts w:ascii="Times New Roman" w:cs="Times New Roman" w:eastAsia="Times New Roman" w:hAnsi="Times New Roman"/>
                <w:sz w:val="21"/>
                <w:szCs w:val="21"/>
                <w:color w:val="008000"/>
                <w:w w:val="94"/>
                <w:vertAlign w:val="superscript"/>
              </w:rPr>
              <w:t>(4)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307,255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3"/>
          </w:tcPr>
          <w:p>
            <w:pPr>
              <w:jc w:val="right"/>
              <w:ind w:right="98"/>
              <w:spacing w:after="0"/>
              <w:rPr>
                <w:sz w:val="20"/>
                <w:szCs w:val="20"/>
                <w:color w:val="auto"/>
              </w:rPr>
            </w:pPr>
            <w:r>
              <w:rPr>
                <w:rFonts w:ascii="Times New Roman" w:cs="Times New Roman" w:eastAsia="Times New Roman" w:hAnsi="Times New Roman"/>
                <w:sz w:val="17"/>
                <w:szCs w:val="17"/>
                <w:color w:val="0000FF"/>
              </w:rPr>
              <w:t>03/14/2023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(5)</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14,329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26.308</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292,926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7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3.95</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03/13/2023</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restart"/>
          </w:tcPr>
          <w:p>
            <w:pPr>
              <w:jc w:val="right"/>
              <w:ind w:right="98"/>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15,000</w:t>
            </w:r>
          </w:p>
        </w:tc>
        <w:tc>
          <w:tcPr>
            <w:tcW w:w="780" w:type="dxa"/>
            <w:vAlign w:val="bottom"/>
            <w:vMerge w:val="continue"/>
          </w:tcPr>
          <w:p>
            <w:pPr>
              <w:spacing w:after="0"/>
              <w:rPr>
                <w:sz w:val="6"/>
                <w:szCs w:val="6"/>
                <w:color w:val="auto"/>
              </w:rPr>
            </w:pPr>
          </w:p>
        </w:tc>
        <w:tc>
          <w:tcPr>
            <w:tcW w:w="78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01/20/2031</w:t>
            </w:r>
          </w:p>
        </w:tc>
        <w:tc>
          <w:tcPr>
            <w:tcW w:w="5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345,000</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140 shares acquired under the Issuer's Employee Stock Purchase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$24.00 to $24.26, inclusive. The Reporting Persons undertake to provide to the Issuer or the staff of the Securities and Exchange Commission, upon request, full information regarding the number of shares acquired at each separate price within the ranges set forth in this footnote 3 to this Form 4.</w:t>
      </w:r>
    </w:p>
    <w:p>
      <w:pPr>
        <w:spacing w:after="0" w:line="26" w:lineRule="exact"/>
        <w:rPr>
          <w:rFonts w:ascii="Times New Roman" w:cs="Times New Roman" w:eastAsia="Times New Roman" w:hAnsi="Times New Roman"/>
          <w:sz w:val="13"/>
          <w:szCs w:val="13"/>
          <w:color w:val="008000"/>
        </w:rPr>
      </w:pP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2024, with the remainder vesting in equal quarterly installments over the following three years, provided that the Reporting Person has provided continuous service to the Issuer through the applicable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RSUs.</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Rob Orgel</w:t>
            </w:r>
          </w:p>
        </w:tc>
        <w:tc>
          <w:tcPr>
            <w:tcW w:w="13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03/15/2023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2023-03-15T19:58:29Z</dcterms:created>
  <dcterms:modified xsi:type="dcterms:W3CDTF">2023-03-15T19:58:29Z</dcterms:modified>
</cp:coreProperties>
</file>