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64223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42239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Massaro Michael</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480"/>
        <w:spacing w:after="0" w:line="361" w:lineRule="auto"/>
        <w:rPr>
          <w:sz w:val="20"/>
          <w:szCs w:val="20"/>
          <w:color w:val="auto"/>
        </w:rPr>
      </w:pPr>
      <w:r>
        <w:rPr>
          <w:rFonts w:ascii="Arial" w:cs="Arial" w:eastAsia="Arial" w:hAnsi="Arial"/>
          <w:sz w:val="16"/>
          <w:szCs w:val="16"/>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Flywire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FLYW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01/24/2022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45"/>
        <w:spacing w:after="0"/>
        <w:rPr>
          <w:sz w:val="20"/>
          <w:szCs w:val="20"/>
          <w:color w:val="auto"/>
        </w:rPr>
      </w:pPr>
      <w:r>
        <w:rPr>
          <w:rFonts w:ascii="Arial" w:cs="Arial" w:eastAsia="Arial" w:hAnsi="Arial"/>
          <w:sz w:val="17"/>
          <w:szCs w:val="17"/>
          <w:color w:val="0000FF"/>
        </w:rPr>
        <w:t>Chief Executive Officer</w:t>
      </w:r>
    </w:p>
    <w:p>
      <w:pPr>
        <w:spacing w:after="0" w:line="425" w:lineRule="exact"/>
        <w:rPr>
          <w:sz w:val="24"/>
          <w:szCs w:val="24"/>
          <w:color w:val="auto"/>
        </w:rPr>
      </w:pPr>
    </w:p>
    <w:p>
      <w:pPr>
        <w:sectPr>
          <w:pgSz w:w="11900" w:h="16838" w:orient="portrait"/>
          <w:cols w:equalWidth="0" w:num="3">
            <w:col w:w="3200" w:space="720"/>
            <w:col w:w="3095" w:space="720"/>
            <w:col w:w="3345"/>
          </w:cols>
          <w:pgMar w:left="460" w:top="225" w:right="359" w:bottom="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7"/>
                <w:szCs w:val="17"/>
                <w:color w:val="0000FF"/>
              </w:rPr>
              <w:t>BOSTON</w:t>
            </w:r>
          </w:p>
        </w:tc>
        <w:tc>
          <w:tcPr>
            <w:tcW w:w="1080" w:type="dxa"/>
            <w:vAlign w:val="bottom"/>
          </w:tcPr>
          <w:p>
            <w:pPr>
              <w:ind w:left="260"/>
              <w:spacing w:after="0"/>
              <w:rPr>
                <w:sz w:val="20"/>
                <w:szCs w:val="20"/>
                <w:color w:val="auto"/>
              </w:rPr>
            </w:pPr>
            <w:r>
              <w:rPr>
                <w:rFonts w:ascii="Arial" w:cs="Arial" w:eastAsia="Arial" w:hAnsi="Arial"/>
                <w:sz w:val="17"/>
                <w:szCs w:val="17"/>
                <w:color w:val="0000FF"/>
              </w:rPr>
              <w:t>MA</w:t>
            </w:r>
          </w:p>
        </w:tc>
        <w:tc>
          <w:tcPr>
            <w:tcW w:w="1600" w:type="dxa"/>
            <w:vAlign w:val="bottom"/>
          </w:tcPr>
          <w:p>
            <w:pPr>
              <w:ind w:left="400"/>
              <w:spacing w:after="0"/>
              <w:rPr>
                <w:sz w:val="20"/>
                <w:szCs w:val="20"/>
                <w:color w:val="auto"/>
              </w:rPr>
            </w:pPr>
            <w:r>
              <w:rPr>
                <w:rFonts w:ascii="Arial" w:cs="Arial" w:eastAsia="Arial" w:hAnsi="Arial"/>
                <w:sz w:val="17"/>
                <w:szCs w:val="17"/>
                <w:color w:val="0000FF"/>
              </w:rPr>
              <w:t>02111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236" w:lineRule="auto"/>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65" w:lineRule="exact"/>
        <w:rPr>
          <w:sz w:val="24"/>
          <w:szCs w:val="24"/>
          <w:color w:val="auto"/>
        </w:rPr>
      </w:pPr>
    </w:p>
    <w:p>
      <w:pPr>
        <w:sectPr>
          <w:pgSz w:w="11900" w:h="16838" w:orient="portrait"/>
          <w:cols w:equalWidth="0" w:num="2">
            <w:col w:w="3760" w:space="160"/>
            <w:col w:w="716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20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80"/>
              <w:spacing w:after="0" w:line="131"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220"/>
              <w:spacing w:after="0" w:line="131"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jc w:val="center"/>
              <w:ind w:right="2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3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gridSpan w:val="2"/>
            <w:vMerge w:val="restart"/>
          </w:tcPr>
          <w:p>
            <w:pPr>
              <w:jc w:val="center"/>
              <w:ind w:right="70"/>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vMerge w:val="continue"/>
          </w:tcPr>
          <w:p>
            <w:pPr>
              <w:spacing w:after="0"/>
              <w:rPr>
                <w:sz w:val="10"/>
                <w:szCs w:val="10"/>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0"/>
                <w:szCs w:val="10"/>
                <w:color w:val="auto"/>
              </w:rPr>
            </w:pPr>
          </w:p>
        </w:tc>
        <w:tc>
          <w:tcPr>
            <w:tcW w:w="116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4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Voting Common Stock</w:t>
            </w:r>
          </w:p>
        </w:tc>
        <w:tc>
          <w:tcPr>
            <w:tcW w:w="118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0000FF"/>
              </w:rPr>
              <w:t>01/24/2022</w:t>
            </w: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2,170</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10"/>
              <w:spacing w:after="0"/>
              <w:rPr>
                <w:sz w:val="20"/>
                <w:szCs w:val="20"/>
                <w:color w:val="auto"/>
              </w:rPr>
            </w:pPr>
            <w:r>
              <w:rPr>
                <w:rFonts w:ascii="Arial" w:cs="Arial" w:eastAsia="Arial" w:hAnsi="Arial"/>
                <w:sz w:val="17"/>
                <w:szCs w:val="17"/>
                <w:color w:val="0000FF"/>
                <w:w w:val="97"/>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25.7369</w:t>
            </w:r>
            <w:r>
              <w:rPr>
                <w:rFonts w:ascii="Arial" w:cs="Arial" w:eastAsia="Arial" w:hAnsi="Arial"/>
                <w:sz w:val="22"/>
                <w:szCs w:val="22"/>
                <w:color w:val="008000"/>
                <w:w w:val="87"/>
                <w:vertAlign w:val="superscript"/>
              </w:rPr>
              <w:t>(2)</w:t>
            </w:r>
          </w:p>
        </w:tc>
        <w:tc>
          <w:tcPr>
            <w:tcW w:w="116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976,560</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Voting Common Stock</w:t>
            </w:r>
          </w:p>
        </w:tc>
        <w:tc>
          <w:tcPr>
            <w:tcW w:w="118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0000FF"/>
              </w:rPr>
              <w:t>01/24/2022</w:t>
            </w: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1,620</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10"/>
              <w:spacing w:after="0"/>
              <w:rPr>
                <w:sz w:val="20"/>
                <w:szCs w:val="20"/>
                <w:color w:val="auto"/>
              </w:rPr>
            </w:pPr>
            <w:r>
              <w:rPr>
                <w:rFonts w:ascii="Arial" w:cs="Arial" w:eastAsia="Arial" w:hAnsi="Arial"/>
                <w:sz w:val="17"/>
                <w:szCs w:val="17"/>
                <w:color w:val="0000FF"/>
                <w:w w:val="97"/>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26.8626</w:t>
            </w:r>
            <w:r>
              <w:rPr>
                <w:rFonts w:ascii="Arial" w:cs="Arial" w:eastAsia="Arial" w:hAnsi="Arial"/>
                <w:sz w:val="22"/>
                <w:szCs w:val="22"/>
                <w:color w:val="008000"/>
                <w:w w:val="87"/>
                <w:vertAlign w:val="superscript"/>
              </w:rPr>
              <w:t>(3)</w:t>
            </w:r>
          </w:p>
        </w:tc>
        <w:tc>
          <w:tcPr>
            <w:tcW w:w="116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974,940</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Voting Common Stock</w:t>
            </w:r>
          </w:p>
        </w:tc>
        <w:tc>
          <w:tcPr>
            <w:tcW w:w="118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0000FF"/>
              </w:rPr>
              <w:t>01/24/2022</w:t>
            </w: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1,540</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10"/>
              <w:spacing w:after="0"/>
              <w:rPr>
                <w:sz w:val="20"/>
                <w:szCs w:val="20"/>
                <w:color w:val="auto"/>
              </w:rPr>
            </w:pPr>
            <w:r>
              <w:rPr>
                <w:rFonts w:ascii="Arial" w:cs="Arial" w:eastAsia="Arial" w:hAnsi="Arial"/>
                <w:sz w:val="17"/>
                <w:szCs w:val="17"/>
                <w:color w:val="0000FF"/>
                <w:w w:val="97"/>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27.901</w:t>
            </w:r>
            <w:r>
              <w:rPr>
                <w:rFonts w:ascii="Arial" w:cs="Arial" w:eastAsia="Arial" w:hAnsi="Arial"/>
                <w:sz w:val="22"/>
                <w:szCs w:val="22"/>
                <w:color w:val="008000"/>
                <w:w w:val="88"/>
                <w:vertAlign w:val="superscript"/>
              </w:rPr>
              <w:t>(4)</w:t>
            </w:r>
          </w:p>
        </w:tc>
        <w:tc>
          <w:tcPr>
            <w:tcW w:w="116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973,400</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Voting Common Stock</w:t>
            </w:r>
          </w:p>
        </w:tc>
        <w:tc>
          <w:tcPr>
            <w:tcW w:w="118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0000FF"/>
              </w:rPr>
              <w:t>01/25/2022</w:t>
            </w: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4,830</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10"/>
              <w:spacing w:after="0"/>
              <w:rPr>
                <w:sz w:val="20"/>
                <w:szCs w:val="20"/>
                <w:color w:val="auto"/>
              </w:rPr>
            </w:pPr>
            <w:r>
              <w:rPr>
                <w:rFonts w:ascii="Arial" w:cs="Arial" w:eastAsia="Arial" w:hAnsi="Arial"/>
                <w:sz w:val="17"/>
                <w:szCs w:val="17"/>
                <w:color w:val="0000FF"/>
                <w:w w:val="97"/>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26.5313</w:t>
            </w:r>
            <w:r>
              <w:rPr>
                <w:rFonts w:ascii="Arial" w:cs="Arial" w:eastAsia="Arial" w:hAnsi="Arial"/>
                <w:sz w:val="22"/>
                <w:szCs w:val="22"/>
                <w:color w:val="008000"/>
                <w:w w:val="87"/>
                <w:vertAlign w:val="superscript"/>
              </w:rPr>
              <w:t>(5)</w:t>
            </w:r>
          </w:p>
        </w:tc>
        <w:tc>
          <w:tcPr>
            <w:tcW w:w="116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968,570</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Voting Common Stock</w:t>
            </w:r>
          </w:p>
        </w:tc>
        <w:tc>
          <w:tcPr>
            <w:tcW w:w="118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0000FF"/>
              </w:rPr>
              <w:t>01/25/2022</w:t>
            </w: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20" w:type="dxa"/>
            <w:vAlign w:val="bottom"/>
            <w:tcBorders>
              <w:bottom w:val="single" w:sz="8" w:color="2C2C2C"/>
            </w:tcBorders>
          </w:tcPr>
          <w:p>
            <w:pPr>
              <w:jc w:val="center"/>
              <w:ind w:right="5"/>
              <w:spacing w:after="0"/>
              <w:rPr>
                <w:sz w:val="20"/>
                <w:szCs w:val="20"/>
                <w:color w:val="auto"/>
              </w:rPr>
            </w:pPr>
            <w:r>
              <w:rPr>
                <w:rFonts w:ascii="Arial" w:cs="Arial" w:eastAsia="Arial" w:hAnsi="Arial"/>
                <w:sz w:val="17"/>
                <w:szCs w:val="17"/>
                <w:color w:val="0000FF"/>
                <w:w w:val="91"/>
              </w:rPr>
              <w:t>100</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10"/>
              <w:spacing w:after="0"/>
              <w:rPr>
                <w:sz w:val="20"/>
                <w:szCs w:val="20"/>
                <w:color w:val="auto"/>
              </w:rPr>
            </w:pPr>
            <w:r>
              <w:rPr>
                <w:rFonts w:ascii="Arial" w:cs="Arial" w:eastAsia="Arial" w:hAnsi="Arial"/>
                <w:sz w:val="17"/>
                <w:szCs w:val="17"/>
                <w:color w:val="0000FF"/>
                <w:w w:val="97"/>
              </w:rPr>
              <w:t>D</w:t>
            </w:r>
          </w:p>
        </w:tc>
        <w:tc>
          <w:tcPr>
            <w:tcW w:w="660" w:type="dxa"/>
            <w:vAlign w:val="bottom"/>
            <w:tcBorders>
              <w:bottom w:val="single" w:sz="8" w:color="2C2C2C"/>
            </w:tcBorders>
          </w:tcPr>
          <w:p>
            <w:pPr>
              <w:jc w:val="center"/>
              <w:ind w:left="108"/>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27.1</w:t>
            </w:r>
          </w:p>
        </w:tc>
        <w:tc>
          <w:tcPr>
            <w:tcW w:w="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968,470</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gridSpan w:val="2"/>
            <w:vMerge w:val="restart"/>
          </w:tcPr>
          <w:p>
            <w:pPr>
              <w:ind w:left="280"/>
              <w:spacing w:after="0"/>
              <w:rPr>
                <w:sz w:val="20"/>
                <w:szCs w:val="20"/>
                <w:color w:val="auto"/>
              </w:rPr>
            </w:pPr>
            <w:r>
              <w:rPr>
                <w:rFonts w:ascii="Arial" w:cs="Arial" w:eastAsia="Arial" w:hAnsi="Arial"/>
                <w:sz w:val="17"/>
                <w:szCs w:val="17"/>
                <w:color w:val="0000FF"/>
              </w:rPr>
              <w:t>300,000</w:t>
            </w:r>
          </w:p>
        </w:tc>
        <w:tc>
          <w:tcPr>
            <w:tcW w:w="340" w:type="dxa"/>
            <w:vAlign w:val="bottom"/>
          </w:tcPr>
          <w:p>
            <w:pPr>
              <w:spacing w:after="0"/>
              <w:rPr>
                <w:sz w:val="22"/>
                <w:szCs w:val="22"/>
                <w:color w:val="auto"/>
              </w:rPr>
            </w:pPr>
          </w:p>
        </w:tc>
        <w:tc>
          <w:tcPr>
            <w:tcW w:w="58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4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(6)</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gridSpan w:val="2"/>
            <w:vMerge w:val="restart"/>
          </w:tcPr>
          <w:p>
            <w:pPr>
              <w:ind w:left="280"/>
              <w:spacing w:after="0"/>
              <w:rPr>
                <w:sz w:val="20"/>
                <w:szCs w:val="20"/>
                <w:color w:val="auto"/>
              </w:rPr>
            </w:pPr>
            <w:r>
              <w:rPr>
                <w:rFonts w:ascii="Arial" w:cs="Arial" w:eastAsia="Arial" w:hAnsi="Arial"/>
                <w:sz w:val="17"/>
                <w:szCs w:val="17"/>
                <w:color w:val="0000FF"/>
              </w:rPr>
              <w:t>120,000</w:t>
            </w:r>
          </w:p>
        </w:tc>
        <w:tc>
          <w:tcPr>
            <w:tcW w:w="340" w:type="dxa"/>
            <w:vAlign w:val="bottom"/>
          </w:tcPr>
          <w:p>
            <w:pPr>
              <w:spacing w:after="0"/>
              <w:rPr>
                <w:sz w:val="22"/>
                <w:szCs w:val="22"/>
                <w:color w:val="auto"/>
              </w:rPr>
            </w:pPr>
          </w:p>
        </w:tc>
        <w:tc>
          <w:tcPr>
            <w:tcW w:w="58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4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GRAT</w:t>
            </w:r>
            <w:r>
              <w:rPr>
                <w:rFonts w:ascii="Arial" w:cs="Arial" w:eastAsia="Arial" w:hAnsi="Arial"/>
                <w:sz w:val="22"/>
                <w:szCs w:val="22"/>
                <w:color w:val="008000"/>
                <w:vertAlign w:val="superscript"/>
              </w:rPr>
              <w:t>(7)</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6"/>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2"/>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6. Date Exercisable and</w:t>
            </w:r>
          </w:p>
        </w:tc>
        <w:tc>
          <w:tcPr>
            <w:tcW w:w="80" w:type="dxa"/>
            <w:vAlign w:val="bottom"/>
          </w:tcPr>
          <w:p>
            <w:pPr>
              <w:spacing w:after="0"/>
              <w:rPr>
                <w:sz w:val="14"/>
                <w:szCs w:val="14"/>
                <w:color w:val="auto"/>
              </w:rPr>
            </w:pP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90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w w:val="98"/>
              </w:rPr>
              <w:t>Expiration</w:t>
            </w:r>
          </w:p>
        </w:tc>
        <w:tc>
          <w:tcPr>
            <w:tcW w:w="38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80" w:type="dxa"/>
            <w:vAlign w:val="bottom"/>
          </w:tcPr>
          <w:p>
            <w:pPr>
              <w:spacing w:after="0"/>
              <w:rPr>
                <w:sz w:val="13"/>
                <w:szCs w:val="13"/>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were sold pursuant to a Rule 10b5-1 trading plan.</w:t>
      </w:r>
    </w:p>
    <w:p>
      <w:pPr>
        <w:spacing w:after="0" w:line="50" w:lineRule="exact"/>
        <w:rPr>
          <w:rFonts w:ascii="Arial" w:cs="Arial" w:eastAsia="Arial" w:hAnsi="Arial"/>
          <w:sz w:val="13"/>
          <w:szCs w:val="13"/>
          <w:color w:val="008000"/>
        </w:rPr>
      </w:pPr>
    </w:p>
    <w:p>
      <w:pPr>
        <w:jc w:val="both"/>
        <w:ind w:left="40" w:right="4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$25.41 to $26.40, inclusive. The Reporting Person undertakes to provide to the Issuer, any security holder of the Issuer or the staff of the Securities Exchange Commission, upon request, full information regarding the number of securities sold at each separate price within the ranges set forth in this footnote (2) to this Form 4.</w:t>
      </w:r>
    </w:p>
    <w:p>
      <w:pPr>
        <w:spacing w:after="0" w:line="25" w:lineRule="exact"/>
        <w:rPr>
          <w:rFonts w:ascii="Arial" w:cs="Arial" w:eastAsia="Arial" w:hAnsi="Arial"/>
          <w:sz w:val="13"/>
          <w:szCs w:val="13"/>
          <w:color w:val="008000"/>
        </w:rPr>
      </w:pPr>
    </w:p>
    <w:p>
      <w:pPr>
        <w:jc w:val="both"/>
        <w:ind w:left="40" w:right="4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$26.43 to $27.41, inclusive. The Reporting Person undertakes to provide to the Issuer, any security holder of the Issuer or the staff of the Securities Exchange Commission, upon request, full information regarding the number of securities sold at each separate price within the ranges set forth in this footnote (3) to this Form 4.</w:t>
      </w:r>
    </w:p>
    <w:p>
      <w:pPr>
        <w:spacing w:after="0" w:line="25" w:lineRule="exact"/>
        <w:rPr>
          <w:rFonts w:ascii="Arial" w:cs="Arial" w:eastAsia="Arial" w:hAnsi="Arial"/>
          <w:sz w:val="13"/>
          <w:szCs w:val="13"/>
          <w:color w:val="008000"/>
        </w:rPr>
      </w:pPr>
    </w:p>
    <w:p>
      <w:pPr>
        <w:jc w:val="both"/>
        <w:ind w:left="40" w:right="4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$27.43 to $28.03, inclusive. The Reporting Person undertakes to provide to the Issuer, any security holder of the Issuer or the staff of the Securities Exchange Commission, upon request, full information regarding the number of securities sold at each separate price within the ranges set forth in this footnote (4) to this Form 4.</w:t>
      </w:r>
    </w:p>
    <w:p>
      <w:pPr>
        <w:spacing w:after="0" w:line="25" w:lineRule="exact"/>
        <w:rPr>
          <w:rFonts w:ascii="Arial" w:cs="Arial" w:eastAsia="Arial" w:hAnsi="Arial"/>
          <w:sz w:val="13"/>
          <w:szCs w:val="13"/>
          <w:color w:val="008000"/>
        </w:rPr>
      </w:pPr>
    </w:p>
    <w:p>
      <w:pPr>
        <w:jc w:val="both"/>
        <w:ind w:left="40" w:right="4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$26.05 to $26.99, inclusive. The Reporting Person undertakes to provide to the Issuer, any security holder of the Issuer or the staff of the Securities Exchange Commission, upon request, full information regarding the number of securities sold at each separate price within the ranges set forth in this footnote (5) to this Form 4.</w:t>
      </w:r>
    </w:p>
    <w:p>
      <w:pPr>
        <w:spacing w:after="0" w:line="25" w:lineRule="exact"/>
        <w:rPr>
          <w:rFonts w:ascii="Arial" w:cs="Arial" w:eastAsia="Arial" w:hAnsi="Arial"/>
          <w:sz w:val="13"/>
          <w:szCs w:val="13"/>
          <w:color w:val="008000"/>
        </w:rPr>
      </w:pPr>
    </w:p>
    <w:p>
      <w:pPr>
        <w:jc w:val="both"/>
        <w:ind w:left="40" w:right="2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by the Michael P. Massaro 2021 Irrevocable Trust, of which the Reporting Person's spouse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25" w:lineRule="exact"/>
        <w:rPr>
          <w:rFonts w:ascii="Arial" w:cs="Arial" w:eastAsia="Arial" w:hAnsi="Arial"/>
          <w:sz w:val="13"/>
          <w:szCs w:val="13"/>
          <w:color w:val="008000"/>
        </w:rPr>
      </w:pPr>
    </w:p>
    <w:p>
      <w:pPr>
        <w:ind w:left="40" w:right="2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by the Michael P. Massaro 2021 Qualified Annuity Trust,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2"/>
              </w:rPr>
              <w:t>/s/ Michael Massaro</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01/26/2022</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838" w:orient="portrait"/>
          <w:cols w:equalWidth="0" w:num="1">
            <w:col w:w="11080"/>
          </w:cols>
          <w:pgMar w:left="460" w:top="225" w:right="359" w:bottom="0" w:gutter="0" w:footer="0" w:header="0"/>
          <w:type w:val="continuous"/>
        </w:sectPr>
      </w:pPr>
    </w:p>
    <w:bookmarkStart w:id="1" w:name="page2"/>
    <w:bookmarkEnd w:id="1"/>
    <w:p>
      <w:pPr>
        <w:jc w:val="both"/>
        <w:ind w:right="2480" w:firstLine="7"/>
        <w:spacing w:after="0" w:line="318"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130"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2022-01-26T16:36:39Z</dcterms:created>
  <dcterms:modified xsi:type="dcterms:W3CDTF">2022-01-26T16:36:39Z</dcterms:modified>
</cp:coreProperties>
</file>