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rFonts w:ascii="Arial;sans-serif" w:hAnsi="Arial;sans-serif"/>
          <w:b w:val="false"/>
          <w:sz w:val="2"/>
        </w:rPr>
      </w:pPr>
      <w:bookmarkStart w:id="0" w:name="flyw-20230331.htm"/>
      <w:bookmarkStart w:id="1" w:name="ksflyw20230331"/>
      <w:bookmarkEnd w:id="0"/>
      <w:bookmarkEnd w:id="1"/>
      <w:r>
        <w:rPr>
          <w:rFonts w:ascii="Arial;sans-serif" w:hAnsi="Arial;sans-serif"/>
          <w:b w:val="false"/>
          <w:sz w:val="2"/>
        </w:rPr>
        <w:t>ROC</w:t>
      </w:r>
    </w:p>
    <w:p>
      <w:pPr>
        <w:pStyle w:val="TextBody"/>
        <w:spacing w:before="60" w:after="0"/>
        <w:jc w:val="center"/>
        <w:rPr>
          <w:rFonts w:ascii="Times New Roman" w:hAnsi="Times New Roman"/>
          <w:sz w:val="20"/>
        </w:rPr>
      </w:pPr>
      <w:r>
        <w:rPr>
          <w:rFonts w:ascii="Arial;sans-serif" w:hAnsi="Arial;sans-serif"/>
          <w:b/>
          <w:sz w:val="34"/>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34"/>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2"/>
        </w:rPr>
        <w:t>WASHINGTON, DC 20549</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Arial;sans-serif" w:hAnsi="Arial;sans-serif"/>
          <w:b/>
          <w:sz w:val="34"/>
        </w:rPr>
        <w:t>FORM 10-Q</w:t>
      </w:r>
      <w:r>
        <w:rPr>
          <w:rFonts w:ascii="Times New Roman" w:hAnsi="Times New Roman"/>
          <w:sz w:val="20"/>
        </w:rPr>
        <w:t xml:space="preserve"> </w:t>
      </w:r>
    </w:p>
    <w:p>
      <w:pPr>
        <w:pStyle w:val="TextBody"/>
        <w:spacing w:before="40" w:after="0"/>
        <w:jc w:val="left"/>
        <w:rPr>
          <w:rFonts w:ascii="Arial;sans-serif" w:hAnsi="Arial;sans-serif"/>
          <w:b/>
          <w:sz w:val="18"/>
        </w:rPr>
      </w:pPr>
      <w:r>
        <w:rPr>
          <w:rFonts w:ascii="Arial;sans-serif" w:hAnsi="Arial;sans-serif"/>
          <w:b/>
          <w:sz w:val="18"/>
        </w:rPr>
        <w:t>(Mark One)</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331"/>
        <w:gridCol w:w="10208"/>
      </w:tblGrid>
      <w:tr>
        <w:trPr/>
        <w:tc>
          <w:tcPr>
            <w:tcW w:w="331" w:type="dxa"/>
            <w:tcBorders/>
            <w:shd w:fill="auto" w:val="clear"/>
            <w:vAlign w:val="center"/>
          </w:tcPr>
          <w:p>
            <w:pPr>
              <w:pStyle w:val="TableContents"/>
              <w:spacing w:before="0" w:after="283"/>
              <w:rPr>
                <w:sz w:val="4"/>
                <w:szCs w:val="4"/>
              </w:rPr>
            </w:pPr>
            <w:r>
              <w:rPr>
                <w:sz w:val="4"/>
                <w:szCs w:val="4"/>
              </w:rPr>
            </w:r>
          </w:p>
        </w:tc>
        <w:tc>
          <w:tcPr>
            <w:tcW w:w="10208"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20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2"/>
              </w:rPr>
            </w:pPr>
            <w:r>
              <w:rPr>
                <w:rFonts w:ascii="Arial;sans-serif" w:hAnsi="Arial;sans-serif"/>
                <w:b/>
                <w:sz w:val="22"/>
              </w:rPr>
              <w:t>QUARTERLY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18"/>
        </w:rPr>
        <w:t>For the quarterly period ended March 31, 2023</w:t>
      </w:r>
      <w:r>
        <w:rPr>
          <w:rFonts w:ascii="Arial;sans-serif" w:hAnsi="Arial;sans-serif"/>
          <w:sz w:val="18"/>
        </w:rPr>
        <w:t xml:space="preserve"> </w:t>
      </w:r>
    </w:p>
    <w:p>
      <w:pPr>
        <w:pStyle w:val="TextBody"/>
        <w:spacing w:before="40" w:after="0"/>
        <w:jc w:val="center"/>
        <w:rPr>
          <w:rFonts w:ascii="Times New Roman" w:hAnsi="Times New Roman"/>
          <w:sz w:val="20"/>
        </w:rPr>
      </w:pPr>
      <w:r>
        <w:rPr>
          <w:rFonts w:ascii="Arial;sans-serif" w:hAnsi="Arial;sans-serif"/>
          <w:b/>
          <w:sz w:val="18"/>
        </w:rPr>
        <w:t>OR</w:t>
      </w:r>
      <w:r>
        <w:rPr>
          <w:rFonts w:ascii="Times New Roman" w:hAnsi="Times New Roman"/>
          <w:sz w:val="20"/>
        </w:rPr>
        <w:t xml:space="preserve"> </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331"/>
        <w:gridCol w:w="10208"/>
      </w:tblGrid>
      <w:tr>
        <w:trPr/>
        <w:tc>
          <w:tcPr>
            <w:tcW w:w="331" w:type="dxa"/>
            <w:tcBorders/>
            <w:shd w:fill="auto" w:val="clear"/>
            <w:vAlign w:val="center"/>
          </w:tcPr>
          <w:p>
            <w:pPr>
              <w:pStyle w:val="TableContents"/>
              <w:spacing w:before="0" w:after="283"/>
              <w:rPr>
                <w:sz w:val="4"/>
                <w:szCs w:val="4"/>
              </w:rPr>
            </w:pPr>
            <w:r>
              <w:rPr>
                <w:sz w:val="4"/>
                <w:szCs w:val="4"/>
              </w:rPr>
            </w:r>
          </w:p>
        </w:tc>
        <w:tc>
          <w:tcPr>
            <w:tcW w:w="10208"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20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2"/>
              </w:rPr>
            </w:pPr>
            <w:r>
              <w:rPr>
                <w:rFonts w:ascii="Arial;sans-serif" w:hAnsi="Arial;sans-serif"/>
                <w:b/>
                <w:sz w:val="22"/>
              </w:rPr>
              <w:t>TRANSITION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18"/>
        </w:rPr>
        <w:t>For the transition period from to</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Arial;sans-serif" w:hAnsi="Arial;sans-serif"/>
          <w:b/>
          <w:sz w:val="18"/>
        </w:rPr>
        <w:t>Commission File Number: 001-40430</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Arial;sans-serif" w:hAnsi="Arial;sans-serif"/>
          <w:b/>
          <w:sz w:val="46"/>
        </w:rPr>
        <w:t>FLYWIRE CORPORATION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18"/>
        </w:rPr>
        <w:t>(Exact Name of Registrant as Specified in its Charter)</w:t>
      </w:r>
      <w:r>
        <w:rPr>
          <w:rFonts w:ascii="Times New Roman" w:hAnsi="Times New Roman"/>
          <w:sz w:val="20"/>
        </w:rPr>
        <w:t xml:space="preserve"> </w:t>
      </w:r>
    </w:p>
    <w:tbl>
      <w:tblPr>
        <w:tblW w:w="4847" w:type="dxa"/>
        <w:jc w:val="left"/>
        <w:tblInd w:w="0" w:type="dxa"/>
        <w:tblCellMar>
          <w:top w:w="28" w:type="dxa"/>
          <w:left w:w="28" w:type="dxa"/>
          <w:bottom w:w="28" w:type="dxa"/>
          <w:right w:w="28" w:type="dxa"/>
        </w:tblCellMar>
      </w:tblPr>
      <w:tblGrid>
        <w:gridCol w:w="3271"/>
        <w:gridCol w:w="1576"/>
      </w:tblGrid>
      <w:tr>
        <w:trPr/>
        <w:tc>
          <w:tcPr>
            <w:tcW w:w="3271"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Delaware</w:t>
            </w:r>
          </w:p>
        </w:tc>
        <w:tc>
          <w:tcPr>
            <w:tcW w:w="157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27-0690799</w:t>
            </w:r>
          </w:p>
        </w:tc>
      </w:tr>
      <w:tr>
        <w:trPr/>
        <w:tc>
          <w:tcPr>
            <w:tcW w:w="327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(State or Other Jurisdiction of</w:t>
            </w:r>
          </w:p>
          <w:p>
            <w:pPr>
              <w:pStyle w:val="TableContents"/>
              <w:spacing w:before="0" w:after="20"/>
              <w:ind w:left="0" w:right="0" w:hanging="0"/>
              <w:jc w:val="center"/>
              <w:rPr>
                <w:rFonts w:ascii="Arial;sans-serif" w:hAnsi="Arial;sans-serif"/>
                <w:b/>
                <w:sz w:val="16"/>
              </w:rPr>
            </w:pPr>
            <w:r>
              <w:rPr>
                <w:rFonts w:ascii="Arial;sans-serif" w:hAnsi="Arial;sans-serif"/>
                <w:b/>
                <w:sz w:val="16"/>
              </w:rPr>
              <w:t>Incorporation or Organization)</w:t>
            </w:r>
          </w:p>
        </w:tc>
        <w:tc>
          <w:tcPr>
            <w:tcW w:w="157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(I.R.S. Employer</w:t>
            </w:r>
          </w:p>
          <w:p>
            <w:pPr>
              <w:pStyle w:val="TableContents"/>
              <w:spacing w:before="0" w:after="20"/>
              <w:ind w:left="0" w:right="0" w:hanging="0"/>
              <w:jc w:val="center"/>
              <w:rPr>
                <w:rFonts w:ascii="Arial;sans-serif" w:hAnsi="Arial;sans-serif"/>
                <w:b/>
                <w:sz w:val="16"/>
              </w:rPr>
            </w:pPr>
            <w:r>
              <w:rPr>
                <w:rFonts w:ascii="Arial;sans-serif" w:hAnsi="Arial;sans-serif"/>
                <w:b/>
                <w:sz w:val="16"/>
              </w:rPr>
              <w:t>Identification No.)</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1576" w:type="dxa"/>
            <w:tcBorders/>
            <w:shd w:fill="auto" w:val="clear"/>
            <w:vAlign w:val="center"/>
          </w:tcPr>
          <w:p>
            <w:pPr>
              <w:pStyle w:val="TableContents"/>
              <w:spacing w:before="0" w:after="283"/>
              <w:ind w:left="0" w:right="0" w:hanging="0"/>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141 Tremont St #10</w:t>
            </w:r>
          </w:p>
          <w:p>
            <w:pPr>
              <w:pStyle w:val="TableContents"/>
              <w:spacing w:before="0" w:after="20"/>
              <w:ind w:left="0" w:right="0" w:hanging="0"/>
              <w:jc w:val="center"/>
              <w:rPr>
                <w:rFonts w:ascii="Arial;sans-serif" w:hAnsi="Arial;sans-serif"/>
                <w:b/>
                <w:sz w:val="18"/>
              </w:rPr>
            </w:pPr>
            <w:r>
              <w:rPr>
                <w:rFonts w:ascii="Arial;sans-serif" w:hAnsi="Arial;sans-serif"/>
                <w:b/>
                <w:sz w:val="18"/>
              </w:rPr>
              <w:t>Boston, MA</w:t>
            </w:r>
          </w:p>
        </w:tc>
        <w:tc>
          <w:tcPr>
            <w:tcW w:w="157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02111</w:t>
            </w:r>
          </w:p>
        </w:tc>
      </w:tr>
      <w:tr>
        <w:trPr/>
        <w:tc>
          <w:tcPr>
            <w:tcW w:w="327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(Address of Principal Executive Offices)</w:t>
            </w:r>
          </w:p>
        </w:tc>
        <w:tc>
          <w:tcPr>
            <w:tcW w:w="157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(Zip Code)</w:t>
            </w:r>
          </w:p>
        </w:tc>
      </w:tr>
    </w:tbl>
    <w:p>
      <w:pPr>
        <w:pStyle w:val="TextBody"/>
        <w:spacing w:before="120" w:after="0"/>
        <w:jc w:val="center"/>
        <w:rPr>
          <w:rFonts w:ascii="Times New Roman" w:hAnsi="Times New Roman"/>
          <w:sz w:val="20"/>
        </w:rPr>
      </w:pPr>
      <w:r>
        <w:rPr>
          <w:rFonts w:ascii="Arial;sans-serif" w:hAnsi="Arial;sans-serif"/>
          <w:b/>
          <w:sz w:val="18"/>
        </w:rPr>
        <w:t>Registrant’s telephone number, including area code: (617) 329-4524</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Arial;sans-serif" w:hAnsi="Arial;sans-serif"/>
          <w:b/>
          <w:sz w:val="18"/>
        </w:rPr>
        <w:t>Securities registered pursuant to Section 12(b) of the Act:</w:t>
      </w:r>
      <w:r>
        <w:rPr>
          <w:rFonts w:ascii="Times New Roman" w:hAnsi="Times New Roman"/>
          <w:sz w:val="20"/>
        </w:rPr>
        <w:t xml:space="preserve"> </w:t>
      </w:r>
    </w:p>
    <w:tbl>
      <w:tblPr>
        <w:tblW w:w="8118" w:type="dxa"/>
        <w:jc w:val="left"/>
        <w:tblInd w:w="0" w:type="dxa"/>
        <w:tblCellMar>
          <w:top w:w="28" w:type="dxa"/>
          <w:left w:w="28" w:type="dxa"/>
          <w:bottom w:w="28" w:type="dxa"/>
          <w:right w:w="28" w:type="dxa"/>
        </w:tblCellMar>
      </w:tblPr>
      <w:tblGrid>
        <w:gridCol w:w="4456"/>
        <w:gridCol w:w="916"/>
        <w:gridCol w:w="2746"/>
      </w:tblGrid>
      <w:tr>
        <w:trPr/>
        <w:tc>
          <w:tcPr>
            <w:tcW w:w="445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Title of each class</w:t>
            </w:r>
          </w:p>
        </w:tc>
        <w:tc>
          <w:tcPr>
            <w:tcW w:w="9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Trading</w:t>
            </w:r>
          </w:p>
          <w:p>
            <w:pPr>
              <w:pStyle w:val="TableContents"/>
              <w:spacing w:before="0" w:after="0"/>
              <w:ind w:left="0" w:right="0" w:hanging="0"/>
              <w:jc w:val="center"/>
              <w:rPr>
                <w:rFonts w:ascii="Arial;sans-serif" w:hAnsi="Arial;sans-serif"/>
                <w:b/>
                <w:sz w:val="16"/>
              </w:rPr>
            </w:pPr>
            <w:r>
              <w:rPr>
                <w:rFonts w:ascii="Arial;sans-serif" w:hAnsi="Arial;sans-serif"/>
                <w:b/>
                <w:sz w:val="16"/>
              </w:rPr>
              <w:t>Symbol(s)</w:t>
            </w:r>
          </w:p>
        </w:tc>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Name of each exchange</w:t>
            </w:r>
          </w:p>
          <w:p>
            <w:pPr>
              <w:pStyle w:val="TableContents"/>
              <w:spacing w:before="0" w:after="0"/>
              <w:ind w:left="0" w:right="0" w:hanging="0"/>
              <w:jc w:val="center"/>
              <w:rPr>
                <w:rFonts w:ascii="Arial;sans-serif" w:hAnsi="Arial;sans-serif"/>
                <w:b/>
                <w:sz w:val="16"/>
              </w:rPr>
            </w:pPr>
            <w:r>
              <w:rPr>
                <w:rFonts w:ascii="Arial;sans-serif" w:hAnsi="Arial;sans-serif"/>
                <w:b/>
                <w:sz w:val="16"/>
              </w:rPr>
              <w:t>on which registered</w:t>
            </w:r>
          </w:p>
        </w:tc>
      </w:tr>
      <w:tr>
        <w:trPr/>
        <w:tc>
          <w:tcPr>
            <w:tcW w:w="445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Voting common stock, $0.0001 par value per share</w:t>
            </w:r>
          </w:p>
        </w:tc>
        <w:tc>
          <w:tcPr>
            <w:tcW w:w="91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FLYW</w:t>
            </w:r>
          </w:p>
        </w:tc>
        <w:tc>
          <w:tcPr>
            <w:tcW w:w="274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The Nasdaq Stock Market LLC</w:t>
              <w:br/>
              <w:t>(Nasdaq Global Select Market)</w:t>
            </w:r>
          </w:p>
        </w:tc>
      </w:tr>
    </w:tbl>
    <w:p>
      <w:pPr>
        <w:pStyle w:val="TextBody"/>
        <w:spacing w:before="80" w:after="0"/>
        <w:jc w:val="left"/>
        <w:rPr>
          <w:rFonts w:ascii="Times New Roman" w:hAnsi="Times New Roman"/>
          <w:sz w:val="20"/>
        </w:rPr>
      </w:pPr>
      <w:r>
        <w:rPr>
          <w:rFonts w:ascii="Arial;sans-serif" w:hAnsi="Arial;sans-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8"/>
        </w:rPr>
        <w:t>No ☐</w:t>
      </w:r>
    </w:p>
    <w:p>
      <w:pPr>
        <w:pStyle w:val="TextBody"/>
        <w:spacing w:before="80" w:after="0"/>
        <w:jc w:val="left"/>
        <w:rPr>
          <w:rFonts w:ascii="Times New Roman" w:hAnsi="Times New Roman"/>
          <w:sz w:val="20"/>
        </w:rPr>
      </w:pPr>
      <w:r>
        <w:rPr>
          <w:rFonts w:ascii="Arial;sans-serif" w:hAnsi="Arial;sans-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8"/>
        </w:rPr>
        <w:t>No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Arial;sans-serif" w:hAnsi="Arial;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4939" w:type="dxa"/>
        <w:jc w:val="left"/>
        <w:tblInd w:w="0" w:type="dxa"/>
        <w:tblCellMar>
          <w:top w:w="28" w:type="dxa"/>
          <w:left w:w="28" w:type="dxa"/>
          <w:bottom w:w="28" w:type="dxa"/>
          <w:right w:w="28" w:type="dxa"/>
        </w:tblCellMar>
      </w:tblPr>
      <w:tblGrid>
        <w:gridCol w:w="1951"/>
        <w:gridCol w:w="316"/>
        <w:gridCol w:w="2311"/>
        <w:gridCol w:w="361"/>
      </w:tblGrid>
      <w:tr>
        <w:trPr/>
        <w:tc>
          <w:tcPr>
            <w:tcW w:w="195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Emerging growth company</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80" w:after="0"/>
        <w:jc w:val="left"/>
        <w:rPr>
          <w:rFonts w:ascii="Times New Roman" w:hAnsi="Times New Roman"/>
          <w:sz w:val="20"/>
        </w:rPr>
      </w:pPr>
      <w:r>
        <w:rPr>
          <w:rFonts w:ascii="Arial;sans-serif" w:hAnsi="Arial;sans-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Arial;sans-serif" w:hAnsi="Arial;sans-serif"/>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Arial;sans-serif" w:hAnsi="Arial;sans-serif"/>
          <w:b w:val="false"/>
          <w:sz w:val="18"/>
        </w:rPr>
        <w:t>As of May 5, 2023, the registrant had 108,883,194</w:t>
      </w:r>
      <w:r>
        <w:rPr>
          <w:rFonts w:ascii="Times New Roman" w:hAnsi="Times New Roman"/>
          <w:sz w:val="20"/>
        </w:rPr>
        <w:t xml:space="preserve"> </w:t>
      </w:r>
      <w:r>
        <w:rPr>
          <w:rFonts w:ascii="Arial;sans-serif" w:hAnsi="Arial;sans-serif"/>
          <w:b w:val="false"/>
          <w:sz w:val="18"/>
        </w:rPr>
        <w:t>shares of voting common stock, $0.0001 par value per share, outstanding and 1,873,320</w:t>
      </w:r>
      <w:r>
        <w:rPr>
          <w:rFonts w:ascii="Times New Roman" w:hAnsi="Times New Roman"/>
          <w:sz w:val="20"/>
        </w:rPr>
        <w:t xml:space="preserve"> </w:t>
      </w:r>
      <w:r>
        <w:rPr>
          <w:rFonts w:ascii="Arial;sans-serif" w:hAnsi="Arial;sans-serif"/>
          <w:b w:val="false"/>
          <w:sz w:val="18"/>
        </w:rPr>
        <w:t>shares of non-voting common stock $0.0001 par value per share, outstanding.</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2" w:name="toc_page"/>
      <w:bookmarkEnd w:id="2"/>
      <w:r>
        <w:rPr>
          <w:rFonts w:ascii="Arial;sans-serif" w:hAnsi="Arial;sans-serif"/>
          <w:b/>
          <w:sz w:val="20"/>
        </w:rPr>
        <w:t>Table of Contents</w:t>
      </w:r>
    </w:p>
    <w:tbl>
      <w:tblPr>
        <w:tblW w:w="9348" w:type="dxa"/>
        <w:jc w:val="left"/>
        <w:tblInd w:w="0" w:type="dxa"/>
        <w:tblCellMar>
          <w:top w:w="28" w:type="dxa"/>
          <w:left w:w="28" w:type="dxa"/>
          <w:bottom w:w="28" w:type="dxa"/>
          <w:right w:w="28" w:type="dxa"/>
        </w:tblCellMar>
      </w:tblPr>
      <w:tblGrid>
        <w:gridCol w:w="886"/>
        <w:gridCol w:w="7846"/>
        <w:gridCol w:w="616"/>
      </w:tblGrid>
      <w:tr>
        <w:trPr/>
        <w:tc>
          <w:tcPr>
            <w:tcW w:w="886" w:type="dxa"/>
            <w:tcBorders/>
            <w:shd w:fill="auto" w:val="clear"/>
            <w:vAlign w:val="center"/>
          </w:tcPr>
          <w:p>
            <w:pPr>
              <w:pStyle w:val="TableContents"/>
              <w:spacing w:before="0" w:after="283"/>
              <w:rPr>
                <w:sz w:val="4"/>
                <w:szCs w:val="4"/>
              </w:rPr>
            </w:pPr>
            <w:r>
              <w:rPr>
                <w:sz w:val="4"/>
                <w:szCs w:val="4"/>
              </w:rPr>
            </w:r>
          </w:p>
        </w:tc>
        <w:tc>
          <w:tcPr>
            <w:tcW w:w="784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pecial_note_regarding">
              <w:r>
                <w:rPr>
                  <w:rStyle w:val="InternetLink"/>
                  <w:rFonts w:ascii="Arial;sans-serif" w:hAnsi="Arial;sans-serif"/>
                  <w:b w:val="false"/>
                  <w:sz w:val="20"/>
                  <w:u w:val="single"/>
                </w:rPr>
                <w:t>Special Note Regarding Forward-Looking Statements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Arial;sans-serif" w:hAnsi="Arial;sans-serif"/>
                  <w:b/>
                  <w:sz w:val="20"/>
                  <w:u w:val="single"/>
                </w:rPr>
                <w:t>PART I</w:t>
              </w:r>
            </w:hyperlink>
            <w:r>
              <w:rPr>
                <w:rFonts w:ascii="Arial;sans-serif" w:hAnsi="Arial;sans-serif"/>
                <w:b/>
                <w:sz w:val="20"/>
              </w:rPr>
              <w:t>.</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Arial;sans-serif" w:hAnsi="Arial;sans-serif"/>
                  <w:b w:val="false"/>
                  <w:sz w:val="20"/>
                  <w:u w:val="single"/>
                </w:rPr>
                <w:t>FINANCIAL INFORMATION</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Arial;sans-serif" w:hAnsi="Arial;sans-serif"/>
                  <w:b w:val="false"/>
                  <w:sz w:val="20"/>
                  <w:u w:val="single"/>
                </w:rPr>
                <w:t>Item 1.</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Arial;sans-serif" w:hAnsi="Arial;sans-serif"/>
                  <w:b w:val="false"/>
                  <w:sz w:val="20"/>
                  <w:u w:val="single"/>
                </w:rPr>
                <w:t>Financial Statements (Unaudited)</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balance_sheets">
              <w:r>
                <w:rPr>
                  <w:rStyle w:val="InternetLink"/>
                  <w:rFonts w:ascii="Arial;sans-serif" w:hAnsi="Arial;sans-serif"/>
                  <w:b w:val="false"/>
                  <w:sz w:val="20"/>
                  <w:u w:val="single"/>
                </w:rPr>
                <w:t>Condensed Consolidated Balance Sheets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operations">
              <w:r>
                <w:rPr>
                  <w:rStyle w:val="InternetLink"/>
                  <w:rFonts w:ascii="Arial;sans-serif" w:hAnsi="Arial;sans-serif"/>
                  <w:b w:val="false"/>
                  <w:sz w:val="20"/>
                  <w:u w:val="single"/>
                </w:rPr>
                <w:t>Condensed Consolidated Statements of Operations and Comprehensive Loss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s_stockholders_deficit">
              <w:r>
                <w:rPr>
                  <w:rStyle w:val="InternetLink"/>
                  <w:rFonts w:ascii="Arial;sans-serif" w:hAnsi="Arial;sans-serif"/>
                  <w:b w:val="false"/>
                  <w:sz w:val="20"/>
                  <w:u w:val="single"/>
                </w:rPr>
                <w:t>Condensed Consolidated Statements of Stockholders’ Equity</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ash_flows">
              <w:r>
                <w:rPr>
                  <w:rStyle w:val="InternetLink"/>
                  <w:rFonts w:ascii="Arial;sans-serif" w:hAnsi="Arial;sans-serif"/>
                  <w:b w:val="false"/>
                  <w:sz w:val="20"/>
                  <w:u w:val="single"/>
                </w:rPr>
                <w:t>Condensed Consolidated Statements of Cash Flows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s_to_condensed">
              <w:r>
                <w:rPr>
                  <w:rStyle w:val="InternetLink"/>
                  <w:rFonts w:ascii="Arial;sans-serif" w:hAnsi="Arial;sans-serif"/>
                  <w:b w:val="false"/>
                  <w:sz w:val="20"/>
                  <w:u w:val="single"/>
                </w:rPr>
                <w:t>Notes to Condensed Consolidated Financial Statements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1">
              <w:r>
                <w:rPr>
                  <w:rStyle w:val="InternetLink"/>
                  <w:rFonts w:ascii="Arial;sans-serif" w:hAnsi="Arial;sans-serif"/>
                  <w:b w:val="false"/>
                  <w:sz w:val="20"/>
                  <w:u w:val="single"/>
                </w:rPr>
                <w:t>Note 1. Business Overview and Summary of Significant Accounting Policies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2">
              <w:r>
                <w:rPr>
                  <w:rStyle w:val="InternetLink"/>
                  <w:rFonts w:ascii="Arial;sans-serif" w:hAnsi="Arial;sans-serif"/>
                  <w:b w:val="false"/>
                  <w:sz w:val="20"/>
                  <w:u w:val="single"/>
                </w:rPr>
                <w:t>Note 2. Revenue and Recognition</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3">
              <w:r>
                <w:rPr>
                  <w:rStyle w:val="InternetLink"/>
                  <w:rFonts w:ascii="Arial;sans-serif" w:hAnsi="Arial;sans-serif"/>
                  <w:b w:val="false"/>
                  <w:sz w:val="20"/>
                  <w:u w:val="single"/>
                </w:rPr>
                <w:t>Note 3. Allowance for Credit Losses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4">
              <w:r>
                <w:rPr>
                  <w:rStyle w:val="InternetLink"/>
                  <w:rFonts w:ascii="Arial;sans-serif" w:hAnsi="Arial;sans-serif"/>
                  <w:b w:val="false"/>
                  <w:sz w:val="20"/>
                  <w:u w:val="single"/>
                </w:rPr>
                <w:t>Note 4. Fair Value Measurements</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5">
              <w:r>
                <w:rPr>
                  <w:rStyle w:val="InternetLink"/>
                  <w:rFonts w:ascii="Arial;sans-serif" w:hAnsi="Arial;sans-serif"/>
                  <w:b w:val="false"/>
                  <w:sz w:val="20"/>
                  <w:u w:val="single"/>
                </w:rPr>
                <w:t>Note 5. Derivative Instruments</w:t>
              </w:r>
            </w:hyperlink>
            <w:hyperlink w:anchor="note_5">
              <w:r>
                <w:rPr>
                  <w:rStyle w:val="InternetLink"/>
                  <w:rFonts w:ascii="Times New Roman" w:hAnsi="Times New Roman"/>
                  <w:sz w:val="20"/>
                </w:rPr>
                <w:t xml:space="preserve"> </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6">
              <w:r>
                <w:rPr>
                  <w:rStyle w:val="InternetLink"/>
                  <w:rFonts w:ascii="Arial;sans-serif" w:hAnsi="Arial;sans-serif"/>
                  <w:b w:val="false"/>
                  <w:sz w:val="20"/>
                  <w:u w:val="single"/>
                </w:rPr>
                <w:t>Note 6. Accrued Expenses and Other Current Liabilities</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7">
              <w:r>
                <w:rPr>
                  <w:rStyle w:val="InternetLink"/>
                  <w:rFonts w:ascii="Arial;sans-serif" w:hAnsi="Arial;sans-serif"/>
                  <w:b w:val="false"/>
                  <w:sz w:val="20"/>
                  <w:u w:val="single"/>
                </w:rPr>
                <w:t>Note 7. Property and Equipment, net</w:t>
              </w:r>
            </w:hyperlink>
            <w:hyperlink w:anchor="note_7">
              <w:r>
                <w:rPr>
                  <w:rStyle w:val="InternetLink"/>
                  <w:rFonts w:ascii="Times New Roman" w:hAnsi="Times New Roman"/>
                  <w:sz w:val="20"/>
                </w:rPr>
                <w:t xml:space="preserve"> </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8">
              <w:r>
                <w:rPr>
                  <w:rStyle w:val="InternetLink"/>
                  <w:rFonts w:ascii="Arial;sans-serif" w:hAnsi="Arial;sans-serif"/>
                  <w:b w:val="false"/>
                  <w:sz w:val="20"/>
                  <w:u w:val="single"/>
                </w:rPr>
                <w:t>Note 8. Business Combinations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9">
              <w:r>
                <w:rPr>
                  <w:rStyle w:val="InternetLink"/>
                  <w:rFonts w:ascii="Arial;sans-serif" w:hAnsi="Arial;sans-serif"/>
                  <w:b w:val="false"/>
                  <w:sz w:val="20"/>
                  <w:u w:val="single"/>
                </w:rPr>
                <w:t>Note 9. Goodwill and Acquired Intangible Assets</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10">
              <w:r>
                <w:rPr>
                  <w:rStyle w:val="InternetLink"/>
                  <w:rFonts w:ascii="Arial;sans-serif" w:hAnsi="Arial;sans-serif"/>
                  <w:b w:val="false"/>
                  <w:sz w:val="20"/>
                  <w:u w:val="single"/>
                </w:rPr>
                <w:t>Note 10. Debt</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89"/>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89" w:right="0" w:hanging="0"/>
              <w:jc w:val="left"/>
              <w:rPr/>
            </w:pPr>
            <w:hyperlink w:anchor="note_11">
              <w:r>
                <w:rPr>
                  <w:rStyle w:val="InternetLink"/>
                  <w:rFonts w:ascii="Arial;sans-serif" w:hAnsi="Arial;sans-serif"/>
                  <w:b w:val="false"/>
                  <w:sz w:val="20"/>
                  <w:u w:val="single"/>
                </w:rPr>
                <w:t>Note 11. Stockholders’ Equity</w:t>
              </w:r>
            </w:hyperlink>
            <w:hyperlink w:anchor="note_11">
              <w:r>
                <w:rPr>
                  <w:rStyle w:val="InternetLink"/>
                  <w:rFonts w:ascii="Times New Roman" w:hAnsi="Times New Roman"/>
                  <w:sz w:val="20"/>
                </w:rPr>
                <w:t xml:space="preserve"> </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12">
              <w:r>
                <w:rPr>
                  <w:rStyle w:val="InternetLink"/>
                  <w:rFonts w:ascii="Arial;sans-serif" w:hAnsi="Arial;sans-serif"/>
                  <w:b w:val="false"/>
                  <w:sz w:val="20"/>
                  <w:u w:val="single"/>
                </w:rPr>
                <w:t>Note 12. Stock-Based Compensation</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13">
              <w:r>
                <w:rPr>
                  <w:rStyle w:val="InternetLink"/>
                  <w:rFonts w:ascii="Arial;sans-serif" w:hAnsi="Arial;sans-serif"/>
                  <w:b w:val="false"/>
                  <w:sz w:val="20"/>
                  <w:u w:val="single"/>
                </w:rPr>
                <w:t>Note 13. Net Loss per Share</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7"/>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7" w:right="0" w:hanging="0"/>
              <w:jc w:val="left"/>
              <w:rPr/>
            </w:pPr>
            <w:hyperlink w:anchor="note_14">
              <w:r>
                <w:rPr>
                  <w:rStyle w:val="InternetLink"/>
                  <w:rFonts w:ascii="Arial;sans-serif" w:hAnsi="Arial;sans-serif"/>
                  <w:b w:val="false"/>
                  <w:sz w:val="20"/>
                  <w:u w:val="single"/>
                </w:rPr>
                <w:t>Note 14. Income Taxes</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20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15">
              <w:r>
                <w:rPr>
                  <w:rStyle w:val="InternetLink"/>
                  <w:rFonts w:ascii="Arial;sans-serif" w:hAnsi="Arial;sans-serif"/>
                  <w:b w:val="false"/>
                  <w:sz w:val="20"/>
                  <w:u w:val="single"/>
                </w:rPr>
                <w:t>Note 15. Leases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20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16">
              <w:r>
                <w:rPr>
                  <w:rStyle w:val="InternetLink"/>
                  <w:rFonts w:ascii="Arial;sans-serif" w:hAnsi="Arial;sans-serif"/>
                  <w:b w:val="false"/>
                  <w:sz w:val="20"/>
                  <w:u w:val="single"/>
                </w:rPr>
                <w:t>Note 16. Commitments and Contingencies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21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_17">
              <w:r>
                <w:rPr>
                  <w:rStyle w:val="InternetLink"/>
                  <w:rFonts w:ascii="Arial;sans-serif" w:hAnsi="Arial;sans-serif"/>
                  <w:b w:val="false"/>
                  <w:sz w:val="20"/>
                  <w:u w:val="single"/>
                </w:rPr>
                <w:t>Note 17. Subsequent Events</w:t>
              </w:r>
            </w:hyperlink>
            <w:r>
              <w:rPr>
                <w:rFonts w:ascii="Times New Roman" w:hAnsi="Times New Roman"/>
                <w:sz w:val="20"/>
              </w:rPr>
              <w:t xml:space="preserve"> </w:t>
            </w:r>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
              <w:r>
                <w:rPr>
                  <w:rStyle w:val="InternetLink"/>
                  <w:rFonts w:ascii="Arial;sans-serif" w:hAnsi="Arial;sans-serif"/>
                  <w:b w:val="false"/>
                  <w:sz w:val="20"/>
                  <w:u w:val="single"/>
                </w:rPr>
                <w:t>Item 2.</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
              <w:r>
                <w:rPr>
                  <w:rStyle w:val="InternetLink"/>
                  <w:rFonts w:ascii="Arial;sans-serif" w:hAnsi="Arial;sans-serif"/>
                  <w:b w:val="false"/>
                  <w:sz w:val="20"/>
                  <w:u w:val="single"/>
                </w:rPr>
                <w:t>Management’s Discussion and Analysis of Financial Condition and Results of Operations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
              <w:r>
                <w:rPr>
                  <w:rStyle w:val="InternetLink"/>
                  <w:rFonts w:ascii="Arial;sans-serif" w:hAnsi="Arial;sans-serif"/>
                  <w:b w:val="false"/>
                  <w:sz w:val="20"/>
                  <w:u w:val="single"/>
                </w:rPr>
                <w:t>Item 3.</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
              <w:bookmarkStart w:id="3" w:name="item_3_wantitative"/>
              <w:bookmarkEnd w:id="3"/>
              <w:r>
                <w:rPr>
                  <w:rStyle w:val="InternetLink"/>
                  <w:rFonts w:ascii="Arial;sans-serif" w:hAnsi="Arial;sans-serif"/>
                  <w:b w:val="false"/>
                  <w:sz w:val="20"/>
                  <w:u w:val="single"/>
                </w:rPr>
                <w:t>Quantitative and Qualitative Disclosures About Market Risk</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
              <w:r>
                <w:rPr>
                  <w:rStyle w:val="InternetLink"/>
                  <w:rFonts w:ascii="Arial;sans-serif" w:hAnsi="Arial;sans-serif"/>
                  <w:b w:val="false"/>
                  <w:sz w:val="20"/>
                  <w:u w:val="single"/>
                </w:rPr>
                <w:t>Item 4.</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
              <w:r>
                <w:rPr>
                  <w:rStyle w:val="InternetLink"/>
                  <w:rFonts w:ascii="Arial;sans-serif" w:hAnsi="Arial;sans-serif"/>
                  <w:b w:val="false"/>
                  <w:sz w:val="20"/>
                  <w:u w:val="single"/>
                </w:rPr>
                <w:t>Controls and Procedures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other_info">
              <w:r>
                <w:rPr>
                  <w:rStyle w:val="InternetLink"/>
                  <w:rFonts w:ascii="Arial;sans-serif" w:hAnsi="Arial;sans-serif"/>
                  <w:b w:val="false"/>
                  <w:sz w:val="20"/>
                  <w:u w:val="single"/>
                </w:rPr>
                <w:t>PART II.</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other_info">
              <w:r>
                <w:rPr>
                  <w:rStyle w:val="InternetLink"/>
                  <w:rFonts w:ascii="Arial;sans-serif" w:hAnsi="Arial;sans-serif"/>
                  <w:b w:val="false"/>
                  <w:sz w:val="20"/>
                  <w:u w:val="single"/>
                </w:rPr>
                <w:t>OTHER INFORMATION</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
              <w:r>
                <w:rPr>
                  <w:rStyle w:val="InternetLink"/>
                  <w:rFonts w:ascii="Arial;sans-serif" w:hAnsi="Arial;sans-serif"/>
                  <w:b w:val="false"/>
                  <w:sz w:val="20"/>
                  <w:u w:val="single"/>
                </w:rPr>
                <w:t>Item 1.</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
              <w:r>
                <w:rPr>
                  <w:rStyle w:val="InternetLink"/>
                  <w:rFonts w:ascii="Arial;sans-serif" w:hAnsi="Arial;sans-serif"/>
                  <w:b w:val="false"/>
                  <w:sz w:val="20"/>
                  <w:u w:val="single"/>
                </w:rPr>
                <w:t>Legal Proceedings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
              <w:r>
                <w:rPr>
                  <w:rStyle w:val="InternetLink"/>
                  <w:rFonts w:ascii="Arial;sans-serif" w:hAnsi="Arial;sans-serif"/>
                  <w:b w:val="false"/>
                  <w:sz w:val="20"/>
                  <w:u w:val="single"/>
                </w:rPr>
                <w:t>Item 1A.</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
              <w:r>
                <w:rPr>
                  <w:rStyle w:val="InternetLink"/>
                  <w:rFonts w:ascii="Arial;sans-serif" w:hAnsi="Arial;sans-serif"/>
                  <w:b w:val="false"/>
                  <w:sz w:val="20"/>
                  <w:u w:val="single"/>
                </w:rPr>
                <w:t>Risk Factors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
              <w:r>
                <w:rPr>
                  <w:rStyle w:val="InternetLink"/>
                  <w:rFonts w:ascii="Arial;sans-serif" w:hAnsi="Arial;sans-serif"/>
                  <w:b w:val="false"/>
                  <w:sz w:val="20"/>
                  <w:u w:val="single"/>
                </w:rPr>
                <w:t>Item 2.</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
              <w:r>
                <w:rPr>
                  <w:rStyle w:val="InternetLink"/>
                  <w:rFonts w:ascii="Arial;sans-serif" w:hAnsi="Arial;sans-serif"/>
                  <w:b w:val="false"/>
                  <w:sz w:val="20"/>
                  <w:u w:val="single"/>
                </w:rPr>
                <w:t>Unregistered Sales of Equity Securities and Use of Proceeds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
              <w:r>
                <w:rPr>
                  <w:rStyle w:val="InternetLink"/>
                  <w:rFonts w:ascii="Arial;sans-serif" w:hAnsi="Arial;sans-serif"/>
                  <w:b w:val="false"/>
                  <w:sz w:val="20"/>
                  <w:u w:val="single"/>
                </w:rPr>
                <w:t>Item 3.</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
              <w:r>
                <w:rPr>
                  <w:rStyle w:val="InternetLink"/>
                  <w:rFonts w:ascii="Arial;sans-serif" w:hAnsi="Arial;sans-serif"/>
                  <w:b w:val="false"/>
                  <w:sz w:val="20"/>
                  <w:u w:val="single"/>
                </w:rPr>
                <w:t>Defaults Upon Senior Securities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
              <w:r>
                <w:rPr>
                  <w:rStyle w:val="InternetLink"/>
                  <w:rFonts w:ascii="Arial;sans-serif" w:hAnsi="Arial;sans-serif"/>
                  <w:b w:val="false"/>
                  <w:sz w:val="20"/>
                  <w:u w:val="single"/>
                </w:rPr>
                <w:t>Item 4.</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
              <w:r>
                <w:rPr>
                  <w:rStyle w:val="InternetLink"/>
                  <w:rFonts w:ascii="Arial;sans-serif" w:hAnsi="Arial;sans-serif"/>
                  <w:b w:val="false"/>
                  <w:sz w:val="20"/>
                  <w:u w:val="single"/>
                </w:rPr>
                <w:t>Mine Safety Disclosures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
              <w:r>
                <w:rPr>
                  <w:rStyle w:val="InternetLink"/>
                  <w:rFonts w:ascii="Arial;sans-serif" w:hAnsi="Arial;sans-serif"/>
                  <w:b w:val="false"/>
                  <w:sz w:val="20"/>
                  <w:u w:val="single"/>
                </w:rPr>
                <w:t>Item 5.</w:t>
              </w:r>
            </w:hyperlink>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
              <w:r>
                <w:rPr>
                  <w:rStyle w:val="InternetLink"/>
                  <w:rFonts w:ascii="Arial;sans-serif" w:hAnsi="Arial;sans-serif"/>
                  <w:b w:val="false"/>
                  <w:sz w:val="20"/>
                  <w:u w:val="single"/>
                </w:rPr>
                <w:t>Other Information</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xhibits">
              <w:r>
                <w:rPr>
                  <w:rStyle w:val="InternetLink"/>
                  <w:rFonts w:ascii="Arial;sans-serif" w:hAnsi="Arial;sans-serif"/>
                  <w:b w:val="false"/>
                  <w:sz w:val="20"/>
                  <w:u w:val="single"/>
                </w:rPr>
                <w:t>Item 6</w:t>
              </w:r>
            </w:hyperlink>
            <w:r>
              <w:rPr>
                <w:rFonts w:ascii="Arial;sans-serif" w:hAnsi="Arial;sans-serif"/>
                <w:b w:val="false"/>
                <w:sz w:val="20"/>
              </w:rPr>
              <w:t>.</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xhibits">
              <w:r>
                <w:rPr>
                  <w:rStyle w:val="InternetLink"/>
                  <w:rFonts w:ascii="Arial;sans-serif" w:hAnsi="Arial;sans-serif"/>
                  <w:b w:val="false"/>
                  <w:sz w:val="20"/>
                  <w:u w:val="single"/>
                </w:rPr>
                <w:t>Exhibits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w:t>
            </w:r>
          </w:p>
        </w:tc>
      </w:tr>
      <w:tr>
        <w:trPr/>
        <w:tc>
          <w:tcPr>
            <w:tcW w:w="873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61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84</w:t>
            </w:r>
          </w:p>
        </w:tc>
      </w:tr>
    </w:tbl>
    <w:p>
      <w:pPr>
        <w:pStyle w:val="TextBody"/>
        <w:spacing w:before="0" w:after="0"/>
        <w:jc w:val="left"/>
        <w:rPr/>
      </w:pPr>
      <w:r>
        <w:rPr/>
        <w:t> </w:t>
      </w:r>
    </w:p>
    <w:p>
      <w:pPr>
        <w:pStyle w:val="TextBody"/>
        <w:spacing w:before="0" w:after="200"/>
        <w:jc w:val="center"/>
        <w:rPr/>
      </w:pPr>
      <w:r>
        <w:rPr/>
        <w:t> </w:t>
      </w:r>
    </w:p>
    <w:p>
      <w:pPr>
        <w:pStyle w:val="TextBody"/>
        <w:spacing w:before="0" w:after="0"/>
        <w:jc w:val="center"/>
        <w:rPr/>
      </w:pPr>
      <w:r>
        <w:rPr/>
        <w:t> </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center"/>
        <w:rPr>
          <w:rFonts w:ascii="Times New Roman" w:hAnsi="Times New Roman"/>
          <w:sz w:val="20"/>
        </w:rPr>
      </w:pPr>
      <w:bookmarkStart w:id="4" w:name="special_note_regarding"/>
      <w:bookmarkEnd w:id="4"/>
      <w:r>
        <w:rPr>
          <w:rFonts w:ascii="Arial;sans-serif" w:hAnsi="Arial;sans-serif"/>
          <w:b/>
          <w:sz w:val="20"/>
        </w:rPr>
        <w:t>SPECIAL NOTE REGARDING FORWARD-LOOKING STATEMENTS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r>
        <w:rPr>
          <w:rFonts w:ascii="Times New Roman" w:hAnsi="Times New Roman"/>
          <w:sz w:val="20"/>
        </w:rPr>
        <w:t xml:space="preserve">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business plan and our ability to effectively manage our growth;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cross-border expansion plans and ability to expand internationally;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anticipated trends, growth rates, and challenges in our business and in the markets in which we operate;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the sufficiency of, and ability to access, our cash and cash equivalents to meet our liquidity needs; </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 xml:space="preserve">political, economic, foreign currency exchange rate, inflation, banking, legal, social and health risks and public health measures that may affect our business or the global economy; </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 xml:space="preserve">beliefs and objectives for future operations;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develop and protect our brand;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maintain and grow the payment volume that we process;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further attract, retain, and expand our client base;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develop new solutions and services and bring them to market in a timely manner;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expectations concerning relationships with third parties, including financial institutions and strategic partners;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the effects of increased competition in our markets and our ability to compete effectively;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future acquisitions or investments in complementary companies, products, services, or technologies;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enter new client verticals, including our relatively new business-to-business sector;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expectations regarding anticipated technology needs and developments and our ability to address those needs and developments with our solutions;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expectations regarding litigation and legal and regulatory matters;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expectations regarding our ability to meet existing performance obligations and maintain the operability of our solutions;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expectations regarding the effects of existing and developing laws and regulations, including with respect to payments and financial services, taxation, privacy and data protection;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economic and industry trends, projected growth, or trend analysis; </w:t>
      </w:r>
    </w:p>
    <w:p>
      <w:pPr>
        <w:pStyle w:val="TextBody"/>
        <w:spacing w:before="0" w:after="0"/>
        <w:jc w:val="center"/>
        <w:rPr>
          <w:rFonts w:ascii="Arial;sans-serif" w:hAnsi="Arial;sans-serif"/>
          <w:b w:val="false"/>
          <w:sz w:val="20"/>
        </w:rPr>
      </w:pPr>
      <w:r>
        <w:rPr>
          <w:rFonts w:ascii="Arial;sans-serif" w:hAnsi="Arial;sans-serif"/>
          <w:b w:val="false"/>
          <w:sz w:val="20"/>
        </w:rPr>
        <w:t>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our ability to adapt to changes in U.S. federal income or other tax laws or the interpretation of tax laws, including the recently enacted Inflation Reduction Act of 2022;</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attract and retain qualified employees;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maintain, protect, and enhance our intellectual property;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our ability to maintain the security and availability of our solutions;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the increased expenses associated with being a public company; and </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 xml:space="preserve">the future market price of our common stock. </w:t>
      </w:r>
    </w:p>
    <w:p>
      <w:pPr>
        <w:pStyle w:val="TextBody"/>
        <w:spacing w:before="200" w:after="200"/>
        <w:jc w:val="left"/>
        <w:rPr>
          <w:rFonts w:ascii="Times New Roman" w:hAnsi="Times New Roman"/>
          <w:sz w:val="20"/>
        </w:rPr>
      </w:pPr>
      <w:r>
        <w:rPr>
          <w:rFonts w:ascii="Arial;sans-serif" w:hAnsi="Arial;sans-serif"/>
          <w:b w:val="false"/>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Unless otherwise noted or unless the context provides otherwise, all references in this Quarterly Report on Form 10-Q to our “common stock” refer to our voting common stock.</w:t>
      </w:r>
    </w:p>
    <w:p>
      <w:pPr>
        <w:pStyle w:val="TextBody"/>
        <w:spacing w:before="200" w:after="200"/>
        <w:jc w:val="left"/>
        <w:rPr>
          <w:rFonts w:ascii="Arial;sans-serif" w:hAnsi="Arial;sans-serif"/>
          <w:b w:val="false"/>
          <w:sz w:val="20"/>
        </w:rPr>
      </w:pPr>
      <w:r>
        <w:rPr>
          <w:rFonts w:ascii="Arial;sans-serif" w:hAnsi="Arial;sans-serif"/>
          <w:b w:val="false"/>
          <w:sz w:val="20"/>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Twitter feed (@flywire)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pStyle w:val="TextBody"/>
        <w:spacing w:before="0" w:after="0"/>
        <w:jc w:val="center"/>
        <w:rPr>
          <w:rFonts w:ascii="Arial;sans-serif" w:hAnsi="Arial;sans-serif"/>
          <w:b w:val="false"/>
          <w:sz w:val="20"/>
        </w:rPr>
      </w:pPr>
      <w:r>
        <w:rPr>
          <w:rFonts w:ascii="Arial;sans-serif" w:hAnsi="Arial;sans-serif"/>
          <w:b w:val="false"/>
          <w:sz w:val="20"/>
        </w:rPr>
        <w:t>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20"/>
        </w:rPr>
      </w:pPr>
      <w:bookmarkStart w:id="5" w:name="part_i_financial_information"/>
      <w:bookmarkEnd w:id="5"/>
      <w:r>
        <w:rPr>
          <w:rFonts w:ascii="Arial;sans-serif" w:hAnsi="Arial;sans-serif"/>
          <w:b/>
          <w:sz w:val="20"/>
        </w:rPr>
        <w:t>PART I—FINANCIAL INFORMATION</w:t>
      </w:r>
    </w:p>
    <w:p>
      <w:pPr>
        <w:pStyle w:val="TextBody"/>
        <w:spacing w:before="120" w:after="0"/>
        <w:jc w:val="left"/>
        <w:rPr>
          <w:rFonts w:ascii="Arial;sans-serif" w:hAnsi="Arial;sans-serif"/>
          <w:b/>
          <w:sz w:val="20"/>
        </w:rPr>
      </w:pPr>
      <w:bookmarkStart w:id="6" w:name="item_1_financial_statements"/>
      <w:bookmarkEnd w:id="6"/>
      <w:r>
        <w:rPr>
          <w:rFonts w:ascii="Arial;sans-serif" w:hAnsi="Arial;sans-serif"/>
          <w:b/>
          <w:sz w:val="20"/>
        </w:rPr>
        <w:t>Item 1. Financial Statements</w:t>
      </w:r>
    </w:p>
    <w:p>
      <w:pPr>
        <w:pStyle w:val="TextBody"/>
        <w:spacing w:before="120" w:after="0"/>
        <w:jc w:val="center"/>
        <w:rPr>
          <w:rFonts w:ascii="Times New Roman" w:hAnsi="Times New Roman"/>
          <w:sz w:val="20"/>
        </w:rPr>
      </w:pPr>
      <w:r>
        <w:rPr>
          <w:rFonts w:ascii="Arial;sans-serif" w:hAnsi="Arial;sans-serif"/>
          <w:b/>
          <w:sz w:val="20"/>
        </w:rPr>
        <w:t>FLYWIRE CORPORATION</w:t>
      </w:r>
      <w:r>
        <w:rPr>
          <w:rFonts w:ascii="Times New Roman" w:hAnsi="Times New Roman"/>
          <w:sz w:val="20"/>
        </w:rPr>
        <w:t xml:space="preserve"> </w:t>
      </w:r>
    </w:p>
    <w:p>
      <w:pPr>
        <w:pStyle w:val="TextBody"/>
        <w:spacing w:before="0" w:after="0"/>
        <w:jc w:val="center"/>
        <w:rPr>
          <w:rFonts w:ascii="Times New Roman" w:hAnsi="Times New Roman"/>
          <w:sz w:val="20"/>
        </w:rPr>
      </w:pPr>
      <w:bookmarkStart w:id="7" w:name="condensed_balance_sheets"/>
      <w:bookmarkEnd w:id="7"/>
      <w:r>
        <w:rPr>
          <w:rFonts w:ascii="Arial;sans-serif" w:hAnsi="Arial;sans-serif"/>
          <w:b/>
          <w:sz w:val="20"/>
        </w:rPr>
        <w:t>CONDENSED CONSOLIDATED BALANCE SHEETS</w:t>
      </w:r>
      <w:r>
        <w:rPr>
          <w:rFonts w:ascii="Times New Roman" w:hAnsi="Times New Roman"/>
          <w:sz w:val="20"/>
        </w:rPr>
        <w:t xml:space="preserve"> </w:t>
      </w:r>
    </w:p>
    <w:p>
      <w:pPr>
        <w:pStyle w:val="TextBody"/>
        <w:spacing w:before="0" w:after="200"/>
        <w:jc w:val="center"/>
        <w:rPr>
          <w:rFonts w:ascii="Arial;sans-serif" w:hAnsi="Arial;sans-serif"/>
          <w:b w:val="false"/>
          <w:sz w:val="20"/>
        </w:rPr>
      </w:pPr>
      <w:r>
        <w:rPr>
          <w:rFonts w:ascii="Arial;sans-serif" w:hAnsi="Arial;sans-serif"/>
          <w:b w:val="false"/>
          <w:sz w:val="20"/>
        </w:rPr>
        <w:t>(Unaudited) (Amounts in thousands, except par value per share and share amounts)</w:t>
      </w:r>
    </w:p>
    <w:tbl>
      <w:tblPr>
        <w:tblW w:w="10367" w:type="dxa"/>
        <w:jc w:val="left"/>
        <w:tblInd w:w="0" w:type="dxa"/>
        <w:tblCellMar>
          <w:top w:w="28" w:type="dxa"/>
          <w:left w:w="28" w:type="dxa"/>
          <w:bottom w:w="28" w:type="dxa"/>
          <w:right w:w="28" w:type="dxa"/>
        </w:tblCellMar>
      </w:tblPr>
      <w:tblGrid>
        <w:gridCol w:w="6901"/>
        <w:gridCol w:w="146"/>
        <w:gridCol w:w="211"/>
        <w:gridCol w:w="856"/>
        <w:gridCol w:w="166"/>
        <w:gridCol w:w="146"/>
        <w:gridCol w:w="231"/>
        <w:gridCol w:w="939"/>
        <w:gridCol w:w="771"/>
      </w:tblGrid>
      <w:tr>
        <w:trPr/>
        <w:tc>
          <w:tcPr>
            <w:tcW w:w="6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r>
      <w:tr>
        <w:trPr/>
        <w:tc>
          <w:tcPr>
            <w:tcW w:w="69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sz w:val="19"/>
              </w:rPr>
            </w:pPr>
            <w:r>
              <w:rPr>
                <w:rFonts w:ascii="Arial;sans-serif" w:hAnsi="Arial;sans-serif"/>
                <w:b/>
                <w:sz w:val="19"/>
              </w:rPr>
              <w:t>Assets</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firstLine="280"/>
              <w:jc w:val="righ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327,081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349,177</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2,000</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17,938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13,697</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Unbilled receivables,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4,021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5,268</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Funds receivable from payment partners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28,647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62,970</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16,206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17,531</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6901" w:type="dxa"/>
            <w:tcBorders/>
            <w:shd w:fill="auto" w:val="clear"/>
            <w:vAlign w:val="center"/>
          </w:tcPr>
          <w:p>
            <w:pPr>
              <w:pStyle w:val="TableContents"/>
              <w:spacing w:before="0" w:after="0"/>
              <w:ind w:left="560" w:right="0" w:hanging="0"/>
              <w:jc w:val="left"/>
              <w:rPr>
                <w:rFonts w:ascii="Arial;sans-serif" w:hAnsi="Arial;sans-serif"/>
                <w:b w:val="false"/>
                <w:sz w:val="19"/>
              </w:rPr>
            </w:pPr>
            <w:r>
              <w:rPr>
                <w:rFonts w:ascii="Arial;sans-serif" w:hAnsi="Arial;sans-serif"/>
                <w:b w:val="false"/>
                <w:sz w:val="19"/>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395,893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450,643</w:t>
            </w:r>
          </w:p>
        </w:tc>
        <w:tc>
          <w:tcPr>
            <w:tcW w:w="771" w:type="dxa"/>
            <w:tcBorders/>
            <w:shd w:fill="auto" w:val="cle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14,274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13,317</w:t>
            </w:r>
          </w:p>
        </w:tc>
        <w:tc>
          <w:tcPr>
            <w:tcW w:w="771" w:type="dxa"/>
            <w:tcBorders/>
            <w:shd w:fill="auto" w:val="cle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95,079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97,616</w:t>
            </w:r>
          </w:p>
        </w:tc>
        <w:tc>
          <w:tcPr>
            <w:tcW w:w="771" w:type="dxa"/>
            <w:tcBorders/>
            <w:shd w:fill="auto" w:val="cle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98,329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97,766</w:t>
            </w:r>
          </w:p>
        </w:tc>
        <w:tc>
          <w:tcPr>
            <w:tcW w:w="771" w:type="dxa"/>
            <w:tcBorders/>
            <w:shd w:fill="auto" w:val="cle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17,399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14,945</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6901" w:type="dxa"/>
            <w:tcBorders/>
            <w:shd w:fill="auto" w:val="clear"/>
            <w:vAlign w:val="center"/>
          </w:tcPr>
          <w:p>
            <w:pPr>
              <w:pStyle w:val="TableContents"/>
              <w:spacing w:before="0" w:after="0"/>
              <w:ind w:left="560" w:right="0" w:hanging="0"/>
              <w:jc w:val="left"/>
              <w:rPr>
                <w:rFonts w:ascii="Arial;sans-serif" w:hAnsi="Arial;sans-serif"/>
                <w:b w:val="false"/>
                <w:sz w:val="19"/>
              </w:rPr>
            </w:pPr>
            <w:r>
              <w:rPr>
                <w:rFonts w:ascii="Arial;sans-serif" w:hAnsi="Arial;sans-serif"/>
                <w:b w:val="false"/>
                <w:sz w:val="19"/>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620,974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9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674,287</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sz w:val="19"/>
              </w:rPr>
            </w:pPr>
            <w:r>
              <w:rPr>
                <w:rFonts w:ascii="Arial;sans-serif" w:hAnsi="Arial;sans-serif"/>
                <w:b/>
                <w:sz w:val="19"/>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firstLine="280"/>
              <w:jc w:val="righ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14,169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13,325</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Funds payable to clients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63,962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124,305</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34,345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33,109</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3,755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5,223</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1,314</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6901" w:type="dxa"/>
            <w:tcBorders/>
            <w:shd w:fill="auto" w:val="clear"/>
            <w:vAlign w:val="center"/>
          </w:tcPr>
          <w:p>
            <w:pPr>
              <w:pStyle w:val="TableContents"/>
              <w:spacing w:before="0" w:after="0"/>
              <w:ind w:left="560" w:right="0" w:hanging="0"/>
              <w:jc w:val="left"/>
              <w:rPr>
                <w:rFonts w:ascii="Arial;sans-serif" w:hAnsi="Arial;sans-serif"/>
                <w:b w:val="false"/>
                <w:sz w:val="19"/>
              </w:rPr>
            </w:pPr>
            <w:r>
              <w:rPr>
                <w:rFonts w:ascii="Arial;sans-serif" w:hAnsi="Arial;sans-serif"/>
                <w:b w:val="false"/>
                <w:sz w:val="19"/>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116,252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177,276</w:t>
            </w:r>
          </w:p>
        </w:tc>
        <w:tc>
          <w:tcPr>
            <w:tcW w:w="771" w:type="dxa"/>
            <w:tcBorders/>
            <w:shd w:fill="auto" w:val="cle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12,069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12,149</w:t>
            </w:r>
          </w:p>
        </w:tc>
        <w:tc>
          <w:tcPr>
            <w:tcW w:w="771" w:type="dxa"/>
            <w:tcBorders/>
            <w:shd w:fill="auto" w:val="cle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Contingent consideration,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18</w:t>
            </w:r>
          </w:p>
        </w:tc>
        <w:tc>
          <w:tcPr>
            <w:tcW w:w="771" w:type="dxa"/>
            <w:tcBorders/>
            <w:shd w:fill="auto" w:val="cle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2,469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2,941</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6901" w:type="dxa"/>
            <w:tcBorders/>
            <w:shd w:fill="auto" w:val="clear"/>
            <w:vAlign w:val="center"/>
          </w:tcPr>
          <w:p>
            <w:pPr>
              <w:pStyle w:val="TableContents"/>
              <w:spacing w:before="0" w:after="0"/>
              <w:ind w:left="560" w:right="0" w:hanging="0"/>
              <w:jc w:val="left"/>
              <w:rPr>
                <w:rFonts w:ascii="Arial;sans-serif" w:hAnsi="Arial;sans-serif"/>
                <w:b w:val="false"/>
                <w:sz w:val="19"/>
              </w:rPr>
            </w:pPr>
            <w:r>
              <w:rPr>
                <w:rFonts w:ascii="Arial;sans-serif" w:hAnsi="Arial;sans-serif"/>
                <w:b w:val="false"/>
                <w:sz w:val="19"/>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130,810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192,384</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Commitments and contingencies (Note 16)</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90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firstLine="280"/>
              <w:jc w:val="right"/>
              <w:rPr/>
            </w:pPr>
            <w:r>
              <w:rPr/>
              <w:t> </w:t>
            </w:r>
          </w:p>
        </w:tc>
      </w:tr>
      <w:tr>
        <w:trPr/>
        <w:tc>
          <w:tcPr>
            <w:tcW w:w="6901"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19"/>
              </w:rPr>
              <w:t>Preferred stock, $0.0001</w:t>
            </w:r>
            <w:r>
              <w:rPr>
                <w:rFonts w:ascii="Times New Roman" w:hAnsi="Times New Roman"/>
                <w:sz w:val="20"/>
              </w:rPr>
              <w:t> </w:t>
            </w:r>
            <w:r>
              <w:rPr>
                <w:rFonts w:ascii="Arial;sans-serif" w:hAnsi="Arial;sans-serif"/>
                <w:b w:val="false"/>
                <w:sz w:val="19"/>
              </w:rPr>
              <w:t>par value; 10,000,000</w:t>
            </w:r>
            <w:r>
              <w:rPr>
                <w:rFonts w:ascii="Times New Roman" w:hAnsi="Times New Roman"/>
                <w:sz w:val="20"/>
              </w:rPr>
              <w:t> </w:t>
            </w:r>
            <w:r>
              <w:rPr>
                <w:rFonts w:ascii="Arial;sans-serif" w:hAnsi="Arial;sans-serif"/>
                <w:b w:val="false"/>
                <w:sz w:val="19"/>
              </w:rPr>
              <w:t xml:space="preserve">shares authorized as </w:t>
              <w:br/>
              <w:t>   of March 31, 2023 and December 31, 2022; and no</w:t>
            </w:r>
            <w:r>
              <w:rPr>
                <w:rFonts w:ascii="Times New Roman" w:hAnsi="Times New Roman"/>
                <w:sz w:val="20"/>
              </w:rPr>
              <w:t> </w:t>
            </w:r>
            <w:r>
              <w:rPr>
                <w:rFonts w:ascii="Arial;sans-serif" w:hAnsi="Arial;sans-serif"/>
                <w:b w:val="false"/>
                <w:sz w:val="19"/>
              </w:rPr>
              <w:t xml:space="preserve">shares issued </w:t>
              <w:br/>
              <w:t>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pPr>
            <w:r>
              <w:rPr/>
              <w:t>—</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19"/>
              </w:rPr>
              <w:t>Voting common stock, $0.0001</w:t>
            </w:r>
            <w:r>
              <w:rPr>
                <w:rFonts w:ascii="Times New Roman" w:hAnsi="Times New Roman"/>
                <w:sz w:val="20"/>
              </w:rPr>
              <w:t> </w:t>
            </w:r>
            <w:r>
              <w:rPr>
                <w:rFonts w:ascii="Arial;sans-serif" w:hAnsi="Arial;sans-serif"/>
                <w:b w:val="false"/>
                <w:sz w:val="19"/>
              </w:rPr>
              <w:t>par value; 2,000,000,000</w:t>
            </w:r>
            <w:r>
              <w:rPr>
                <w:rFonts w:ascii="Times New Roman" w:hAnsi="Times New Roman"/>
                <w:sz w:val="20"/>
              </w:rPr>
              <w:t> </w:t>
            </w:r>
            <w:r>
              <w:rPr>
                <w:rFonts w:ascii="Arial;sans-serif" w:hAnsi="Arial;sans-serif"/>
                <w:b w:val="false"/>
                <w:sz w:val="19"/>
              </w:rPr>
              <w:t xml:space="preserve">shares </w:t>
              <w:br/>
              <w:t>   authorized as of March 31, 2023 and December 31, 2022; 111,042,997</w:t>
              <w:br/>
              <w:t>   shares issued and 108,725,275</w:t>
            </w:r>
            <w:r>
              <w:rPr>
                <w:rFonts w:ascii="Times New Roman" w:hAnsi="Times New Roman"/>
                <w:sz w:val="20"/>
              </w:rPr>
              <w:t> </w:t>
            </w:r>
            <w:r>
              <w:rPr>
                <w:rFonts w:ascii="Arial;sans-serif" w:hAnsi="Arial;sans-serif"/>
                <w:b w:val="false"/>
                <w:sz w:val="19"/>
              </w:rPr>
              <w:t xml:space="preserve">shares outstanding as of March 31, 2023; </w:t>
              <w:br/>
              <w:t>   109,790,702</w:t>
            </w:r>
            <w:r>
              <w:rPr>
                <w:rFonts w:ascii="Times New Roman" w:hAnsi="Times New Roman"/>
                <w:sz w:val="20"/>
              </w:rPr>
              <w:t> </w:t>
            </w:r>
            <w:r>
              <w:rPr>
                <w:rFonts w:ascii="Arial;sans-serif" w:hAnsi="Arial;sans-serif"/>
                <w:b w:val="false"/>
                <w:sz w:val="19"/>
              </w:rPr>
              <w:t>shares issued and 107,472,980</w:t>
            </w:r>
            <w:r>
              <w:rPr>
                <w:rFonts w:ascii="Times New Roman" w:hAnsi="Times New Roman"/>
                <w:sz w:val="20"/>
              </w:rPr>
              <w:t> </w:t>
            </w:r>
            <w:r>
              <w:rPr>
                <w:rFonts w:ascii="Arial;sans-serif" w:hAnsi="Arial;sans-serif"/>
                <w:b w:val="false"/>
                <w:sz w:val="19"/>
              </w:rPr>
              <w:t xml:space="preserve">shares outstanding as </w:t>
              <w:br/>
              <w:t>   of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10</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19"/>
              </w:rPr>
              <w:t>Non-voting common stock, $0.0001</w:t>
            </w:r>
            <w:r>
              <w:rPr>
                <w:rFonts w:ascii="Times New Roman" w:hAnsi="Times New Roman"/>
                <w:sz w:val="20"/>
              </w:rPr>
              <w:t> </w:t>
            </w:r>
            <w:r>
              <w:rPr>
                <w:rFonts w:ascii="Arial;sans-serif" w:hAnsi="Arial;sans-serif"/>
                <w:b w:val="false"/>
                <w:sz w:val="19"/>
              </w:rPr>
              <w:t>par value; 10,000,000</w:t>
            </w:r>
            <w:r>
              <w:rPr>
                <w:rFonts w:ascii="Times New Roman" w:hAnsi="Times New Roman"/>
                <w:sz w:val="20"/>
              </w:rPr>
              <w:t> </w:t>
            </w:r>
            <w:r>
              <w:rPr>
                <w:rFonts w:ascii="Arial;sans-serif" w:hAnsi="Arial;sans-serif"/>
                <w:b w:val="false"/>
                <w:sz w:val="19"/>
              </w:rPr>
              <w:t xml:space="preserve">shares </w:t>
              <w:br/>
              <w:t>   authorized as of March 31, 2023 and December 31, 2022; 1,873,320</w:t>
            </w:r>
            <w:r>
              <w:rPr>
                <w:rFonts w:ascii="Times New Roman" w:hAnsi="Times New Roman"/>
                <w:sz w:val="20"/>
              </w:rPr>
              <w:t> </w:t>
            </w:r>
            <w:r>
              <w:rPr>
                <w:rFonts w:ascii="Arial;sans-serif" w:hAnsi="Arial;sans-serif"/>
                <w:b w:val="false"/>
                <w:sz w:val="19"/>
              </w:rPr>
              <w:t xml:space="preserve">shares </w:t>
              <w:br/>
              <w:t>   issued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w:t>
            </w:r>
          </w:p>
        </w:tc>
        <w:tc>
          <w:tcPr>
            <w:tcW w:w="771" w:type="dxa"/>
            <w:tcBorders/>
            <w:shd w:fill="auto" w:val="clear"/>
            <w:vAlign w:val="center"/>
          </w:tcPr>
          <w:p>
            <w:pPr>
              <w:pStyle w:val="TableContents"/>
              <w:spacing w:before="0" w:after="0"/>
              <w:ind w:left="0" w:right="0" w:firstLine="280"/>
              <w:jc w:val="left"/>
              <w:rPr/>
            </w:pPr>
            <w:r>
              <w:rPr/>
              <w:t> </w:t>
            </w:r>
          </w:p>
        </w:tc>
      </w:tr>
      <w:tr>
        <w:trPr/>
        <w:tc>
          <w:tcPr>
            <w:tcW w:w="6901"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19"/>
              </w:rPr>
              <w:t>Treasury voting common stock, 2,317,722</w:t>
            </w:r>
            <w:r>
              <w:rPr>
                <w:rFonts w:ascii="Times New Roman" w:hAnsi="Times New Roman"/>
                <w:sz w:val="20"/>
              </w:rPr>
              <w:t> </w:t>
            </w:r>
            <w:r>
              <w:rPr>
                <w:rFonts w:ascii="Arial;sans-serif" w:hAnsi="Arial;sans-serif"/>
                <w:b w:val="false"/>
                <w:sz w:val="19"/>
              </w:rPr>
              <w:t xml:space="preserve">shares as of March 31, 2023 and </w:t>
              <w:br/>
              <w:t>   December 31, 2022, held at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(748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(748</w:t>
            </w:r>
          </w:p>
        </w:tc>
        <w:tc>
          <w:tcPr>
            <w:tcW w:w="771" w:type="dxa"/>
            <w:tcBorders/>
            <w:shd w:fill="auto" w:val="clear"/>
            <w:vAlign w:val="center"/>
          </w:tcPr>
          <w:p>
            <w:pPr>
              <w:pStyle w:val="TableContents"/>
              <w:spacing w:before="0" w:after="0"/>
              <w:ind w:left="0" w:right="0" w:firstLine="420"/>
              <w:jc w:val="left"/>
              <w:rPr>
                <w:rFonts w:ascii="Arial;sans-serif" w:hAnsi="Arial;sans-serif"/>
                <w:b w:val="false"/>
                <w:sz w:val="19"/>
              </w:rPr>
            </w:pPr>
            <w:r>
              <w:rPr>
                <w:rFonts w:ascii="Arial;sans-serif" w:hAnsi="Arial;sans-serif"/>
                <w:b w:val="false"/>
                <w:sz w:val="19"/>
              </w:rPr>
              <w:t>)</w:t>
            </w:r>
          </w:p>
        </w:tc>
      </w:tr>
      <w:tr>
        <w:trPr/>
        <w:tc>
          <w:tcPr>
            <w:tcW w:w="6901" w:type="dxa"/>
            <w:tcBorders/>
            <w:shd w:fill="auto" w:val="clear"/>
            <w:vAlign w:val="center"/>
          </w:tcPr>
          <w:p>
            <w:pPr>
              <w:pStyle w:val="TableContents"/>
              <w:spacing w:before="0" w:after="0"/>
              <w:ind w:left="420" w:right="0" w:hanging="0"/>
              <w:jc w:val="left"/>
              <w:rPr>
                <w:rFonts w:ascii="Arial;sans-serif" w:hAnsi="Arial;sans-serif"/>
                <w:b w:val="false"/>
                <w:sz w:val="19"/>
              </w:rPr>
            </w:pPr>
            <w:r>
              <w:rPr>
                <w:rFonts w:ascii="Arial;sans-serif" w:hAnsi="Arial;sans-serif"/>
                <w:b w:val="false"/>
                <w:sz w:val="19"/>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662,067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649,756</w:t>
            </w:r>
          </w:p>
        </w:tc>
        <w:tc>
          <w:tcPr>
            <w:tcW w:w="771" w:type="dxa"/>
            <w:tcBorders/>
            <w:shd w:fill="auto" w:val="clear"/>
            <w:vAlign w:val="center"/>
          </w:tcPr>
          <w:p>
            <w:pPr>
              <w:pStyle w:val="TableContents"/>
              <w:spacing w:before="0" w:after="0"/>
              <w:ind w:left="0" w:right="0" w:firstLine="420"/>
              <w:jc w:val="left"/>
              <w:rPr/>
            </w:pPr>
            <w:r>
              <w:rPr/>
              <w:t> </w:t>
            </w:r>
          </w:p>
        </w:tc>
      </w:tr>
      <w:tr>
        <w:trPr/>
        <w:tc>
          <w:tcPr>
            <w:tcW w:w="6901" w:type="dxa"/>
            <w:tcBorders/>
            <w:shd w:fill="auto" w:val="clear"/>
            <w:vAlign w:val="center"/>
          </w:tcPr>
          <w:p>
            <w:pPr>
              <w:pStyle w:val="TableContents"/>
              <w:spacing w:before="0" w:after="0"/>
              <w:ind w:left="420" w:right="0" w:hanging="0"/>
              <w:jc w:val="left"/>
              <w:rPr>
                <w:rFonts w:ascii="Arial;sans-serif" w:hAnsi="Arial;sans-serif"/>
                <w:b w:val="false"/>
                <w:sz w:val="19"/>
              </w:rPr>
            </w:pPr>
            <w:r>
              <w:rPr>
                <w:rFonts w:ascii="Arial;sans-serif" w:hAnsi="Arial;sans-serif"/>
                <w:b w:val="false"/>
                <w:sz w:val="19"/>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(2,279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(1,912</w:t>
            </w:r>
          </w:p>
        </w:tc>
        <w:tc>
          <w:tcPr>
            <w:tcW w:w="771" w:type="dxa"/>
            <w:tcBorders/>
            <w:shd w:fill="auto" w:val="clear"/>
            <w:vAlign w:val="center"/>
          </w:tcPr>
          <w:p>
            <w:pPr>
              <w:pStyle w:val="TableContents"/>
              <w:spacing w:before="0" w:after="0"/>
              <w:ind w:left="0" w:right="0" w:firstLine="420"/>
              <w:jc w:val="left"/>
              <w:rPr>
                <w:rFonts w:ascii="Arial;sans-serif" w:hAnsi="Arial;sans-serif"/>
                <w:b w:val="false"/>
                <w:sz w:val="19"/>
              </w:rPr>
            </w:pPr>
            <w:r>
              <w:rPr>
                <w:rFonts w:ascii="Arial;sans-serif" w:hAnsi="Arial;sans-serif"/>
                <w:b w:val="false"/>
                <w:sz w:val="19"/>
              </w:rPr>
              <w:t>)</w:t>
            </w:r>
          </w:p>
        </w:tc>
      </w:tr>
      <w:tr>
        <w:trPr/>
        <w:tc>
          <w:tcPr>
            <w:tcW w:w="6901" w:type="dxa"/>
            <w:tcBorders/>
            <w:shd w:fill="auto" w:val="clear"/>
            <w:vAlign w:val="center"/>
          </w:tcPr>
          <w:p>
            <w:pPr>
              <w:pStyle w:val="TableContents"/>
              <w:spacing w:before="0" w:after="0"/>
              <w:ind w:left="420" w:right="0" w:hanging="0"/>
              <w:jc w:val="left"/>
              <w:rPr>
                <w:rFonts w:ascii="Arial;sans-serif" w:hAnsi="Arial;sans-serif"/>
                <w:b w:val="false"/>
                <w:sz w:val="19"/>
              </w:rPr>
            </w:pPr>
            <w:r>
              <w:rPr>
                <w:rFonts w:ascii="Arial;sans-serif" w:hAnsi="Arial;sans-serif"/>
                <w:b w:val="false"/>
                <w:sz w:val="19"/>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(168,887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(165,204</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19"/>
              </w:rPr>
            </w:pPr>
            <w:r>
              <w:rPr>
                <w:rFonts w:ascii="Arial;sans-serif" w:hAnsi="Arial;sans-serif"/>
                <w:b w:val="false"/>
                <w:sz w:val="19"/>
              </w:rPr>
              <w:t>)</w:t>
            </w:r>
          </w:p>
        </w:tc>
      </w:tr>
      <w:tr>
        <w:trPr/>
        <w:tc>
          <w:tcPr>
            <w:tcW w:w="6901" w:type="dxa"/>
            <w:tcBorders/>
            <w:shd w:fill="auto" w:val="clear"/>
            <w:vAlign w:val="center"/>
          </w:tcPr>
          <w:p>
            <w:pPr>
              <w:pStyle w:val="TableContents"/>
              <w:spacing w:before="0" w:after="0"/>
              <w:ind w:left="560" w:right="0" w:hanging="0"/>
              <w:jc w:val="left"/>
              <w:rPr>
                <w:rFonts w:ascii="Arial;sans-serif" w:hAnsi="Arial;sans-serif"/>
                <w:b w:val="false"/>
                <w:sz w:val="19"/>
              </w:rPr>
            </w:pPr>
            <w:r>
              <w:rPr>
                <w:rFonts w:ascii="Arial;sans-serif" w:hAnsi="Arial;sans-serif"/>
                <w:b w:val="false"/>
                <w:sz w:val="19"/>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490,164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481,903</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6901" w:type="dxa"/>
            <w:tcBorders/>
            <w:shd w:fill="auto" w:val="clear"/>
            <w:vAlign w:val="center"/>
          </w:tcPr>
          <w:p>
            <w:pPr>
              <w:pStyle w:val="TableContents"/>
              <w:spacing w:before="0" w:after="0"/>
              <w:ind w:left="560" w:right="0" w:hanging="0"/>
              <w:jc w:val="left"/>
              <w:rPr>
                <w:rFonts w:ascii="Arial;sans-serif" w:hAnsi="Arial;sans-serif"/>
                <w:b w:val="false"/>
                <w:sz w:val="19"/>
              </w:rPr>
            </w:pPr>
            <w:r>
              <w:rPr>
                <w:rFonts w:ascii="Arial;sans-serif" w:hAnsi="Arial;sans-serif"/>
                <w:b w:val="false"/>
                <w:sz w:val="19"/>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620,974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9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674,287</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center"/>
        <w:rPr>
          <w:rFonts w:ascii="Arial;sans-serif" w:hAnsi="Arial;sans-serif"/>
          <w:b w:val="false"/>
          <w:sz w:val="20"/>
        </w:rPr>
      </w:pPr>
      <w:r>
        <w:rPr>
          <w:rFonts w:ascii="Arial;sans-serif" w:hAnsi="Arial;sans-serif"/>
          <w:b w:val="false"/>
          <w:sz w:val="20"/>
        </w:rPr>
        <w:t>The accompanying notes are an integral part of these unaudited condensed consolidated financial statements.</w:t>
      </w:r>
    </w:p>
    <w:p>
      <w:pPr>
        <w:pStyle w:val="TextBody"/>
        <w:spacing w:before="0" w:after="0"/>
        <w:jc w:val="center"/>
        <w:rPr>
          <w:rFonts w:ascii="Arial;sans-serif" w:hAnsi="Arial;sans-serif"/>
          <w:b w:val="false"/>
          <w:sz w:val="20"/>
        </w:rPr>
      </w:pPr>
      <w:r>
        <w:rPr>
          <w:rFonts w:ascii="Arial;sans-serif" w:hAnsi="Arial;sans-serif"/>
          <w:b w:val="false"/>
          <w:sz w:val="20"/>
        </w:rPr>
        <w:t>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bookmarkStart w:id="8" w:name="fin469729_52"/>
      <w:bookmarkEnd w:id="8"/>
      <w:r>
        <w:rPr>
          <w:rFonts w:ascii="Arial;sans-serif" w:hAnsi="Arial;sans-serif"/>
          <w:b/>
          <w:sz w:val="20"/>
        </w:rPr>
        <w:t>FLYWIRE CORPORATION</w:t>
      </w:r>
      <w:r>
        <w:rPr>
          <w:rFonts w:ascii="Times New Roman" w:hAnsi="Times New Roman"/>
          <w:sz w:val="20"/>
        </w:rPr>
        <w:t xml:space="preserve"> </w:t>
      </w:r>
    </w:p>
    <w:p>
      <w:pPr>
        <w:pStyle w:val="TextBody"/>
        <w:spacing w:before="0" w:after="0"/>
        <w:jc w:val="center"/>
        <w:rPr>
          <w:rFonts w:ascii="Times New Roman" w:hAnsi="Times New Roman"/>
          <w:sz w:val="20"/>
        </w:rPr>
      </w:pPr>
      <w:bookmarkStart w:id="9" w:name="condensed_consolidated_operations"/>
      <w:bookmarkEnd w:id="9"/>
      <w:r>
        <w:rPr>
          <w:rFonts w:ascii="Arial;sans-serif" w:hAnsi="Arial;sans-serif"/>
          <w:b/>
          <w:sz w:val="20"/>
        </w:rPr>
        <w:t>CONDENSED CONSOLIDATED STATEMENTS OF OPERATIONS AND COMPREHENSIVE LOSS</w:t>
      </w:r>
      <w:r>
        <w:rPr>
          <w:rFonts w:ascii="Times New Roman" w:hAnsi="Times New Roman"/>
          <w:sz w:val="20"/>
        </w:rPr>
        <w:t xml:space="preserve"> </w:t>
      </w:r>
    </w:p>
    <w:p>
      <w:pPr>
        <w:pStyle w:val="TextBody"/>
        <w:spacing w:before="0" w:after="200"/>
        <w:jc w:val="center"/>
        <w:rPr>
          <w:rFonts w:ascii="Times New Roman" w:hAnsi="Times New Roman"/>
          <w:sz w:val="20"/>
        </w:rPr>
      </w:pPr>
      <w:r>
        <w:rPr>
          <w:rFonts w:ascii="Arial;sans-serif" w:hAnsi="Arial;sans-serif"/>
          <w:b w:val="false"/>
          <w:sz w:val="20"/>
        </w:rPr>
        <w:t>(Unaudited) (Amounts in thousands, except share and per share amounts)</w:t>
      </w:r>
      <w:r>
        <w:rPr>
          <w:rFonts w:ascii="Times New Roman" w:hAnsi="Times New Roman"/>
          <w:sz w:val="20"/>
        </w:rPr>
        <w:t xml:space="preserve"> </w:t>
      </w:r>
    </w:p>
    <w:tbl>
      <w:tblPr>
        <w:tblW w:w="9869" w:type="dxa"/>
        <w:jc w:val="left"/>
        <w:tblInd w:w="0" w:type="dxa"/>
        <w:tblCellMar>
          <w:top w:w="28" w:type="dxa"/>
          <w:left w:w="28" w:type="dxa"/>
          <w:bottom w:w="28" w:type="dxa"/>
          <w:right w:w="28" w:type="dxa"/>
        </w:tblCellMar>
      </w:tblPr>
      <w:tblGrid>
        <w:gridCol w:w="6016"/>
        <w:gridCol w:w="146"/>
        <w:gridCol w:w="211"/>
        <w:gridCol w:w="1171"/>
        <w:gridCol w:w="166"/>
        <w:gridCol w:w="146"/>
        <w:gridCol w:w="211"/>
        <w:gridCol w:w="1171"/>
        <w:gridCol w:w="631"/>
      </w:tblGrid>
      <w:tr>
        <w:trPr/>
        <w:tc>
          <w:tcPr>
            <w:tcW w:w="6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0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94,357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64,553</w:t>
            </w:r>
          </w:p>
        </w:tc>
        <w:tc>
          <w:tcPr>
            <w:tcW w:w="631" w:type="dxa"/>
            <w:tcBorders/>
            <w:shd w:fill="auto" w:val="cle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Costs and operating expenses:</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631" w:type="dxa"/>
            <w:tcBorders/>
            <w:shd w:fill="auto" w:val="clear"/>
            <w:vAlign w:val="center"/>
          </w:tcPr>
          <w:p>
            <w:pPr>
              <w:pStyle w:val="TableContents"/>
              <w:spacing w:before="0" w:after="0"/>
              <w:ind w:left="0" w:right="0" w:firstLine="280"/>
              <w:jc w:val="right"/>
              <w:rPr/>
            </w:pPr>
            <w:r>
              <w:rPr/>
              <w:t> </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Payment processing services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33,855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24,253</w:t>
            </w:r>
          </w:p>
        </w:tc>
        <w:tc>
          <w:tcPr>
            <w:tcW w:w="631" w:type="dxa"/>
            <w:tcBorders/>
            <w:shd w:fill="auto" w:val="clear"/>
            <w:vAlign w:val="center"/>
          </w:tcPr>
          <w:p>
            <w:pPr>
              <w:pStyle w:val="TableContents"/>
              <w:spacing w:before="0" w:after="0"/>
              <w:ind w:left="0" w:right="0" w:firstLine="280"/>
              <w:jc w:val="left"/>
              <w:rPr/>
            </w:pPr>
            <w:r>
              <w:rPr/>
              <w:t> </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Technology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14,523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10,976</w:t>
            </w:r>
          </w:p>
        </w:tc>
        <w:tc>
          <w:tcPr>
            <w:tcW w:w="631" w:type="dxa"/>
            <w:tcBorders/>
            <w:shd w:fill="auto" w:val="clear"/>
            <w:vAlign w:val="center"/>
          </w:tcPr>
          <w:p>
            <w:pPr>
              <w:pStyle w:val="TableContents"/>
              <w:spacing w:before="0" w:after="0"/>
              <w:ind w:left="0" w:right="0" w:firstLine="280"/>
              <w:jc w:val="left"/>
              <w:rPr/>
            </w:pPr>
            <w:r>
              <w:rPr/>
              <w:t> </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Selling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24,434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17,608</w:t>
            </w:r>
          </w:p>
        </w:tc>
        <w:tc>
          <w:tcPr>
            <w:tcW w:w="631" w:type="dxa"/>
            <w:tcBorders/>
            <w:shd w:fill="auto" w:val="clear"/>
            <w:vAlign w:val="center"/>
          </w:tcPr>
          <w:p>
            <w:pPr>
              <w:pStyle w:val="TableContents"/>
              <w:spacing w:before="0" w:after="0"/>
              <w:ind w:left="0" w:right="0" w:firstLine="280"/>
              <w:jc w:val="left"/>
              <w:rPr/>
            </w:pPr>
            <w:r>
              <w:rPr/>
              <w:t> </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28,113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18,820</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20"/>
              <w:jc w:val="left"/>
              <w:rPr/>
            </w:pPr>
            <w:r>
              <w:rPr/>
              <w:t> </w:t>
            </w:r>
          </w:p>
        </w:tc>
      </w:tr>
      <w:tr>
        <w:trPr/>
        <w:tc>
          <w:tcPr>
            <w:tcW w:w="601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Total costs and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100,925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71,657</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(7,104</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631" w:type="dxa"/>
            <w:tcBorders/>
            <w:shd w:fill="auto" w:val="clear"/>
            <w:vAlign w:val="center"/>
          </w:tcPr>
          <w:p>
            <w:pPr>
              <w:pStyle w:val="TableContents"/>
              <w:spacing w:before="0" w:after="0"/>
              <w:ind w:left="0" w:right="0" w:firstLine="280"/>
              <w:jc w:val="right"/>
              <w:rPr/>
            </w:pPr>
            <w:r>
              <w:rPr/>
              <w:t> </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(218</w:t>
            </w:r>
          </w:p>
        </w:tc>
        <w:tc>
          <w:tcPr>
            <w:tcW w:w="63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631" w:type="dxa"/>
            <w:tcBorders/>
            <w:shd w:fill="auto" w:val="clear"/>
            <w:vAlign w:val="center"/>
          </w:tcPr>
          <w:p>
            <w:pPr>
              <w:pStyle w:val="TableContents"/>
              <w:spacing w:before="0" w:after="0"/>
              <w:ind w:left="0" w:right="0" w:firstLine="280"/>
              <w:jc w:val="left"/>
              <w:rPr/>
            </w:pPr>
            <w:r>
              <w:rPr/>
              <w:t> </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Gain (loss) from remeasurement of foreign currency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(2,327</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Total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(2,545</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(3,266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(9,649</w:t>
            </w:r>
          </w:p>
        </w:tc>
        <w:tc>
          <w:tcPr>
            <w:tcW w:w="63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500</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(3,683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(10,149</w:t>
            </w:r>
          </w:p>
        </w:tc>
        <w:tc>
          <w:tcPr>
            <w:tcW w:w="6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(10,239</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 attributable to common stockholders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(10,149</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 xml:space="preserve">Net loss per share attributable to common stockholders - basic and </w:t>
              <w:br/>
              <w:t>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(0.03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(0.10</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Weighted average common shares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109,787,528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106,739,771</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20"/>
        </w:rPr>
        <w:t>FLYWIRE CORPORATION</w:t>
      </w:r>
      <w:r>
        <w:rPr>
          <w:rFonts w:ascii="Times New Roman" w:hAnsi="Times New Roman"/>
          <w:sz w:val="20"/>
        </w:rPr>
        <w:t xml:space="preserve"> </w:t>
      </w:r>
    </w:p>
    <w:p>
      <w:pPr>
        <w:pStyle w:val="TextBody"/>
        <w:spacing w:before="0" w:after="0"/>
        <w:jc w:val="center"/>
        <w:rPr>
          <w:rFonts w:ascii="Times New Roman" w:hAnsi="Times New Roman"/>
          <w:sz w:val="20"/>
        </w:rPr>
      </w:pPr>
      <w:bookmarkStart w:id="10" w:name="statements_stockholders_deficit"/>
      <w:bookmarkEnd w:id="10"/>
      <w:r>
        <w:rPr>
          <w:rFonts w:ascii="Arial;sans-serif" w:hAnsi="Arial;sans-serif"/>
          <w:b/>
          <w:sz w:val="20"/>
        </w:rPr>
        <w:t>CONDENSED CONSOLIDATED STATEMENTS OF STOCKHOLDERS’ EQUITY</w:t>
      </w:r>
      <w:r>
        <w:rPr>
          <w:rFonts w:ascii="Times New Roman" w:hAnsi="Times New Roman"/>
          <w:sz w:val="20"/>
        </w:rPr>
        <w:t xml:space="preserve"> </w:t>
      </w:r>
    </w:p>
    <w:p>
      <w:pPr>
        <w:pStyle w:val="TextBody"/>
        <w:spacing w:before="0" w:after="200"/>
        <w:jc w:val="center"/>
        <w:rPr>
          <w:rFonts w:ascii="Times New Roman" w:hAnsi="Times New Roman"/>
          <w:sz w:val="20"/>
        </w:rPr>
      </w:pPr>
      <w:r>
        <w:rPr>
          <w:rFonts w:ascii="Arial;sans-serif" w:hAnsi="Arial;sans-serif"/>
          <w:b w:val="false"/>
          <w:sz w:val="20"/>
        </w:rPr>
        <w:t>(Unaudited) (Amounts in thousands, except share amounts)</w:t>
      </w:r>
      <w:r>
        <w:rPr>
          <w:rFonts w:ascii="Times New Roman" w:hAnsi="Times New Roman"/>
          <w:sz w:val="20"/>
        </w:rPr>
        <w:t xml:space="preserve"> </w:t>
      </w:r>
    </w:p>
    <w:tbl>
      <w:tblPr>
        <w:tblW w:w="11239" w:type="dxa"/>
        <w:jc w:val="left"/>
        <w:tblInd w:w="0" w:type="dxa"/>
        <w:tblCellMar>
          <w:top w:w="28" w:type="dxa"/>
          <w:left w:w="28" w:type="dxa"/>
          <w:bottom w:w="28" w:type="dxa"/>
          <w:right w:w="28" w:type="dxa"/>
        </w:tblCellMar>
      </w:tblPr>
      <w:tblGrid>
        <w:gridCol w:w="826"/>
        <w:gridCol w:w="146"/>
        <w:gridCol w:w="146"/>
        <w:gridCol w:w="146"/>
        <w:gridCol w:w="706"/>
        <w:gridCol w:w="146"/>
        <w:gridCol w:w="185"/>
        <w:gridCol w:w="386"/>
        <w:gridCol w:w="146"/>
        <w:gridCol w:w="146"/>
        <w:gridCol w:w="146"/>
        <w:gridCol w:w="586"/>
        <w:gridCol w:w="146"/>
        <w:gridCol w:w="146"/>
        <w:gridCol w:w="185"/>
        <w:gridCol w:w="386"/>
        <w:gridCol w:w="146"/>
        <w:gridCol w:w="146"/>
        <w:gridCol w:w="146"/>
        <w:gridCol w:w="631"/>
        <w:gridCol w:w="151"/>
        <w:gridCol w:w="146"/>
        <w:gridCol w:w="185"/>
        <w:gridCol w:w="386"/>
        <w:gridCol w:w="151"/>
        <w:gridCol w:w="146"/>
        <w:gridCol w:w="173"/>
        <w:gridCol w:w="518"/>
        <w:gridCol w:w="146"/>
        <w:gridCol w:w="146"/>
        <w:gridCol w:w="276"/>
        <w:gridCol w:w="700"/>
        <w:gridCol w:w="151"/>
        <w:gridCol w:w="146"/>
        <w:gridCol w:w="197"/>
        <w:gridCol w:w="644"/>
        <w:gridCol w:w="151"/>
        <w:gridCol w:w="146"/>
        <w:gridCol w:w="210"/>
        <w:gridCol w:w="631"/>
        <w:gridCol w:w="196"/>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9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Non-Voting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 xml:space="preserve">Treasury Voting </w:t>
              <w:br/>
              <w:t>Common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Accumulated</w:t>
              <w:br/>
              <w:t>Other</w:t>
              <w:br/>
              <w:t>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Total</w:t>
              <w:br/>
              <w:t>Stockholders</w:t>
            </w:r>
          </w:p>
        </w:tc>
        <w:tc>
          <w:tcPr>
            <w:tcW w:w="196" w:type="dxa"/>
            <w:tcBorders/>
            <w:shd w:fill="auto" w:val="clear"/>
            <w:vAlign w:val="center"/>
          </w:tcPr>
          <w:p>
            <w:pPr>
              <w:pStyle w:val="TableContents"/>
              <w:spacing w:before="0" w:after="0"/>
              <w:ind w:left="0" w:right="0" w:hanging="0"/>
              <w:jc w:val="center"/>
              <w:rPr/>
            </w:pPr>
            <w:r>
              <w:rPr/>
              <w:t> </w:t>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Balances at January 1, 2023</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109,790,702</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1,873,320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(2,317,722</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(748</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649,756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700"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(1,912</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44"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(165,204</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481,903</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Issuance of common stock</w:t>
              <w:br/>
              <w:t xml:space="preserve">   upon exercise of stock </w:t>
              <w:br/>
              <w:t>   options</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590,254</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2,144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2,144</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Issuance of common stock</w:t>
              <w:br/>
              <w:t xml:space="preserve">   upon settlement of restricted </w:t>
              <w:br/>
              <w:t>   stock units</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578,477</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Issuance of common</w:t>
              <w:br/>
              <w:t>   stock under employee</w:t>
              <w:br/>
              <w:t>   stock purchase plan</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55,232</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864</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 xml:space="preserve">Issuance of common stock for </w:t>
              <w:br/>
              <w:t>   retention bonus</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28,332</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700</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Foreign currency translation</w:t>
              <w:br/>
              <w:t>   adjustment</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(367</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(367</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Stock-based compensation</w:t>
              <w:br/>
              <w:t>   expense</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8,603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8,603</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Net loss</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(3,683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(3,683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Balances at March 31, 2023</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111,042,997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1,873,320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(2,317,722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(748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662,067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(2,279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(168,887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490,164</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9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Non-Voting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 xml:space="preserve">Treasury Voting </w:t>
              <w:br/>
              <w:t>Common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Accumulated</w:t>
              <w:br/>
              <w:t>Other</w:t>
              <w:br/>
              <w:t>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shd w:fill="auto" w:val="cle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Total</w:t>
              <w:br/>
              <w:t>Stockholders</w:t>
            </w:r>
          </w:p>
        </w:tc>
        <w:tc>
          <w:tcPr>
            <w:tcW w:w="196" w:type="dxa"/>
            <w:tcBorders/>
            <w:shd w:fill="auto" w:val="clear"/>
            <w:vAlign w:val="center"/>
          </w:tcPr>
          <w:p>
            <w:pPr>
              <w:pStyle w:val="TableContents"/>
              <w:spacing w:before="0" w:after="0"/>
              <w:ind w:left="0" w:right="0" w:hanging="0"/>
              <w:jc w:val="center"/>
              <w:rPr/>
            </w:pPr>
            <w:r>
              <w:rPr/>
              <w:t> </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Balances at January 1, 2022</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102,771,899</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5,988,378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(2,317,722</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(748</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609,194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700"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(399</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44"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(125,857</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482,201</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Issuance of common stock</w:t>
              <w:br/>
              <w:t xml:space="preserve">   upon exercise of stock </w:t>
              <w:br/>
              <w:t xml:space="preserve">   options, net of shares </w:t>
              <w:br/>
              <w:t>   withheld</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617,278</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 xml:space="preserve">— </w:t>
            </w: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660</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Issuance of common stock</w:t>
              <w:br/>
              <w:t xml:space="preserve">   upon settlement of restricted </w:t>
              <w:br/>
              <w:t>   stock units</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20,604</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Foreign currency translation</w:t>
              <w:br/>
              <w:t>   adjustment</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Stock-based compensation</w:t>
              <w:br/>
              <w:t>   expense</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5,495</w:t>
            </w:r>
          </w:p>
        </w:tc>
        <w:tc>
          <w:tcPr>
            <w:tcW w:w="196"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Net loss</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(10,149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(10,149</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Balances at March 31, 2022</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103,409,781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5,988,378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(2,317,722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(748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615,349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(489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(136,006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478,117</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Arial;sans-serif" w:hAnsi="Arial;sans-serif"/>
          <w:b w:val="false"/>
          <w:sz w:val="16"/>
        </w:rPr>
      </w:pPr>
      <w:r>
        <w:rPr>
          <w:rFonts w:ascii="Arial;sans-serif" w:hAnsi="Arial;sans-serif"/>
          <w:b w:val="false"/>
          <w:sz w:val="16"/>
        </w:rPr>
        <w:t>______________________________</w:t>
      </w:r>
    </w:p>
    <w:p>
      <w:pPr>
        <w:pStyle w:val="TextBody"/>
        <w:spacing w:before="0" w:after="200"/>
        <w:jc w:val="left"/>
        <w:rPr>
          <w:rFonts w:ascii="Arial;sans-serif" w:hAnsi="Arial;sans-serif"/>
          <w:b w:val="false"/>
          <w:sz w:val="16"/>
        </w:rPr>
      </w:pPr>
      <w:r>
        <w:rPr>
          <w:rFonts w:ascii="Arial;sans-serif" w:hAnsi="Arial;sans-serif"/>
          <w:b w:val="false"/>
          <w:sz w:val="16"/>
        </w:rPr>
        <w:t>* amount less than $1 thousand</w:t>
      </w:r>
    </w:p>
    <w:p>
      <w:pPr>
        <w:pStyle w:val="TextBody"/>
        <w:spacing w:before="0" w:after="0"/>
        <w:jc w:val="center"/>
        <w:rPr>
          <w:rFonts w:ascii="Times New Roman" w:hAnsi="Times New Roman"/>
          <w:sz w:val="20"/>
        </w:rPr>
      </w:pPr>
      <w:r>
        <w:rPr>
          <w:rFonts w:ascii="Arial;sans-serif" w:hAnsi="Arial;sans-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20"/>
        </w:rPr>
        <w:t>FLYWIRE CORPORATION</w:t>
      </w:r>
      <w:r>
        <w:rPr>
          <w:rFonts w:ascii="Times New Roman" w:hAnsi="Times New Roman"/>
          <w:sz w:val="20"/>
        </w:rPr>
        <w:t xml:space="preserve"> </w:t>
      </w:r>
    </w:p>
    <w:p>
      <w:pPr>
        <w:pStyle w:val="TextBody"/>
        <w:spacing w:before="0" w:after="0"/>
        <w:jc w:val="center"/>
        <w:rPr>
          <w:rFonts w:ascii="Times New Roman" w:hAnsi="Times New Roman"/>
          <w:sz w:val="20"/>
        </w:rPr>
      </w:pPr>
      <w:bookmarkStart w:id="11" w:name="condensed_cash_flows"/>
      <w:bookmarkEnd w:id="11"/>
      <w:r>
        <w:rPr>
          <w:rFonts w:ascii="Arial;sans-serif" w:hAnsi="Arial;sans-serif"/>
          <w:b/>
          <w:sz w:val="20"/>
        </w:rPr>
        <w:t>CONDENSED CONSOLIDATED STATEMENT OF CASH FLOWS</w:t>
      </w:r>
      <w:r>
        <w:rPr>
          <w:rFonts w:ascii="Times New Roman" w:hAnsi="Times New Roman"/>
          <w:sz w:val="20"/>
        </w:rPr>
        <w:t xml:space="preserve"> </w:t>
      </w:r>
    </w:p>
    <w:p>
      <w:pPr>
        <w:pStyle w:val="TextBody"/>
        <w:spacing w:before="0" w:after="200"/>
        <w:jc w:val="center"/>
        <w:rPr>
          <w:rFonts w:ascii="Times New Roman" w:hAnsi="Times New Roman"/>
          <w:sz w:val="20"/>
        </w:rPr>
      </w:pPr>
      <w:r>
        <w:rPr>
          <w:rFonts w:ascii="Arial;sans-serif" w:hAnsi="Arial;sans-serif"/>
          <w:b w:val="false"/>
          <w:sz w:val="20"/>
        </w:rPr>
        <w:t>(Unaudited) (Amounts in thousands)</w:t>
      </w:r>
      <w:r>
        <w:rPr>
          <w:rFonts w:ascii="Times New Roman" w:hAnsi="Times New Roman"/>
          <w:sz w:val="20"/>
        </w:rPr>
        <w:t xml:space="preserve"> </w:t>
      </w:r>
    </w:p>
    <w:tbl>
      <w:tblPr>
        <w:tblW w:w="10171" w:type="dxa"/>
        <w:jc w:val="left"/>
        <w:tblInd w:w="0" w:type="dxa"/>
        <w:tblCellMar>
          <w:top w:w="28" w:type="dxa"/>
          <w:left w:w="28" w:type="dxa"/>
          <w:bottom w:w="28" w:type="dxa"/>
          <w:right w:w="28" w:type="dxa"/>
        </w:tblCellMar>
      </w:tblPr>
      <w:tblGrid>
        <w:gridCol w:w="6706"/>
        <w:gridCol w:w="146"/>
        <w:gridCol w:w="231"/>
        <w:gridCol w:w="872"/>
        <w:gridCol w:w="182"/>
        <w:gridCol w:w="160"/>
        <w:gridCol w:w="231"/>
        <w:gridCol w:w="872"/>
        <w:gridCol w:w="771"/>
      </w:tblGrid>
      <w:tr>
        <w:trPr/>
        <w:tc>
          <w:tcPr>
            <w:tcW w:w="6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r>
      <w:tr>
        <w:trPr/>
        <w:tc>
          <w:tcPr>
            <w:tcW w:w="6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(3,683</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(10,149</w:t>
            </w:r>
          </w:p>
        </w:tc>
        <w:tc>
          <w:tcPr>
            <w:tcW w:w="7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 xml:space="preserve">Adjustments to reconcile net loss to net cash used in operating </w:t>
              <w:br/>
              <w:t>   activities:</w:t>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firstLine="280"/>
              <w:jc w:val="right"/>
              <w:rPr/>
            </w:pPr>
            <w:r>
              <w:rPr/>
              <w:t> </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3,731</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2,817</w:t>
            </w:r>
          </w:p>
        </w:tc>
        <w:tc>
          <w:tcPr>
            <w:tcW w:w="771" w:type="dxa"/>
            <w:tcBorders/>
            <w:shd w:fill="auto" w:val="clear"/>
            <w:vAlign w:val="center"/>
          </w:tcPr>
          <w:p>
            <w:pPr>
              <w:pStyle w:val="TableContents"/>
              <w:spacing w:before="0" w:after="0"/>
              <w:ind w:left="0" w:right="0" w:firstLine="280"/>
              <w:jc w:val="left"/>
              <w:rPr/>
            </w:pPr>
            <w:r>
              <w:rPr/>
              <w:t> </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8,603</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5,495</w:t>
            </w:r>
          </w:p>
        </w:tc>
        <w:tc>
          <w:tcPr>
            <w:tcW w:w="771" w:type="dxa"/>
            <w:tcBorders/>
            <w:shd w:fill="auto" w:val="clear"/>
            <w:vAlign w:val="center"/>
          </w:tcPr>
          <w:p>
            <w:pPr>
              <w:pStyle w:val="TableContents"/>
              <w:spacing w:before="0" w:after="0"/>
              <w:ind w:left="0" w:right="0" w:firstLine="280"/>
              <w:jc w:val="left"/>
              <w:rPr/>
            </w:pPr>
            <w:r>
              <w:rPr/>
              <w:t> </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Amortization of deferred contract costs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w:t>
            </w:r>
          </w:p>
        </w:tc>
        <w:tc>
          <w:tcPr>
            <w:tcW w:w="771" w:type="dxa"/>
            <w:tcBorders/>
            <w:shd w:fill="auto" w:val="clear"/>
            <w:vAlign w:val="center"/>
          </w:tcPr>
          <w:p>
            <w:pPr>
              <w:pStyle w:val="TableContents"/>
              <w:spacing w:before="0" w:after="0"/>
              <w:ind w:left="0" w:right="0" w:firstLine="280"/>
              <w:jc w:val="left"/>
              <w:rPr/>
            </w:pPr>
            <w:r>
              <w:rPr/>
              <w:t> </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Change in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410</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77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Deferred tax benefit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(620</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77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Provision for uncollectible accounts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771" w:type="dxa"/>
            <w:tcBorders/>
            <w:shd w:fill="auto" w:val="clear"/>
            <w:vAlign w:val="center"/>
          </w:tcPr>
          <w:p>
            <w:pPr>
              <w:pStyle w:val="TableContents"/>
              <w:spacing w:before="0" w:after="0"/>
              <w:ind w:left="0" w:right="0" w:firstLine="280"/>
              <w:jc w:val="left"/>
              <w:rPr/>
            </w:pPr>
            <w:r>
              <w:rPr/>
              <w:t> </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Non-cash interest expense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771" w:type="dxa"/>
            <w:tcBorders/>
            <w:shd w:fill="auto" w:val="clear"/>
            <w:vAlign w:val="center"/>
          </w:tcPr>
          <w:p>
            <w:pPr>
              <w:pStyle w:val="TableContents"/>
              <w:spacing w:before="0" w:after="0"/>
              <w:ind w:left="0" w:right="0" w:firstLine="280"/>
              <w:jc w:val="left"/>
              <w:rPr/>
            </w:pPr>
            <w:r>
              <w:rPr/>
              <w:t> </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Changes in operating assets and liabilities, net of acquisitions:</w:t>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firstLine="420"/>
              <w:jc w:val="right"/>
              <w:rPr/>
            </w:pPr>
            <w:r>
              <w:rPr/>
              <w:t> </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(4,324</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(839</w:t>
            </w:r>
          </w:p>
        </w:tc>
        <w:tc>
          <w:tcPr>
            <w:tcW w:w="771" w:type="dxa"/>
            <w:tcBorders/>
            <w:shd w:fill="auto" w:val="cle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Unbilled receivables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1,247</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1,129</w:t>
            </w:r>
          </w:p>
        </w:tc>
        <w:tc>
          <w:tcPr>
            <w:tcW w:w="771" w:type="dxa"/>
            <w:tcBorders/>
            <w:shd w:fill="auto" w:val="clear"/>
            <w:vAlign w:val="center"/>
          </w:tcPr>
          <w:p>
            <w:pPr>
              <w:pStyle w:val="TableContents"/>
              <w:spacing w:before="0" w:after="0"/>
              <w:ind w:left="0" w:right="0" w:firstLine="420"/>
              <w:jc w:val="left"/>
              <w:rPr/>
            </w:pPr>
            <w:r>
              <w:rPr/>
              <w:t> </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Funds receivable from payment partners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34,323</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9,133</w:t>
            </w:r>
          </w:p>
        </w:tc>
        <w:tc>
          <w:tcPr>
            <w:tcW w:w="771" w:type="dxa"/>
            <w:tcBorders/>
            <w:shd w:fill="auto" w:val="clear"/>
            <w:vAlign w:val="center"/>
          </w:tcPr>
          <w:p>
            <w:pPr>
              <w:pStyle w:val="TableContents"/>
              <w:spacing w:before="0" w:after="0"/>
              <w:ind w:left="0" w:right="0" w:firstLine="420"/>
              <w:jc w:val="left"/>
              <w:rPr/>
            </w:pPr>
            <w:r>
              <w:rPr/>
              <w:t> </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Prepaid expenses, other current assets and other assets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(828</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262</w:t>
            </w:r>
          </w:p>
        </w:tc>
        <w:tc>
          <w:tcPr>
            <w:tcW w:w="771" w:type="dxa"/>
            <w:tcBorders/>
            <w:shd w:fill="auto" w:val="clear"/>
            <w:vAlign w:val="center"/>
          </w:tcPr>
          <w:p>
            <w:pPr>
              <w:pStyle w:val="TableContents"/>
              <w:spacing w:before="0" w:after="0"/>
              <w:ind w:left="0" w:right="0" w:firstLine="420"/>
              <w:jc w:val="left"/>
              <w:rPr/>
            </w:pPr>
            <w:r>
              <w:rPr/>
              <w:t> </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Funds payable to clients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(60,343</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(16,374</w:t>
            </w:r>
          </w:p>
        </w:tc>
        <w:tc>
          <w:tcPr>
            <w:tcW w:w="771" w:type="dxa"/>
            <w:tcBorders/>
            <w:shd w:fill="auto" w:val="cle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Accounts payable, 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2,780</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(3,615</w:t>
            </w:r>
          </w:p>
        </w:tc>
        <w:tc>
          <w:tcPr>
            <w:tcW w:w="771" w:type="dxa"/>
            <w:tcBorders/>
            <w:shd w:fill="auto" w:val="cle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(4,524</w:t>
            </w:r>
          </w:p>
        </w:tc>
        <w:tc>
          <w:tcPr>
            <w:tcW w:w="771" w:type="dxa"/>
            <w:tcBorders/>
            <w:shd w:fill="auto" w:val="cle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(413</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(385</w:t>
            </w:r>
          </w:p>
        </w:tc>
        <w:tc>
          <w:tcPr>
            <w:tcW w:w="771" w:type="dxa"/>
            <w:tcBorders/>
            <w:shd w:fill="auto" w:val="cle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420" w:right="0" w:hanging="0"/>
              <w:jc w:val="left"/>
              <w:rPr>
                <w:rFonts w:ascii="Arial;sans-serif" w:hAnsi="Arial;sans-serif"/>
                <w:b w:val="false"/>
                <w:sz w:val="20"/>
              </w:rPr>
            </w:pPr>
            <w:r>
              <w:rPr>
                <w:rFonts w:ascii="Arial;sans-serif" w:hAnsi="Arial;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(1,526</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(20,846</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(17,005</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Capitalization of internally developed software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(1,368</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(1,205</w:t>
            </w:r>
          </w:p>
        </w:tc>
        <w:tc>
          <w:tcPr>
            <w:tcW w:w="7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(481</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(1,849</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(1,307</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Contingent consideration paid for acquisitions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(1,207</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(3,320</w:t>
            </w:r>
          </w:p>
        </w:tc>
        <w:tc>
          <w:tcPr>
            <w:tcW w:w="7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Payments of tax withholdings for net settled option exercises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(756</w:t>
            </w:r>
          </w:p>
        </w:tc>
        <w:tc>
          <w:tcPr>
            <w:tcW w:w="7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Proceeds from the issuance of stock under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864</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771" w:type="dxa"/>
            <w:tcBorders/>
            <w:shd w:fill="auto" w:val="cle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2,144</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1,071</w:t>
            </w:r>
          </w:p>
        </w:tc>
        <w:tc>
          <w:tcPr>
            <w:tcW w:w="771" w:type="dxa"/>
            <w:tcBorders/>
            <w:shd w:fill="auto" w:val="clear"/>
            <w:vAlign w:val="center"/>
          </w:tcPr>
          <w:p>
            <w:pPr>
              <w:pStyle w:val="TableContents"/>
              <w:spacing w:before="0" w:after="0"/>
              <w:ind w:left="0" w:right="0" w:firstLine="560"/>
              <w:jc w:val="left"/>
              <w:rPr/>
            </w:pPr>
            <w:r>
              <w:rPr/>
              <w:t> </w:t>
            </w:r>
          </w:p>
        </w:tc>
      </w:tr>
      <w:tr>
        <w:trPr/>
        <w:tc>
          <w:tcPr>
            <w:tcW w:w="670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Net cash provided by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1,801</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7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(3,005</w:t>
            </w:r>
          </w:p>
        </w:tc>
        <w:tc>
          <w:tcPr>
            <w:tcW w:w="77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Effect of exchange rates changes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(1,202</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1,702</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(22,096</w:t>
            </w:r>
          </w:p>
        </w:tc>
        <w:tc>
          <w:tcPr>
            <w:tcW w:w="18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(19,615</w:t>
            </w:r>
          </w:p>
        </w:tc>
        <w:tc>
          <w:tcPr>
            <w:tcW w:w="7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351,177</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389,360</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329,081</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369,745</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Supplemental disclosures of cash flow and noncash information</w:t>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paid during the period for interest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w:t>
            </w:r>
          </w:p>
        </w:tc>
        <w:tc>
          <w:tcPr>
            <w:tcW w:w="771" w:type="dxa"/>
            <w:tcBorders/>
            <w:shd w:fill="auto" w:val="cle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Purchase of property and equipment in accounts payable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c>
          <w:tcPr>
            <w:tcW w:w="771" w:type="dxa"/>
            <w:tcBorders/>
            <w:shd w:fill="auto" w:val="cle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Issuance of common stock upon settlement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15,072</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771" w:type="dxa"/>
            <w:tcBorders/>
            <w:shd w:fill="auto" w:val="cle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Issuance of common stock for retention bonus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700</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771" w:type="dxa"/>
            <w:tcBorders/>
            <w:shd w:fill="auto" w:val="cle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Reconciliation of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1103" w:type="dxa"/>
            <w:gridSpan w:val="2"/>
            <w:tcBorders/>
            <w:shd w:fill="auto" w:val="clear"/>
            <w:vAlign w:val="center"/>
          </w:tcPr>
          <w:p>
            <w:pPr>
              <w:pStyle w:val="TableContents"/>
              <w:spacing w:before="0" w:after="0"/>
              <w:ind w:left="0" w:right="0" w:hanging="0"/>
              <w:jc w:val="right"/>
              <w:rPr/>
            </w:pPr>
            <w:r>
              <w:rPr/>
              <w:t> </w:t>
            </w:r>
          </w:p>
        </w:tc>
        <w:tc>
          <w:tcPr>
            <w:tcW w:w="771" w:type="dxa"/>
            <w:tcBorders/>
            <w:shd w:fill="auto" w:val="clear"/>
            <w:vAlign w:val="center"/>
          </w:tcPr>
          <w:p>
            <w:pPr>
              <w:pStyle w:val="TableContents"/>
              <w:spacing w:before="0" w:after="0"/>
              <w:ind w:left="0" w:right="0" w:hanging="0"/>
              <w:jc w:val="righ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327,081</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365,745</w:t>
            </w:r>
          </w:p>
        </w:tc>
        <w:tc>
          <w:tcPr>
            <w:tcW w:w="771" w:type="dxa"/>
            <w:tcBorders/>
            <w:shd w:fill="auto" w:val="clear"/>
            <w:vAlign w:val="center"/>
          </w:tcPr>
          <w:p>
            <w:pPr>
              <w:pStyle w:val="TableContents"/>
              <w:spacing w:before="0" w:after="0"/>
              <w:ind w:left="0" w:right="0" w:hanging="0"/>
              <w:jc w:val="left"/>
              <w:rPr/>
            </w:pPr>
            <w:r>
              <w:rPr/>
              <w:t> </w:t>
            </w:r>
          </w:p>
        </w:tc>
      </w:tr>
      <w:tr>
        <w:trPr/>
        <w:tc>
          <w:tcPr>
            <w:tcW w:w="6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2,000</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4,000</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67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329,081</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369,745</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center"/>
        <w:rPr>
          <w:rFonts w:ascii="Times New Roman" w:hAnsi="Times New Roman"/>
          <w:sz w:val="20"/>
        </w:rPr>
      </w:pPr>
      <w:r>
        <w:rPr>
          <w:rFonts w:ascii="Arial;sans-serif" w:hAnsi="Arial;sans-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20"/>
        </w:rPr>
        <w:t>FLYWIRE CORPORATION</w:t>
      </w:r>
      <w:r>
        <w:rPr>
          <w:rFonts w:ascii="Times New Roman" w:hAnsi="Times New Roman"/>
          <w:sz w:val="20"/>
        </w:rPr>
        <w:t xml:space="preserve"> </w:t>
      </w:r>
    </w:p>
    <w:p>
      <w:pPr>
        <w:pStyle w:val="TextBody"/>
        <w:spacing w:before="0" w:after="0"/>
        <w:jc w:val="center"/>
        <w:rPr>
          <w:rFonts w:ascii="Times New Roman" w:hAnsi="Times New Roman"/>
          <w:sz w:val="20"/>
        </w:rPr>
      </w:pPr>
      <w:bookmarkStart w:id="12" w:name="nots_to_condensed"/>
      <w:bookmarkEnd w:id="12"/>
      <w:r>
        <w:rPr>
          <w:rFonts w:ascii="Arial;sans-serif" w:hAnsi="Arial;sans-serif"/>
          <w:b/>
          <w:sz w:val="20"/>
        </w:rPr>
        <w:t>NOTES TO CONDENSED CONSOLID</w:t>
      </w:r>
      <w:bookmarkStart w:id="13" w:name="notes_to_condensed_consolidated_financia"/>
      <w:bookmarkEnd w:id="13"/>
      <w:r>
        <w:rPr>
          <w:rFonts w:ascii="Arial;sans-serif" w:hAnsi="Arial;sans-serif"/>
          <w:b/>
          <w:sz w:val="20"/>
        </w:rPr>
        <w:t>ATED FINANCIAL STATEMENTS</w:t>
      </w:r>
      <w:r>
        <w:rPr>
          <w:rFonts w:ascii="Times New Roman" w:hAnsi="Times New Roman"/>
          <w:sz w:val="20"/>
        </w:rPr>
        <w:t xml:space="preserve"> </w:t>
      </w:r>
    </w:p>
    <w:p>
      <w:pPr>
        <w:pStyle w:val="TextBody"/>
        <w:spacing w:before="0" w:after="360"/>
        <w:jc w:val="center"/>
        <w:rPr>
          <w:rFonts w:ascii="Times New Roman" w:hAnsi="Times New Roman"/>
          <w:sz w:val="20"/>
        </w:rPr>
      </w:pPr>
      <w:r>
        <w:rPr>
          <w:rFonts w:ascii="Arial;sans-serif" w:hAnsi="Arial;sans-serif"/>
          <w:b w:val="false"/>
          <w:sz w:val="20"/>
        </w:rPr>
        <w:t>(Unaudited)</w:t>
      </w:r>
      <w:r>
        <w:rPr>
          <w:rFonts w:ascii="Times New Roman" w:hAnsi="Times New Roman"/>
          <w:sz w:val="20"/>
        </w:rPr>
        <w:t xml:space="preserve"> </w:t>
      </w:r>
    </w:p>
    <w:p>
      <w:pPr>
        <w:pStyle w:val="TextBody"/>
        <w:spacing w:before="0" w:after="0"/>
        <w:jc w:val="left"/>
        <w:rPr>
          <w:rFonts w:ascii="Times New Roman" w:hAnsi="Times New Roman"/>
          <w:sz w:val="20"/>
        </w:rPr>
      </w:pPr>
      <w:bookmarkStart w:id="14" w:name="note_1"/>
      <w:bookmarkEnd w:id="14"/>
      <w:r>
        <w:rPr>
          <w:rFonts w:ascii="Arial;sans-serif" w:hAnsi="Arial;sans-serif"/>
          <w:b/>
          <w:sz w:val="20"/>
        </w:rPr>
        <w:t>Note 1. Business Overview and Summary of Significant Accounting Policies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14 countries across 5 continents.</w:t>
      </w:r>
    </w:p>
    <w:p>
      <w:pPr>
        <w:pStyle w:val="TextBody"/>
        <w:spacing w:before="200" w:after="200"/>
        <w:jc w:val="left"/>
        <w:rPr>
          <w:rFonts w:ascii="Arial;sans-serif" w:hAnsi="Arial;sans-serif"/>
          <w:b w:val="false"/>
          <w:sz w:val="20"/>
        </w:rPr>
      </w:pPr>
      <w:r>
        <w:rPr>
          <w:rFonts w:ascii="Arial;sans-serif" w:hAnsi="Arial;sans-serif"/>
          <w:b w:val="false"/>
          <w:sz w:val="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pStyle w:val="TextBody"/>
        <w:spacing w:before="200" w:after="200"/>
        <w:jc w:val="left"/>
        <w:rPr>
          <w:rFonts w:ascii="Arial;sans-serif" w:hAnsi="Arial;sans-serif"/>
          <w:b/>
          <w:i/>
          <w:sz w:val="20"/>
        </w:rPr>
      </w:pPr>
      <w:r>
        <w:rPr>
          <w:rFonts w:ascii="Arial;sans-serif" w:hAnsi="Arial;sans-serif"/>
          <w:b/>
          <w:i/>
          <w:sz w:val="20"/>
        </w:rPr>
        <w:t>Basis of Presentation and Principles of Consolidation</w:t>
      </w:r>
    </w:p>
    <w:p>
      <w:pPr>
        <w:pStyle w:val="TextBody"/>
        <w:spacing w:before="200" w:after="200"/>
        <w:jc w:val="left"/>
        <w:rPr>
          <w:rFonts w:ascii="Arial;sans-serif" w:hAnsi="Arial;sans-serif"/>
          <w:b w:val="false"/>
          <w:sz w:val="20"/>
        </w:rPr>
      </w:pPr>
      <w:r>
        <w:rPr>
          <w:rFonts w:ascii="Arial;sans-serif" w:hAnsi="Arial;sans-serif"/>
          <w:b w:val="false"/>
          <w:sz w:val="20"/>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Securities and Exchange Commission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stockholders’ equity, and its cash flows for the periods presented.</w:t>
      </w:r>
    </w:p>
    <w:p>
      <w:pPr>
        <w:pStyle w:val="TextBody"/>
        <w:spacing w:before="200" w:after="200"/>
        <w:jc w:val="left"/>
        <w:rPr>
          <w:rFonts w:ascii="Times New Roman" w:hAnsi="Times New Roman"/>
          <w:sz w:val="20"/>
        </w:rPr>
      </w:pPr>
      <w:r>
        <w:rPr>
          <w:rFonts w:ascii="Arial;sans-serif" w:hAnsi="Arial;sans-serif"/>
          <w:b w:val="false"/>
          <w:sz w:val="20"/>
        </w:rPr>
        <w:t>The results of operations for the three months ended March 31, 2023, are not necessarily indicative of results to be expected for the year ended December 31, 2023, any other interim periods or any future year or period. The accompanying consolidated balance sheet as of December 31, 2022 was derived from the Company’s audited consolidated financial statements for the year ended December 31, 2022. Certain information and note disclosures normally included in the annual consolidated financial statements prepared in accordance with GAAP have been condensed or omitted from the interim unaudited condensed consolidated financial statements.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These condensed consolidated financial statements should be read in conjunction with the audited consolidated financial statements and notes included in the Company’s Annual Report on Form 10-K for the year ended December 31, 2022.</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condensed consolidated financial statements include the accounts of Flywire and its wholly owned subsidiaries. All intercompany accounts and transactions have been eliminated upon consolidation.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Segment Information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Company has a single</w:t>
      </w:r>
      <w:r>
        <w:rPr>
          <w:rFonts w:ascii="Times New Roman" w:hAnsi="Times New Roman"/>
          <w:sz w:val="20"/>
        </w:rPr>
        <w:t xml:space="preserve"> </w:t>
      </w:r>
      <w:r>
        <w:rPr>
          <w:rFonts w:ascii="Arial;sans-serif" w:hAnsi="Arial;sans-serif"/>
          <w:b w:val="false"/>
          <w:sz w:val="20"/>
        </w:rPr>
        <w:t xml:space="preserve">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sans-serif" w:hAnsi="Arial;sans-serif"/>
          <w:b w:val="false"/>
          <w:i/>
          <w:sz w:val="20"/>
        </w:rPr>
        <w:t>Note 2 - Revenue and Recognition</w:t>
      </w:r>
      <w:r>
        <w:rPr>
          <w:rFonts w:ascii="Times New Roman" w:hAnsi="Times New Roman"/>
          <w:sz w:val="20"/>
        </w:rPr>
        <w:t xml:space="preserve"> </w:t>
      </w:r>
      <w:r>
        <w:rPr>
          <w:rFonts w:ascii="Arial;sans-serif" w:hAnsi="Arial;sans-serif"/>
          <w:b w:val="false"/>
          <w:sz w:val="20"/>
        </w:rPr>
        <w:t>for information regarding the Company's revenue by geographic area.</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Use of Estimates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and unbilled receivables, the impairment assessment of goodwill,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i/>
          <w:sz w:val="20"/>
        </w:rPr>
      </w:pPr>
      <w:r>
        <w:rPr>
          <w:rFonts w:ascii="Arial;sans-serif" w:hAnsi="Arial;sans-serif"/>
          <w:b/>
          <w:i/>
          <w:sz w:val="20"/>
        </w:rPr>
        <w:t>Impact of the Conflict between Russia and Ukraine</w:t>
      </w:r>
    </w:p>
    <w:p>
      <w:pPr>
        <w:pStyle w:val="TextBody"/>
        <w:spacing w:before="200" w:after="200"/>
        <w:jc w:val="left"/>
        <w:rPr>
          <w:rFonts w:ascii="Arial;sans-serif" w:hAnsi="Arial;sans-serif"/>
          <w:b w:val="false"/>
          <w:sz w:val="20"/>
        </w:rPr>
      </w:pPr>
      <w:r>
        <w:rPr>
          <w:rFonts w:ascii="Arial;sans-serif" w:hAnsi="Arial;sans-serif"/>
          <w:b w:val="false"/>
          <w:sz w:val="20"/>
        </w:rPr>
        <w:t>The Company does not have any operations, including long-lived assets, in Ukraine or Russia, and to the Company’s knowledge, clients do not receive material amounts of payments from payers in these regions. As of the issuance date of these condensed consolidated financial statements, the current conflict between Russia and Ukraine has not had a material impact on the Company’s revenue, results of operations or financial position. However, the Company notes Ukraine is a major engineering hub and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pStyle w:val="TextBody"/>
        <w:spacing w:before="200" w:after="200"/>
        <w:jc w:val="left"/>
        <w:rPr>
          <w:rFonts w:ascii="Arial;sans-serif" w:hAnsi="Arial;sans-serif"/>
          <w:b/>
          <w:i/>
          <w:sz w:val="20"/>
        </w:rPr>
      </w:pPr>
      <w:r>
        <w:rPr>
          <w:rFonts w:ascii="Arial;sans-serif" w:hAnsi="Arial;sans-serif"/>
          <w:b/>
          <w:i/>
          <w:sz w:val="20"/>
        </w:rPr>
        <w:t>Impact of Inflation</w:t>
      </w:r>
    </w:p>
    <w:p>
      <w:pPr>
        <w:pStyle w:val="TextBody"/>
        <w:spacing w:before="200" w:after="200"/>
        <w:jc w:val="left"/>
        <w:rPr>
          <w:rFonts w:ascii="Arial;sans-serif" w:hAnsi="Arial;sans-serif"/>
          <w:b w:val="false"/>
          <w:sz w:val="20"/>
        </w:rPr>
      </w:pPr>
      <w:r>
        <w:rPr>
          <w:rFonts w:ascii="Arial;sans-serif" w:hAnsi="Arial;sans-serif"/>
          <w:b w:val="false"/>
          <w:sz w:val="20"/>
        </w:rPr>
        <w:t>The Company does not believe that inflation had a material effect on its cash flows and results of operations during the three months ended March 31, 2023.</w:t>
      </w:r>
    </w:p>
    <w:p>
      <w:pPr>
        <w:pStyle w:val="TextBody"/>
        <w:spacing w:before="200" w:after="200"/>
        <w:jc w:val="left"/>
        <w:rPr>
          <w:rFonts w:ascii="Times New Roman" w:hAnsi="Times New Roman"/>
          <w:sz w:val="20"/>
        </w:rPr>
      </w:pPr>
      <w:r>
        <w:rPr>
          <w:rFonts w:ascii="Arial;sans-serif" w:hAnsi="Arial;sans-serif"/>
          <w:b/>
          <w:i/>
          <w:sz w:val="20"/>
        </w:rPr>
        <w:t>Concentrations of Credit Risk, Financial Instruments and Significant Clients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Financial instruments that potentially subject the Company to concentration of credit risk consists principally of cash, cash equivalents, accounts receivable and funds receivable from payment partners.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The Company maintains its cash and cash equivalents with financial institutions that management believes are of high credit quality. The Company's cash and cash equivalents deposited with these financial institutions exceed the Federal Deposit Insurance Corporation (FDIC) insurance limit of $250,000. As part of its cash management process, the Company performs periodic reviews of the credit standing of the financial institutions holding its cash and cash equivalents.</w:t>
      </w:r>
    </w:p>
    <w:p>
      <w:pPr>
        <w:pStyle w:val="TextBody"/>
        <w:spacing w:before="200" w:after="200"/>
        <w:jc w:val="left"/>
        <w:rPr>
          <w:rFonts w:ascii="Times New Roman" w:hAnsi="Times New Roman"/>
          <w:sz w:val="20"/>
        </w:rPr>
      </w:pPr>
      <w:r>
        <w:rPr>
          <w:rFonts w:ascii="Arial;sans-serif" w:hAnsi="Arial;sans-serif"/>
          <w:b w:val="false"/>
          <w:sz w:val="20"/>
        </w:rPr>
        <w:t>To manage credit risk related to accounts receivable,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months ended March 31, 2023.</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Accounts receivable are derived from revenue earned from clients located in the U.S. and internationally. Significant clients are those that represent 10% or more of accounts receivable, net as set forth in the following table:</w:t>
      </w:r>
      <w:r>
        <w:rPr>
          <w:rFonts w:ascii="Times New Roman" w:hAnsi="Times New Roman"/>
          <w:sz w:val="20"/>
        </w:rPr>
        <w:t xml:space="preserve"> </w:t>
      </w:r>
    </w:p>
    <w:tbl>
      <w:tblPr>
        <w:tblW w:w="3745" w:type="dxa"/>
        <w:jc w:val="left"/>
        <w:tblInd w:w="0" w:type="dxa"/>
        <w:tblCellMar>
          <w:top w:w="28" w:type="dxa"/>
          <w:left w:w="28" w:type="dxa"/>
          <w:bottom w:w="28" w:type="dxa"/>
          <w:right w:w="28" w:type="dxa"/>
        </w:tblCellMar>
      </w:tblPr>
      <w:tblGrid>
        <w:gridCol w:w="811"/>
        <w:gridCol w:w="146"/>
        <w:gridCol w:w="270"/>
        <w:gridCol w:w="585"/>
        <w:gridCol w:w="286"/>
        <w:gridCol w:w="146"/>
        <w:gridCol w:w="369"/>
        <w:gridCol w:w="801"/>
        <w:gridCol w:w="331"/>
      </w:tblGrid>
      <w:tr>
        <w:trPr/>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r>
          </w:p>
        </w:tc>
        <w:tc>
          <w:tcPr>
            <w:tcW w:w="2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r>
          </w:p>
        </w:tc>
        <w:tc>
          <w:tcPr>
            <w:tcW w:w="331"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Client A</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8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Client B</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rFonts w:ascii="Arial;sans-serif" w:hAnsi="Arial;sans-serif"/>
          <w:b w:val="false"/>
          <w:sz w:val="16"/>
        </w:rPr>
      </w:pPr>
      <w:r>
        <w:rPr>
          <w:rFonts w:ascii="Arial;sans-serif" w:hAnsi="Arial;sans-serif"/>
          <w:b w:val="false"/>
          <w:sz w:val="16"/>
        </w:rPr>
        <w:t>___________________________</w:t>
      </w:r>
    </w:p>
    <w:p>
      <w:pPr>
        <w:pStyle w:val="TextBody"/>
        <w:spacing w:before="0" w:after="0"/>
        <w:jc w:val="left"/>
        <w:rPr>
          <w:rFonts w:ascii="Times New Roman" w:hAnsi="Times New Roman"/>
          <w:sz w:val="20"/>
        </w:rPr>
      </w:pPr>
      <w:r>
        <w:rPr>
          <w:rFonts w:ascii="Arial;sans-serif" w:hAnsi="Arial;sans-serif"/>
          <w:b w:val="false"/>
          <w:sz w:val="16"/>
        </w:rPr>
        <w:t>* Less than 10% of total balance.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r>
        <w:rPr>
          <w:rFonts w:ascii="Times New Roman" w:hAnsi="Times New Roman"/>
          <w:sz w:val="20"/>
        </w:rPr>
        <w:t xml:space="preserve"> </w:t>
      </w:r>
    </w:p>
    <w:tbl>
      <w:tblPr>
        <w:tblW w:w="3880" w:type="dxa"/>
        <w:jc w:val="left"/>
        <w:tblInd w:w="0" w:type="dxa"/>
        <w:tblCellMar>
          <w:top w:w="28" w:type="dxa"/>
          <w:left w:w="28" w:type="dxa"/>
          <w:bottom w:w="28" w:type="dxa"/>
          <w:right w:w="28" w:type="dxa"/>
        </w:tblCellMar>
      </w:tblPr>
      <w:tblGrid>
        <w:gridCol w:w="946"/>
        <w:gridCol w:w="146"/>
        <w:gridCol w:w="270"/>
        <w:gridCol w:w="585"/>
        <w:gridCol w:w="286"/>
        <w:gridCol w:w="146"/>
        <w:gridCol w:w="369"/>
        <w:gridCol w:w="801"/>
        <w:gridCol w:w="331"/>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r>
          </w:p>
        </w:tc>
        <w:tc>
          <w:tcPr>
            <w:tcW w:w="2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r>
          </w:p>
        </w:tc>
        <w:tc>
          <w:tcPr>
            <w:tcW w:w="331" w:type="dxa"/>
            <w:tcBorders/>
            <w:shd w:fill="auto" w:val="clear"/>
            <w:vAlign w:val="center"/>
          </w:tcPr>
          <w:p>
            <w:pPr>
              <w:pStyle w:val="TableContents"/>
              <w:spacing w:before="0" w:after="0"/>
              <w:ind w:left="0" w:right="0" w:hanging="0"/>
              <w:jc w:val="center"/>
              <w:rPr/>
            </w:pPr>
            <w:r>
              <w:rPr/>
              <w:t> </w:t>
            </w:r>
          </w:p>
        </w:tc>
      </w:tr>
      <w:tr>
        <w:trPr/>
        <w:tc>
          <w:tcPr>
            <w:tcW w:w="9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Partner A</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9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Partner B</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9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Partner C</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331" w:type="dxa"/>
            <w:tcBorders/>
            <w:shd w:fill="auto" w:val="clear"/>
            <w:vAlign w:val="center"/>
          </w:tcPr>
          <w:p>
            <w:pPr>
              <w:pStyle w:val="TableContents"/>
              <w:spacing w:before="0" w:after="0"/>
              <w:ind w:left="0" w:right="0" w:hanging="0"/>
              <w:jc w:val="right"/>
              <w:rPr/>
            </w:pPr>
            <w:r>
              <w:rPr/>
              <w:t> </w:t>
            </w:r>
          </w:p>
        </w:tc>
      </w:tr>
      <w:tr>
        <w:trPr/>
        <w:tc>
          <w:tcPr>
            <w:tcW w:w="9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Partner D</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9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Partner E</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9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Partner F</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33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rFonts w:ascii="Arial;sans-serif" w:hAnsi="Arial;sans-serif"/>
          <w:b w:val="false"/>
          <w:sz w:val="16"/>
        </w:rPr>
      </w:pPr>
      <w:r>
        <w:rPr>
          <w:rFonts w:ascii="Arial;sans-serif" w:hAnsi="Arial;sans-serif"/>
          <w:b w:val="false"/>
          <w:sz w:val="16"/>
        </w:rPr>
        <w:t>______________________</w:t>
      </w:r>
    </w:p>
    <w:p>
      <w:pPr>
        <w:pStyle w:val="TextBody"/>
        <w:spacing w:before="0" w:after="0"/>
        <w:jc w:val="left"/>
        <w:rPr>
          <w:rFonts w:ascii="Times New Roman" w:hAnsi="Times New Roman"/>
          <w:sz w:val="20"/>
        </w:rPr>
      </w:pPr>
      <w:r>
        <w:rPr>
          <w:rFonts w:ascii="Arial;sans-serif" w:hAnsi="Arial;sans-serif"/>
          <w:b w:val="false"/>
          <w:sz w:val="16"/>
        </w:rPr>
        <w:t>* Less than 10% of total balance.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During the three months ended March 31, 2023 and 2022, no client accounted for 10% or more of total revenue.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2023, revenue from clients located in the United States and Canada (Americas), Europe, the Middle East and Africa (EMEA) and the Asia and Pacific region (APAC) in the aggregate accounted for 63.8%, 23.0% and 13.2% of the Company’s total revenues, respectively.</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2022, revenue from clients located in Americas, EMEA and APAC in the aggregate accounted for 75.5%, 19.5% and 5.0% of the Company’s total revenues, respectively.</w:t>
      </w:r>
    </w:p>
    <w:p>
      <w:pPr>
        <w:pStyle w:val="TextBody"/>
        <w:spacing w:before="200" w:after="200"/>
        <w:jc w:val="left"/>
        <w:rPr>
          <w:rFonts w:ascii="Times New Roman" w:hAnsi="Times New Roman"/>
          <w:sz w:val="20"/>
        </w:rPr>
      </w:pPr>
      <w:r>
        <w:rPr>
          <w:rFonts w:ascii="Arial;sans-serif" w:hAnsi="Arial;sans-serif"/>
          <w:b/>
          <w:i/>
          <w:sz w:val="20"/>
        </w:rPr>
        <w:t>Summary of Significant Accounting Policies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 xml:space="preserve">The Company’s significant accounting policies are discussed in </w:t>
      </w:r>
      <w:r>
        <w:rPr>
          <w:rFonts w:ascii="Arial;sans-serif" w:hAnsi="Arial;sans-serif"/>
          <w:b w:val="false"/>
          <w:i/>
          <w:sz w:val="20"/>
        </w:rPr>
        <w:t>Note 1 - Business Overview and Summary of Significant Accounting Policies</w:t>
      </w:r>
      <w:r>
        <w:rPr>
          <w:rFonts w:ascii="Times New Roman" w:hAnsi="Times New Roman"/>
          <w:sz w:val="20"/>
        </w:rPr>
        <w:t xml:space="preserve"> </w:t>
      </w:r>
      <w:r>
        <w:rPr>
          <w:rFonts w:ascii="Arial;sans-serif" w:hAnsi="Arial;sans-serif"/>
          <w:b w:val="false"/>
          <w:sz w:val="20"/>
        </w:rPr>
        <w:t>in the notes to the audited consolidated financial statements in the Company’s Annual Report on Form 10-K for the year ended December 31, 2022. There have been no material changes to these policies during the three months ended March 31, 2023.</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Advertising Costs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Advertising costs are expensed as incurred and are included in selling and marketing expenses in the condensed consolidated statements of operations and comprehensive loss. Advertising expenses for the three months ended March 31, 2023 and 2022 were $1.1</w:t>
      </w:r>
      <w:r>
        <w:rPr>
          <w:rFonts w:ascii="Times New Roman" w:hAnsi="Times New Roman"/>
          <w:sz w:val="20"/>
        </w:rPr>
        <w:t xml:space="preserve"> </w:t>
      </w:r>
      <w:r>
        <w:rPr>
          <w:rFonts w:ascii="Arial;sans-serif" w:hAnsi="Arial;sans-serif"/>
          <w:b w:val="false"/>
          <w:sz w:val="20"/>
        </w:rPr>
        <w:t>million and $1.3</w:t>
      </w:r>
      <w:r>
        <w:rPr>
          <w:rFonts w:ascii="Times New Roman" w:hAnsi="Times New Roman"/>
          <w:sz w:val="20"/>
        </w:rPr>
        <w:t xml:space="preserve"> </w:t>
      </w:r>
      <w:r>
        <w:rPr>
          <w:rFonts w:ascii="Arial;sans-serif" w:hAnsi="Arial;sans-serif"/>
          <w:b w:val="false"/>
          <w:sz w:val="20"/>
        </w:rPr>
        <w:t>million, respectively.</w:t>
      </w:r>
    </w:p>
    <w:p>
      <w:pPr>
        <w:pStyle w:val="TextBody"/>
        <w:spacing w:before="200" w:after="200"/>
        <w:jc w:val="left"/>
        <w:rPr>
          <w:rFonts w:ascii="Times New Roman" w:hAnsi="Times New Roman"/>
          <w:sz w:val="20"/>
        </w:rPr>
      </w:pPr>
      <w:r>
        <w:rPr>
          <w:rFonts w:ascii="Arial;sans-serif" w:hAnsi="Arial;sans-serif"/>
          <w:b/>
          <w:i/>
          <w:sz w:val="20"/>
        </w:rPr>
        <w:t>Recently Adopted Accounting Pronouncements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of March 31, 2023 and for the period then ended, there were no recently adopted accounting pronouncements that had a material effect on the Company’s consolidated financial statements and disclosures.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Accounting Pronouncements Not Yet Adopted</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As of March 31, 2023, there are no new accounting pronouncements recently issued by the Financial Accounting Standards Board but not yet adopted by Flywire which would be expected to have a material impact on the Company’s consolidated financial statements and disclosures.</w:t>
      </w:r>
    </w:p>
    <w:p>
      <w:pPr>
        <w:pStyle w:val="TextBody"/>
        <w:spacing w:before="360" w:after="0"/>
        <w:jc w:val="left"/>
        <w:rPr>
          <w:rFonts w:ascii="Times New Roman" w:hAnsi="Times New Roman"/>
          <w:sz w:val="20"/>
        </w:rPr>
      </w:pPr>
      <w:bookmarkStart w:id="15" w:name="note_2"/>
      <w:bookmarkEnd w:id="15"/>
      <w:r>
        <w:rPr>
          <w:rFonts w:ascii="Arial;sans-serif" w:hAnsi="Arial;sans-serif"/>
          <w:b/>
          <w:sz w:val="20"/>
        </w:rPr>
        <w:t>Note 2. Revenue and Recognition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following tables present revenue disaggregated by geographical area and major solutions. The categorization of revenue by geographical location is determined based on the location of where the client resides.</w:t>
      </w:r>
      <w:r>
        <w:rPr>
          <w:rFonts w:ascii="Times New Roman" w:hAnsi="Times New Roman"/>
          <w:sz w:val="20"/>
        </w:rPr>
        <w:t xml:space="preserve"> </w:t>
      </w:r>
    </w:p>
    <w:tbl>
      <w:tblPr>
        <w:tblW w:w="6371" w:type="dxa"/>
        <w:jc w:val="left"/>
        <w:tblInd w:w="0" w:type="dxa"/>
        <w:tblCellMar>
          <w:top w:w="28" w:type="dxa"/>
          <w:left w:w="28" w:type="dxa"/>
          <w:bottom w:w="28" w:type="dxa"/>
          <w:right w:w="28" w:type="dxa"/>
        </w:tblCellMar>
      </w:tblPr>
      <w:tblGrid>
        <w:gridCol w:w="2926"/>
        <w:gridCol w:w="146"/>
        <w:gridCol w:w="256"/>
        <w:gridCol w:w="841"/>
        <w:gridCol w:w="177"/>
        <w:gridCol w:w="177"/>
        <w:gridCol w:w="256"/>
        <w:gridCol w:w="841"/>
        <w:gridCol w:w="75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Primary geographical markets</w:t>
            </w:r>
          </w:p>
        </w:tc>
        <w:tc>
          <w:tcPr>
            <w:tcW w:w="146" w:type="dxa"/>
            <w:tcBorders/>
            <w:shd w:fill="auto" w:val="clear"/>
            <w:vAlign w:val="center"/>
          </w:tcPr>
          <w:p>
            <w:pPr>
              <w:pStyle w:val="TableContents"/>
              <w:spacing w:before="0" w:after="0"/>
              <w:ind w:left="0" w:right="0" w:hanging="0"/>
              <w:jc w:val="left"/>
              <w:rPr/>
            </w:pPr>
            <w:r>
              <w:rPr/>
              <w:t> </w:t>
            </w:r>
          </w:p>
        </w:tc>
        <w:tc>
          <w:tcPr>
            <w:tcW w:w="1097"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097"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Americas</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60,165</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48,714</w:t>
            </w:r>
          </w:p>
        </w:tc>
        <w:tc>
          <w:tcPr>
            <w:tcW w:w="75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EMEA</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21,661</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12,570</w:t>
            </w:r>
          </w:p>
        </w:tc>
        <w:tc>
          <w:tcPr>
            <w:tcW w:w="75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APAC</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12,531</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3,269</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2926" w:type="dxa"/>
            <w:tcBorders/>
            <w:shd w:fill="auto" w:val="clear"/>
            <w:vAlign w:val="center"/>
          </w:tcPr>
          <w:p>
            <w:pPr>
              <w:pStyle w:val="TableContents"/>
              <w:spacing w:before="0" w:after="0"/>
              <w:ind w:left="280" w:right="0" w:hanging="0"/>
              <w:jc w:val="left"/>
              <w:rPr>
                <w:rFonts w:ascii="Arial;sans-serif" w:hAnsi="Arial;sans-serif"/>
                <w:b/>
                <w:sz w:val="20"/>
              </w:rPr>
            </w:pPr>
            <w:r>
              <w:rPr>
                <w:rFonts w:ascii="Arial;sans-serif" w:hAnsi="Arial;sans-serif"/>
                <w:b/>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94,357</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64,553</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Major solutions</w:t>
            </w:r>
          </w:p>
        </w:tc>
        <w:tc>
          <w:tcPr>
            <w:tcW w:w="146" w:type="dxa"/>
            <w:tcBorders/>
            <w:shd w:fill="auto" w:val="clear"/>
            <w:vAlign w:val="center"/>
          </w:tcPr>
          <w:p>
            <w:pPr>
              <w:pStyle w:val="TableContents"/>
              <w:spacing w:before="0" w:after="0"/>
              <w:ind w:left="0" w:right="0" w:hanging="0"/>
              <w:jc w:val="left"/>
              <w:rPr/>
            </w:pPr>
            <w:r>
              <w:rPr/>
              <w:t> </w:t>
            </w:r>
          </w:p>
        </w:tc>
        <w:tc>
          <w:tcPr>
            <w:tcW w:w="1097"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097"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Transactions</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76,302</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48,687</w:t>
            </w:r>
          </w:p>
        </w:tc>
        <w:tc>
          <w:tcPr>
            <w:tcW w:w="75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Platform and usage-based fees</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18,055</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15,866</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2926" w:type="dxa"/>
            <w:tcBorders/>
            <w:shd w:fill="auto" w:val="clear"/>
            <w:vAlign w:val="center"/>
          </w:tcPr>
          <w:p>
            <w:pPr>
              <w:pStyle w:val="TableContents"/>
              <w:spacing w:before="0" w:after="0"/>
              <w:ind w:left="560" w:right="0" w:hanging="0"/>
              <w:jc w:val="left"/>
              <w:rPr>
                <w:rFonts w:ascii="Arial;sans-serif" w:hAnsi="Arial;sans-serif"/>
                <w:b/>
                <w:sz w:val="20"/>
              </w:rPr>
            </w:pPr>
            <w:r>
              <w:rPr>
                <w:rFonts w:ascii="Arial;sans-serif" w:hAnsi="Arial;sans-serif"/>
                <w:b/>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94,357</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64,553</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Arial;sans-serif" w:hAnsi="Arial;sans-serif"/>
          <w:b/>
          <w:i/>
          <w:sz w:val="20"/>
        </w:rPr>
      </w:pPr>
      <w:r>
        <w:rPr>
          <w:rFonts w:ascii="Arial;sans-serif" w:hAnsi="Arial;sans-serif"/>
          <w:b/>
          <w:i/>
          <w:sz w:val="20"/>
        </w:rPr>
        <w:t>Contract Balances from Contracts with Clients</w:t>
      </w:r>
    </w:p>
    <w:p>
      <w:pPr>
        <w:pStyle w:val="TextBody"/>
        <w:spacing w:before="200" w:after="200"/>
        <w:jc w:val="left"/>
        <w:rPr>
          <w:rFonts w:ascii="Times New Roman" w:hAnsi="Times New Roman"/>
          <w:sz w:val="20"/>
        </w:rPr>
      </w:pPr>
      <w:r>
        <w:rPr>
          <w:rFonts w:ascii="Arial;sans-serif" w:hAnsi="Arial;sans-serif"/>
          <w:b w:val="false"/>
          <w:sz w:val="20"/>
        </w:rPr>
        <w:t>The following table provides information about accounts receivable, unbilled receivables and deferred revenue from contracts with clients (in thousands):</w:t>
      </w:r>
      <w:r>
        <w:rPr>
          <w:rFonts w:ascii="Times New Roman" w:hAnsi="Times New Roman"/>
          <w:sz w:val="20"/>
        </w:rPr>
        <w:t xml:space="preserve"> </w:t>
      </w:r>
    </w:p>
    <w:tbl>
      <w:tblPr>
        <w:tblW w:w="6122" w:type="dxa"/>
        <w:jc w:val="left"/>
        <w:tblInd w:w="0" w:type="dxa"/>
        <w:tblCellMar>
          <w:top w:w="28" w:type="dxa"/>
          <w:left w:w="28" w:type="dxa"/>
          <w:bottom w:w="28" w:type="dxa"/>
          <w:right w:w="28" w:type="dxa"/>
        </w:tblCellMar>
      </w:tblPr>
      <w:tblGrid>
        <w:gridCol w:w="3421"/>
        <w:gridCol w:w="146"/>
        <w:gridCol w:w="211"/>
        <w:gridCol w:w="691"/>
        <w:gridCol w:w="146"/>
        <w:gridCol w:w="146"/>
        <w:gridCol w:w="273"/>
        <w:gridCol w:w="897"/>
        <w:gridCol w:w="1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Accounts receivable, net of allowance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13,697</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Unbilled receivables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5,268</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revenue –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5,223</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revenue –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20"/>
        </w:rPr>
      </w:pPr>
      <w:r>
        <w:rPr>
          <w:rFonts w:ascii="Arial;sans-serif" w:hAnsi="Arial;sans-serif"/>
          <w:b w:val="false"/>
          <w:sz w:val="20"/>
        </w:rPr>
        <w:t>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For the three months ended March 31, 2023 and 2022, the Company recognized $2.2</w:t>
      </w:r>
      <w:r>
        <w:rPr>
          <w:rFonts w:ascii="Times New Roman" w:hAnsi="Times New Roman"/>
          <w:sz w:val="20"/>
        </w:rPr>
        <w:t xml:space="preserve"> </w:t>
      </w:r>
      <w:r>
        <w:rPr>
          <w:rFonts w:ascii="Arial;sans-serif" w:hAnsi="Arial;sans-serif"/>
          <w:b w:val="false"/>
          <w:sz w:val="20"/>
        </w:rPr>
        <w:t>million and $2.1</w:t>
      </w:r>
      <w:r>
        <w:rPr>
          <w:rFonts w:ascii="Times New Roman" w:hAnsi="Times New Roman"/>
          <w:sz w:val="20"/>
        </w:rPr>
        <w:t xml:space="preserve"> </w:t>
      </w:r>
      <w:r>
        <w:rPr>
          <w:rFonts w:ascii="Arial;sans-serif" w:hAnsi="Arial;sans-serif"/>
          <w:b w:val="false"/>
          <w:sz w:val="20"/>
        </w:rPr>
        <w:t>million in revenue from amounts that were included in deferred revenue as of December 31, 2022 and 2021, respectively.</w:t>
      </w:r>
      <w:r>
        <w:rPr>
          <w:rFonts w:ascii="Times New Roman" w:hAnsi="Times New Roman"/>
          <w:sz w:val="20"/>
        </w:rPr>
        <w:t xml:space="preserve"> </w:t>
      </w:r>
    </w:p>
    <w:p>
      <w:pPr>
        <w:pStyle w:val="TextBody"/>
        <w:spacing w:before="360" w:after="0"/>
        <w:jc w:val="left"/>
        <w:rPr>
          <w:rFonts w:ascii="Arial;sans-serif" w:hAnsi="Arial;sans-serif"/>
          <w:b/>
          <w:sz w:val="20"/>
        </w:rPr>
      </w:pPr>
      <w:bookmarkStart w:id="16" w:name="note_3"/>
      <w:bookmarkEnd w:id="16"/>
      <w:r>
        <w:rPr>
          <w:rFonts w:ascii="Arial;sans-serif" w:hAnsi="Arial;sans-serif"/>
          <w:b/>
          <w:sz w:val="20"/>
        </w:rPr>
        <w:t>Note 3. Allowance for Credit Losses</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Company maintains an allowance for credit losses for accounts receivable and unbilled receivables. Changes in the allowance for credit losses for the three months ended March 31, 2023 and 2022 were as follows (in thousands): </w:t>
      </w:r>
    </w:p>
    <w:tbl>
      <w:tblPr>
        <w:tblW w:w="8086" w:type="dxa"/>
        <w:jc w:val="left"/>
        <w:tblInd w:w="0" w:type="dxa"/>
        <w:tblCellMar>
          <w:top w:w="28" w:type="dxa"/>
          <w:left w:w="28" w:type="dxa"/>
          <w:bottom w:w="28" w:type="dxa"/>
          <w:right w:w="28" w:type="dxa"/>
        </w:tblCellMar>
      </w:tblPr>
      <w:tblGrid>
        <w:gridCol w:w="5041"/>
        <w:gridCol w:w="146"/>
        <w:gridCol w:w="317"/>
        <w:gridCol w:w="723"/>
        <w:gridCol w:w="249"/>
        <w:gridCol w:w="219"/>
        <w:gridCol w:w="317"/>
        <w:gridCol w:w="723"/>
        <w:gridCol w:w="351"/>
      </w:tblGrid>
      <w:tr>
        <w:trPr/>
        <w:tc>
          <w:tcPr>
            <w:tcW w:w="5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5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Allowance for credit losses at the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(212</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(106</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504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Provision for expected credit losses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504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Write-offs, net of recoveries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Allowance for credit losses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(297</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360" w:after="0"/>
        <w:jc w:val="left"/>
        <w:rPr>
          <w:rFonts w:ascii="Times New Roman" w:hAnsi="Times New Roman"/>
          <w:sz w:val="20"/>
        </w:rPr>
      </w:pPr>
      <w:bookmarkStart w:id="17" w:name="note_4"/>
      <w:bookmarkEnd w:id="17"/>
      <w:r>
        <w:rPr>
          <w:rFonts w:ascii="Arial;sans-serif" w:hAnsi="Arial;sans-serif"/>
          <w:b/>
          <w:sz w:val="20"/>
        </w:rPr>
        <w:t>Note 4. Fair Value Measurements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pStyle w:val="TextBody"/>
        <w:spacing w:before="200" w:after="200"/>
        <w:jc w:val="left"/>
        <w:rPr>
          <w:rFonts w:ascii="Arial;sans-serif" w:hAnsi="Arial;sans-serif"/>
          <w:b w:val="false"/>
          <w:sz w:val="20"/>
        </w:rPr>
      </w:pPr>
      <w:r>
        <w:rPr>
          <w:rFonts w:ascii="Arial;sans-serif" w:hAnsi="Arial;sans-serif"/>
          <w:b w:val="false"/>
          <w:sz w:val="20"/>
        </w:rPr>
        <w:t>Level 1 - Quoted prices in active markets for identical assets or liabilities.</w:t>
      </w:r>
    </w:p>
    <w:p>
      <w:pPr>
        <w:pStyle w:val="TextBody"/>
        <w:spacing w:before="200" w:after="200"/>
        <w:jc w:val="left"/>
        <w:rPr>
          <w:rFonts w:ascii="Arial;sans-serif" w:hAnsi="Arial;sans-serif"/>
          <w:b w:val="false"/>
          <w:sz w:val="20"/>
        </w:rPr>
      </w:pPr>
      <w:r>
        <w:rPr>
          <w:rFonts w:ascii="Arial;sans-serif" w:hAnsi="Arial;sans-serif"/>
          <w:b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spacing w:before="200" w:after="200"/>
        <w:jc w:val="left"/>
        <w:rPr>
          <w:rFonts w:ascii="Arial;sans-serif" w:hAnsi="Arial;sans-serif"/>
          <w:b w:val="false"/>
          <w:sz w:val="20"/>
        </w:rPr>
      </w:pPr>
      <w:r>
        <w:rPr>
          <w:rFonts w:ascii="Arial;sans-serif" w:hAnsi="Arial;sans-serif"/>
          <w:b w:val="false"/>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spacing w:before="200" w:after="200"/>
        <w:jc w:val="left"/>
        <w:rPr>
          <w:rFonts w:ascii="Arial;sans-serif" w:hAnsi="Arial;sans-serif"/>
          <w:b w:val="false"/>
          <w:sz w:val="20"/>
        </w:rPr>
      </w:pPr>
      <w:r>
        <w:rPr>
          <w:rFonts w:ascii="Arial;sans-serif" w:hAnsi="Arial;sans-serif"/>
          <w:b w:val="false"/>
          <w:sz w:val="20"/>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pStyle w:val="TextBody"/>
        <w:spacing w:before="200" w:after="200"/>
        <w:jc w:val="left"/>
        <w:rPr>
          <w:rFonts w:ascii="Times New Roman" w:hAnsi="Times New Roman"/>
          <w:sz w:val="20"/>
        </w:rPr>
      </w:pPr>
      <w:r>
        <w:rPr>
          <w:rFonts w:ascii="Arial;sans-serif" w:hAnsi="Arial;sans-serif"/>
          <w:b w:val="false"/>
          <w:sz w:val="20"/>
        </w:rPr>
        <w:t>The following tables present the Company’s fair value hierarchy for its financial assets and liabilities that are measured at fair value on a recurring basis as of March 31, 2023 and December 31, 2022 (in thousands):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496"/>
        <w:gridCol w:w="146"/>
        <w:gridCol w:w="894"/>
        <w:gridCol w:w="2490"/>
        <w:gridCol w:w="146"/>
        <w:gridCol w:w="146"/>
        <w:gridCol w:w="255"/>
        <w:gridCol w:w="419"/>
        <w:gridCol w:w="149"/>
        <w:gridCol w:w="149"/>
        <w:gridCol w:w="255"/>
        <w:gridCol w:w="419"/>
        <w:gridCol w:w="149"/>
        <w:gridCol w:w="149"/>
        <w:gridCol w:w="216"/>
        <w:gridCol w:w="602"/>
        <w:gridCol w:w="149"/>
        <w:gridCol w:w="149"/>
        <w:gridCol w:w="216"/>
        <w:gridCol w:w="602"/>
        <w:gridCol w:w="343"/>
      </w:tblGrid>
      <w:tr>
        <w:trPr/>
        <w:tc>
          <w:tcPr>
            <w:tcW w:w="2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2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Measured at NAV as of </w:t>
              <w:br/>
              <w:t>March 31, 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8"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Measured at Fair Value as of March 31, 2023:</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1</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6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2</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8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3</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8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Assets:</w:t>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righ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firstLine="140"/>
              <w:jc w:val="right"/>
              <w:rPr/>
            </w:pPr>
            <w:r>
              <w:rPr/>
              <w:t> </w:t>
            </w:r>
          </w:p>
        </w:tc>
      </w:tr>
      <w:tr>
        <w:trPr/>
        <w:tc>
          <w:tcPr>
            <w:tcW w:w="2496"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shd w:fill="auto" w:val="clear"/>
            <w:vAlign w:val="center"/>
          </w:tcPr>
          <w:p>
            <w:pPr>
              <w:pStyle w:val="TableContents"/>
              <w:spacing w:before="0" w:after="0"/>
              <w:ind w:left="0" w:right="0" w:hanging="0"/>
              <w:jc w:val="right"/>
              <w:rPr/>
            </w:pPr>
            <w:r>
              <w:rPr/>
              <w:t>—</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shd w:fill="auto" w:val="clear"/>
            <w:vAlign w:val="center"/>
          </w:tcPr>
          <w:p>
            <w:pPr>
              <w:pStyle w:val="TableContents"/>
              <w:spacing w:before="0" w:after="0"/>
              <w:ind w:left="0" w:right="0" w:hanging="0"/>
              <w:jc w:val="right"/>
              <w:rPr/>
            </w:pPr>
            <w:r>
              <w:rPr/>
              <w:t>—</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shd w:fill="auto" w:val="clear"/>
            <w:vAlign w:val="center"/>
          </w:tcPr>
          <w:p>
            <w:pPr>
              <w:pStyle w:val="TableContents"/>
              <w:spacing w:before="0" w:after="0"/>
              <w:ind w:left="0" w:right="0" w:hanging="0"/>
              <w:jc w:val="right"/>
              <w:rPr/>
            </w:pPr>
            <w:r>
              <w:rPr/>
              <w:t>—</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770</w:t>
            </w:r>
          </w:p>
        </w:tc>
        <w:tc>
          <w:tcPr>
            <w:tcW w:w="343" w:type="dxa"/>
            <w:tcBorders/>
            <w:shd w:fill="auto" w:val="clear"/>
            <w:vAlign w:val="center"/>
          </w:tcPr>
          <w:p>
            <w:pPr>
              <w:pStyle w:val="TableContents"/>
              <w:spacing w:before="0" w:after="0"/>
              <w:ind w:left="0" w:right="0" w:hanging="0"/>
              <w:jc w:val="lef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2496" w:type="dxa"/>
            <w:tcBorders/>
            <w:shd w:fill="auto" w:val="clear"/>
            <w:vAlign w:val="center"/>
          </w:tcPr>
          <w:p>
            <w:pPr>
              <w:pStyle w:val="TableContents"/>
              <w:spacing w:before="0" w:after="0"/>
              <w:ind w:left="14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861</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righ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196" w:type="dxa"/>
            <w:gridSpan w:val="20"/>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r>
      <w:tr>
        <w:trPr/>
        <w:tc>
          <w:tcPr>
            <w:tcW w:w="2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Measured at NAV as of December 31, 2022:</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8"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Measured at Fair Value as of December 31, 2022:</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1</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6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2</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8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3</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8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Assets:</w:t>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righ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firstLine="140"/>
              <w:jc w:val="right"/>
              <w:rPr/>
            </w:pPr>
            <w:r>
              <w:rPr/>
              <w:t> </w:t>
            </w:r>
          </w:p>
        </w:tc>
      </w:tr>
      <w:tr>
        <w:trPr/>
        <w:tc>
          <w:tcPr>
            <w:tcW w:w="2496"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9,145</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2496" w:type="dxa"/>
            <w:tcBorders/>
            <w:shd w:fill="auto" w:val="clear"/>
            <w:vAlign w:val="center"/>
          </w:tcPr>
          <w:p>
            <w:pPr>
              <w:pStyle w:val="TableContents"/>
              <w:spacing w:before="0" w:after="0"/>
              <w:ind w:left="14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9,145</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33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righ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818" w:type="dxa"/>
            <w:gridSpan w:val="2"/>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righ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exchange contracts</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shd w:fill="auto" w:val="clear"/>
            <w:vAlign w:val="center"/>
          </w:tcPr>
          <w:p>
            <w:pPr>
              <w:pStyle w:val="TableContents"/>
              <w:spacing w:before="0" w:after="0"/>
              <w:ind w:left="0" w:right="0" w:hanging="0"/>
              <w:jc w:val="right"/>
              <w:rPr/>
            </w:pPr>
            <w:r>
              <w:rPr/>
              <w:t>—</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shd w:fill="auto" w:val="clear"/>
            <w:vAlign w:val="center"/>
          </w:tcPr>
          <w:p>
            <w:pPr>
              <w:pStyle w:val="TableContents"/>
              <w:spacing w:before="0" w:after="0"/>
              <w:ind w:left="0" w:right="0" w:hanging="0"/>
              <w:jc w:val="right"/>
              <w:rPr/>
            </w:pPr>
            <w:r>
              <w:rPr/>
              <w:t>—</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343" w:type="dxa"/>
            <w:tcBorders/>
            <w:shd w:fill="auto" w:val="clear"/>
            <w:vAlign w:val="center"/>
          </w:tcPr>
          <w:p>
            <w:pPr>
              <w:pStyle w:val="TableContents"/>
              <w:spacing w:before="0" w:after="0"/>
              <w:ind w:left="0" w:right="0" w:hanging="0"/>
              <w:jc w:val="left"/>
              <w:rPr/>
            </w:pPr>
            <w:r>
              <w:rPr/>
              <w:t> </w:t>
            </w:r>
          </w:p>
        </w:tc>
      </w:tr>
      <w:tr>
        <w:trPr/>
        <w:tc>
          <w:tcPr>
            <w:tcW w:w="24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1,332</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1,332</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1,465</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1,465</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During the three months ended March 31, 2023 and year ended December 31, 2022, there were no transfers between Level 1, Level 2 or Level 3.</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Contingent consideration</w:t>
      </w:r>
      <w:r>
        <w:rPr>
          <w:rFonts w:ascii="Times New Roman" w:hAnsi="Times New Roman"/>
          <w:sz w:val="20"/>
        </w:rPr>
        <w:t xml:space="preserve"> </w:t>
      </w:r>
    </w:p>
    <w:p>
      <w:pPr>
        <w:pStyle w:val="TextBody"/>
        <w:spacing w:before="200" w:after="200"/>
        <w:jc w:val="left"/>
        <w:rPr>
          <w:rFonts w:ascii="Arial;sans-serif" w:hAnsi="Arial;sans-serif"/>
          <w:b w:val="false"/>
          <w:i/>
          <w:sz w:val="20"/>
        </w:rPr>
      </w:pPr>
      <w:r>
        <w:rPr>
          <w:rFonts w:ascii="Arial;sans-serif" w:hAnsi="Arial;sans-serif"/>
          <w:b w:val="false"/>
          <w:i/>
          <w:sz w:val="20"/>
        </w:rPr>
        <w:t>Cohort Solutions Pty Ltd. (Cohort Go)</w:t>
      </w:r>
    </w:p>
    <w:p>
      <w:pPr>
        <w:pStyle w:val="TextBody"/>
        <w:spacing w:before="200" w:after="200"/>
        <w:jc w:val="left"/>
        <w:rPr>
          <w:rFonts w:ascii="Times New Roman" w:hAnsi="Times New Roman"/>
          <w:sz w:val="20"/>
        </w:rPr>
      </w:pPr>
      <w:r>
        <w:rPr>
          <w:rFonts w:ascii="Arial;sans-serif" w:hAnsi="Arial;sans-serif"/>
          <w:b w:val="false"/>
          <w:sz w:val="20"/>
        </w:rPr>
        <w:t>During March 2023, the Company made a payment of contingent consideration of $1.7</w:t>
      </w:r>
      <w:r>
        <w:rPr>
          <w:rFonts w:ascii="Times New Roman" w:hAnsi="Times New Roman"/>
          <w:sz w:val="20"/>
        </w:rPr>
        <w:t xml:space="preserve"> </w:t>
      </w:r>
      <w:r>
        <w:rPr>
          <w:rFonts w:ascii="Arial;sans-serif" w:hAnsi="Arial;sans-serif"/>
          <w:b w:val="false"/>
          <w:sz w:val="20"/>
        </w:rPr>
        <w:t xml:space="preserve">million, in the form of cash, based on Cohort Go's successful and timely achievement of the contracted milestones. No additional contingent consideration is due or payable with respect to the Cohort Go acquisition. Refer to </w:t>
      </w:r>
      <w:r>
        <w:rPr>
          <w:rFonts w:ascii="Arial;sans-serif" w:hAnsi="Arial;sans-serif"/>
          <w:b w:val="false"/>
          <w:i/>
          <w:sz w:val="20"/>
        </w:rPr>
        <w:t>Note 8 - Business Combinations</w:t>
      </w:r>
      <w:r>
        <w:rPr>
          <w:rFonts w:ascii="Times New Roman" w:hAnsi="Times New Roman"/>
          <w:sz w:val="20"/>
        </w:rPr>
        <w:t xml:space="preserve"> </w:t>
      </w:r>
      <w:r>
        <w:rPr>
          <w:rFonts w:ascii="Arial;sans-serif" w:hAnsi="Arial;sans-serif"/>
          <w:b w:val="false"/>
          <w:sz w:val="20"/>
        </w:rPr>
        <w:t>for additional details on the Cohort Go acquisition.</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fair value of the contingent consideration was determined using a scenario-based method. The following table presents the unobservable inputs incorporated into the valuation of contingent consideration related to the Cohort Go acquisition as of December 31, 2022. </w:t>
      </w:r>
    </w:p>
    <w:tbl>
      <w:tblPr>
        <w:tblW w:w="5263" w:type="dxa"/>
        <w:jc w:val="left"/>
        <w:tblInd w:w="0" w:type="dxa"/>
        <w:tblCellMar>
          <w:top w:w="28" w:type="dxa"/>
          <w:left w:w="28" w:type="dxa"/>
          <w:bottom w:w="28" w:type="dxa"/>
          <w:right w:w="28" w:type="dxa"/>
        </w:tblCellMar>
      </w:tblPr>
      <w:tblGrid>
        <w:gridCol w:w="3571"/>
        <w:gridCol w:w="146"/>
        <w:gridCol w:w="282"/>
        <w:gridCol w:w="933"/>
        <w:gridCol w:w="331"/>
      </w:tblGrid>
      <w:tr>
        <w:trPr/>
        <w:tc>
          <w:tcPr>
            <w:tcW w:w="3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December 31, </w:t>
              <w:b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Discount rate</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5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Probability of successful achievement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 - 100%</w:t>
            </w:r>
          </w:p>
        </w:tc>
        <w:tc>
          <w:tcPr>
            <w:tcW w:w="331" w:type="dxa"/>
            <w:tcBorders/>
            <w:shd w:fill="auto" w:val="clear"/>
            <w:vAlign w:val="center"/>
          </w:tcPr>
          <w:p>
            <w:pPr>
              <w:pStyle w:val="TableContents"/>
              <w:spacing w:before="0" w:after="0"/>
              <w:ind w:left="0" w:right="0" w:hanging="0"/>
              <w:jc w:val="righ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Arial;sans-serif" w:hAnsi="Arial;sans-serif"/>
          <w:b w:val="false"/>
          <w:sz w:val="16"/>
        </w:rPr>
      </w:pPr>
      <w:r>
        <w:rPr>
          <w:rFonts w:ascii="Arial;sans-serif" w:hAnsi="Arial;sans-serif"/>
          <w:b w:val="false"/>
          <w:sz w:val="16"/>
        </w:rPr>
        <w:t>* Probability of successful achievement was set at different targets based on the Company’s best estimates on achieving them.</w:t>
      </w:r>
    </w:p>
    <w:p>
      <w:pPr>
        <w:pStyle w:val="TextBody"/>
        <w:spacing w:before="200" w:after="200"/>
        <w:jc w:val="left"/>
        <w:rPr>
          <w:rFonts w:ascii="Arial;sans-serif" w:hAnsi="Arial;sans-serif"/>
          <w:b w:val="false"/>
          <w:sz w:val="20"/>
        </w:rPr>
      </w:pPr>
      <w:r>
        <w:rPr>
          <w:rFonts w:ascii="Arial;sans-serif" w:hAnsi="Arial;sans-serif"/>
          <w:b w:val="false"/>
          <w:sz w:val="20"/>
        </w:rPr>
        <w:t>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pStyle w:val="TextBody"/>
        <w:spacing w:before="200" w:after="200"/>
        <w:jc w:val="left"/>
        <w:rPr>
          <w:rFonts w:ascii="Arial;sans-serif" w:hAnsi="Arial;sans-serif"/>
          <w:b w:val="false"/>
          <w:i/>
          <w:sz w:val="20"/>
        </w:rPr>
      </w:pPr>
      <w:r>
        <w:rPr>
          <w:rFonts w:ascii="Arial;sans-serif" w:hAnsi="Arial;sans-serif"/>
          <w:b w:val="false"/>
          <w:i/>
          <w:sz w:val="20"/>
        </w:rPr>
        <w:t>WPM Group Ltd. (WPM)</w:t>
      </w:r>
    </w:p>
    <w:p>
      <w:pPr>
        <w:pStyle w:val="TextBody"/>
        <w:spacing w:before="200" w:after="200"/>
        <w:jc w:val="left"/>
        <w:rPr>
          <w:rFonts w:ascii="Times New Roman" w:hAnsi="Times New Roman"/>
          <w:sz w:val="20"/>
        </w:rPr>
      </w:pPr>
      <w:r>
        <w:rPr>
          <w:rFonts w:ascii="Arial;sans-serif" w:hAnsi="Arial;sans-serif"/>
          <w:b w:val="false"/>
          <w:sz w:val="20"/>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to further accelerate the Company's market share in the U.K. education sector. The acquisition of WPM was accounted for as a business combination.</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Pursuant to the terms of the business combination agreement, the Company acquired all outstanding equity of WPM for estimated total purchase consideration of $59.6</w:t>
      </w:r>
      <w:r>
        <w:rPr>
          <w:rFonts w:ascii="Times New Roman" w:hAnsi="Times New Roman"/>
          <w:sz w:val="20"/>
        </w:rPr>
        <w:t xml:space="preserve"> </w:t>
      </w:r>
      <w:r>
        <w:rPr>
          <w:rFonts w:ascii="Arial;sans-serif" w:hAnsi="Arial;sans-serif"/>
          <w:b w:val="false"/>
          <w:sz w:val="20"/>
        </w:rPr>
        <w:t>million, which consisted of $56.1</w:t>
      </w:r>
      <w:r>
        <w:rPr>
          <w:rFonts w:ascii="Times New Roman" w:hAnsi="Times New Roman"/>
          <w:sz w:val="20"/>
        </w:rPr>
        <w:t xml:space="preserve"> </w:t>
      </w:r>
      <w:r>
        <w:rPr>
          <w:rFonts w:ascii="Arial;sans-serif" w:hAnsi="Arial;sans-serif"/>
          <w:b w:val="false"/>
          <w:sz w:val="20"/>
        </w:rPr>
        <w:t>million in cash, net of cash acquired and $3.5</w:t>
      </w:r>
      <w:r>
        <w:rPr>
          <w:rFonts w:ascii="Times New Roman" w:hAnsi="Times New Roman"/>
          <w:sz w:val="20"/>
        </w:rPr>
        <w:t xml:space="preserve"> </w:t>
      </w:r>
      <w:r>
        <w:rPr>
          <w:rFonts w:ascii="Arial;sans-serif" w:hAnsi="Arial;sans-serif"/>
          <w:b w:val="false"/>
          <w:sz w:val="20"/>
        </w:rPr>
        <w:t>million in estimated fair value of contingent consideration. The contingent consideration is potentially payable at various intervals through March 2024 in the form of cash or up to approximately 225,000</w:t>
      </w:r>
      <w:r>
        <w:rPr>
          <w:rFonts w:ascii="Times New Roman" w:hAnsi="Times New Roman"/>
          <w:sz w:val="20"/>
        </w:rPr>
        <w:t xml:space="preserve"> </w:t>
      </w:r>
      <w:r>
        <w:rPr>
          <w:rFonts w:ascii="Arial;sans-serif" w:hAnsi="Arial;sans-serif"/>
          <w:b w:val="false"/>
          <w:sz w:val="20"/>
        </w:rPr>
        <w:t>shares of common stock at Flywire's option, and is dependent upon the Company's achievement of specified minimum payment volume targets and integration targets. The first payment volume target was based on a period of fifteen months from January 1, 2022 to March 31, 2023 and the second payment volume target is based on a period of twelve months from April 1, 2023 to March 31, 2024. Integration targets were established through a period ending April 1, 2022. A portion of the contingent consideration is also tied to continuing employment of certain key employees. As of March 31, 2023, the Company expects a potential contingent consideration payment of less than $0.1</w:t>
      </w:r>
      <w:r>
        <w:rPr>
          <w:rFonts w:ascii="Times New Roman" w:hAnsi="Times New Roman"/>
          <w:sz w:val="20"/>
        </w:rPr>
        <w:t xml:space="preserve"> </w:t>
      </w:r>
      <w:r>
        <w:rPr>
          <w:rFonts w:ascii="Arial;sans-serif" w:hAnsi="Arial;sans-serif"/>
          <w:b w:val="false"/>
          <w:sz w:val="20"/>
        </w:rPr>
        <w:t>million will be payable with respect to the WPM acquisition.</w:t>
      </w:r>
    </w:p>
    <w:p>
      <w:pPr>
        <w:pStyle w:val="TextBody"/>
        <w:spacing w:before="200" w:after="200"/>
        <w:jc w:val="left"/>
        <w:rPr>
          <w:rFonts w:ascii="Arial;sans-serif" w:hAnsi="Arial;sans-serif"/>
          <w:b w:val="false"/>
          <w:sz w:val="20"/>
        </w:rPr>
      </w:pPr>
      <w:r>
        <w:rPr>
          <w:rFonts w:ascii="Arial;sans-serif" w:hAnsi="Arial;sans-serif"/>
          <w:b w:val="false"/>
          <w:sz w:val="20"/>
        </w:rPr>
        <w:t>The fair value of the contingent consideration related to the payment volume targets was determined using an option pricing model and the fair value of the contingent consideration related to the integration targets was determined using a scenario-based method. The following table presents the unobservable inputs incorporated into the valuation of contingent consideration related to the WPM acquisition as of December 31, 2022. As of March 31, 2023, the Company expects a potential contingent consideration payment of less than $0.1 million will be payable with respect to the WPM acquisition.</w:t>
      </w:r>
    </w:p>
    <w:tbl>
      <w:tblPr>
        <w:tblW w:w="5503" w:type="dxa"/>
        <w:jc w:val="left"/>
        <w:tblInd w:w="0" w:type="dxa"/>
        <w:tblCellMar>
          <w:top w:w="28" w:type="dxa"/>
          <w:left w:w="28" w:type="dxa"/>
          <w:bottom w:w="28" w:type="dxa"/>
          <w:right w:w="28" w:type="dxa"/>
        </w:tblCellMar>
      </w:tblPr>
      <w:tblGrid>
        <w:gridCol w:w="3856"/>
        <w:gridCol w:w="146"/>
        <w:gridCol w:w="271"/>
        <w:gridCol w:w="899"/>
        <w:gridCol w:w="33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 price of risk adjustment for revenue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volatility</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22.7</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Probability of successful achievement*</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 - 100%</w:t>
            </w:r>
          </w:p>
        </w:tc>
        <w:tc>
          <w:tcPr>
            <w:tcW w:w="331"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Performance period</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1.25</w:t>
            </w:r>
            <w:r>
              <w:rPr>
                <w:rFonts w:ascii="Times New Roman" w:hAnsi="Times New Roman"/>
                <w:sz w:val="20"/>
              </w:rPr>
              <w:t> </w:t>
            </w:r>
            <w:r>
              <w:rPr>
                <w:rFonts w:ascii="Arial;sans-serif" w:hAnsi="Arial;sans-serif"/>
                <w:b w:val="false"/>
                <w:sz w:val="20"/>
              </w:rPr>
              <w:t>years</w:t>
            </w:r>
          </w:p>
        </w:tc>
        <w:tc>
          <w:tcPr>
            <w:tcW w:w="331" w:type="dxa"/>
            <w:tcBorders/>
            <w:shd w:fill="auto" w:val="clear"/>
            <w:vAlign w:val="center"/>
          </w:tcPr>
          <w:p>
            <w:pPr>
              <w:pStyle w:val="TableContents"/>
              <w:spacing w:before="0" w:after="0"/>
              <w:ind w:left="0" w:right="0" w:hanging="0"/>
              <w:jc w:val="righ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6"/>
        </w:rPr>
        <w:t>*</w:t>
      </w:r>
      <w:r>
        <w:rPr>
          <w:rFonts w:ascii="Times New Roman" w:hAnsi="Times New Roman"/>
          <w:sz w:val="20"/>
        </w:rPr>
        <w:t xml:space="preserve"> </w:t>
      </w:r>
      <w:r>
        <w:rPr>
          <w:rFonts w:ascii="Arial;sans-serif" w:hAnsi="Arial;sans-serif"/>
          <w:b w:val="false"/>
          <w:sz w:val="16"/>
        </w:rPr>
        <w:t>Probability of successful achievement was set at different targets based on the Company’s best estimates on achieving them.</w:t>
      </w:r>
    </w:p>
    <w:p>
      <w:pPr>
        <w:pStyle w:val="TextBody"/>
        <w:spacing w:before="200" w:after="200"/>
        <w:jc w:val="left"/>
        <w:rPr>
          <w:rFonts w:ascii="Arial;sans-serif" w:hAnsi="Arial;sans-serif"/>
          <w:b w:val="false"/>
          <w:sz w:val="20"/>
        </w:rPr>
      </w:pPr>
      <w:r>
        <w:rPr>
          <w:rFonts w:ascii="Arial;sans-serif" w:hAnsi="Arial;sans-serif"/>
          <w:b w:val="false"/>
          <w:sz w:val="20"/>
        </w:rPr>
        <w:t>Increases or decreases in expectations regarding the level at which payment volumes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pStyle w:val="TextBody"/>
        <w:spacing w:before="200" w:after="200"/>
        <w:jc w:val="left"/>
        <w:rPr>
          <w:rFonts w:ascii="Times New Roman" w:hAnsi="Times New Roman"/>
          <w:sz w:val="20"/>
        </w:rPr>
      </w:pPr>
      <w:r>
        <w:rPr>
          <w:rFonts w:ascii="Arial;sans-serif" w:hAnsi="Arial;sans-serif"/>
          <w:b w:val="false"/>
          <w:sz w:val="20"/>
        </w:rPr>
        <w:t>Changes in the fair value of contingent consideration are included as a component of general and administrative expense within the condensed consolidated statements of operations and comprehensive loss. Contingent consideration ending balance consists of a potential contingent consideration payment of less than $0.1 million with respect to the WPM acquisition and contingent consideration of less than $0.1 million related a 2021 asset acquisition.</w:t>
      </w:r>
      <w:r>
        <w:rPr>
          <w:rFonts w:ascii="Times New Roman" w:hAnsi="Times New Roman"/>
          <w:sz w:val="20"/>
        </w:rPr>
        <w:t xml:space="preserve"> </w:t>
      </w:r>
      <w:r>
        <w:rPr>
          <w:rFonts w:ascii="Arial;sans-serif" w:hAnsi="Arial;sans-serif"/>
          <w:b w:val="false"/>
          <w:sz w:val="20"/>
        </w:rPr>
        <w:t xml:space="preserve">The following table summarizes the changes in the carrying value of the contingent consideration for the three months ended March 31, 2023 and 2022 (in thousands): </w:t>
      </w:r>
    </w:p>
    <w:tbl>
      <w:tblPr>
        <w:tblW w:w="6460" w:type="dxa"/>
        <w:jc w:val="left"/>
        <w:tblInd w:w="0" w:type="dxa"/>
        <w:tblCellMar>
          <w:top w:w="28" w:type="dxa"/>
          <w:left w:w="28" w:type="dxa"/>
          <w:bottom w:w="28" w:type="dxa"/>
          <w:right w:w="28" w:type="dxa"/>
        </w:tblCellMar>
      </w:tblPr>
      <w:tblGrid>
        <w:gridCol w:w="3556"/>
        <w:gridCol w:w="146"/>
        <w:gridCol w:w="259"/>
        <w:gridCol w:w="795"/>
        <w:gridCol w:w="204"/>
        <w:gridCol w:w="179"/>
        <w:gridCol w:w="259"/>
        <w:gridCol w:w="851"/>
        <w:gridCol w:w="21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1,332</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11,309</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Change in fair value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410</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Contingent consideration paid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(1,674</w:t>
            </w:r>
          </w:p>
        </w:tc>
        <w:tc>
          <w:tcPr>
            <w:tcW w:w="20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(7,844</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3,300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200"/>
        <w:jc w:val="left"/>
        <w:rPr>
          <w:rFonts w:ascii="Arial;sans-serif" w:hAnsi="Arial;sans-serif"/>
          <w:b w:val="false"/>
          <w:sz w:val="16"/>
        </w:rPr>
      </w:pPr>
      <w:r>
        <w:rPr>
          <w:rFonts w:ascii="Arial;sans-serif" w:hAnsi="Arial;sans-serif"/>
          <w:b w:val="false"/>
          <w:sz w:val="16"/>
        </w:rPr>
        <w:t>* For the three months ended March 31, 2023 and 2022, contingent consideration paid related to the acquisition of Cohort Go and Simplificare Inc. (Simplee) have been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pStyle w:val="TextBody"/>
        <w:spacing w:before="360" w:after="0"/>
        <w:jc w:val="left"/>
        <w:rPr>
          <w:rFonts w:ascii="Times New Roman" w:hAnsi="Times New Roman"/>
          <w:sz w:val="20"/>
        </w:rPr>
      </w:pPr>
      <w:bookmarkStart w:id="18" w:name="note_5"/>
      <w:bookmarkEnd w:id="18"/>
      <w:r>
        <w:rPr>
          <w:rFonts w:ascii="Arial;sans-serif" w:hAnsi="Arial;sans-serif"/>
          <w:b/>
          <w:sz w:val="20"/>
        </w:rPr>
        <w:t>Note 5. Derivative Instruments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amount is generally not exchanged but is used only as the underlying basis on which the value of foreign exchange payments under these contracts is determined. As of March 31, 2023 and December 31, 2022, the Company had 8,506</w:t>
      </w:r>
      <w:r>
        <w:rPr>
          <w:rFonts w:ascii="Times New Roman" w:hAnsi="Times New Roman"/>
          <w:sz w:val="20"/>
        </w:rPr>
        <w:t xml:space="preserve"> </w:t>
      </w:r>
      <w:r>
        <w:rPr>
          <w:rFonts w:ascii="Arial;sans-serif" w:hAnsi="Arial;sans-serif"/>
          <w:b w:val="false"/>
          <w:sz w:val="20"/>
        </w:rPr>
        <w:t>and 11,816</w:t>
      </w:r>
      <w:r>
        <w:rPr>
          <w:rFonts w:ascii="Times New Roman" w:hAnsi="Times New Roman"/>
          <w:sz w:val="20"/>
        </w:rPr>
        <w:t xml:space="preserve"> </w:t>
      </w:r>
      <w:r>
        <w:rPr>
          <w:rFonts w:ascii="Arial;sans-serif" w:hAnsi="Arial;sans-serif"/>
          <w:b w:val="false"/>
          <w:sz w:val="20"/>
        </w:rPr>
        <w:t>open foreign exchange contracts, respectively. As of March 31, 2023 and December 31, 2022, the Company had foreign currency forward contracts outstanding with a notional amount of $29.1</w:t>
      </w:r>
      <w:r>
        <w:rPr>
          <w:rFonts w:ascii="Times New Roman" w:hAnsi="Times New Roman"/>
          <w:sz w:val="20"/>
        </w:rPr>
        <w:t xml:space="preserve"> </w:t>
      </w:r>
      <w:r>
        <w:rPr>
          <w:rFonts w:ascii="Arial;sans-serif" w:hAnsi="Arial;sans-serif"/>
          <w:b w:val="false"/>
          <w:sz w:val="20"/>
        </w:rPr>
        <w:t>million and $54.7</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Company records all derivative instruments</w:t>
      </w:r>
      <w:r>
        <w:rPr>
          <w:rFonts w:ascii="Times New Roman" w:hAnsi="Times New Roman"/>
          <w:sz w:val="20"/>
        </w:rPr>
        <w:t xml:space="preserve"> </w:t>
      </w:r>
      <w:r>
        <w:rPr>
          <w:rFonts w:ascii="Arial;sans-serif" w:hAnsi="Arial;sans-serif"/>
          <w:b w:val="false"/>
          <w:sz w:val="20"/>
        </w:rPr>
        <w:t>in the condensed consolidated balance sheets at their fair values. For the three months ended March 31, 2023 and for the year ended December 31, 2022, the Company recorded an asset of $0.1</w:t>
      </w:r>
      <w:r>
        <w:rPr>
          <w:rFonts w:ascii="Times New Roman" w:hAnsi="Times New Roman"/>
          <w:sz w:val="20"/>
        </w:rPr>
        <w:t xml:space="preserve"> </w:t>
      </w:r>
      <w:r>
        <w:rPr>
          <w:rFonts w:ascii="Arial;sans-serif" w:hAnsi="Arial;sans-serif"/>
          <w:b w:val="false"/>
          <w:sz w:val="20"/>
        </w:rPr>
        <w:t>million and a liability of $0.1</w:t>
      </w:r>
      <w:r>
        <w:rPr>
          <w:rFonts w:ascii="Times New Roman" w:hAnsi="Times New Roman"/>
          <w:sz w:val="20"/>
        </w:rPr>
        <w:t xml:space="preserve"> </w:t>
      </w:r>
      <w:r>
        <w:rPr>
          <w:rFonts w:ascii="Arial;sans-serif" w:hAnsi="Arial;sans-serif"/>
          <w:b w:val="false"/>
          <w:sz w:val="20"/>
        </w:rPr>
        <w:t>million, respectively, related to outstanding foreign exchange contracts. The Company recognized a loss of $1.3</w:t>
      </w:r>
      <w:r>
        <w:rPr>
          <w:rFonts w:ascii="Times New Roman" w:hAnsi="Times New Roman"/>
          <w:sz w:val="20"/>
        </w:rPr>
        <w:t xml:space="preserve"> </w:t>
      </w:r>
      <w:r>
        <w:rPr>
          <w:rFonts w:ascii="Arial;sans-serif" w:hAnsi="Arial;sans-serif"/>
          <w:b w:val="false"/>
          <w:sz w:val="20"/>
        </w:rPr>
        <w:t>million and a gain of $0.3</w:t>
      </w:r>
      <w:r>
        <w:rPr>
          <w:rFonts w:ascii="Times New Roman" w:hAnsi="Times New Roman"/>
          <w:sz w:val="20"/>
        </w:rPr>
        <w:t xml:space="preserve"> </w:t>
      </w:r>
      <w:r>
        <w:rPr>
          <w:rFonts w:ascii="Arial;sans-serif" w:hAnsi="Arial;sans-serif"/>
          <w:b w:val="false"/>
          <w:sz w:val="20"/>
        </w:rPr>
        <w:t>million during the three months ended March 31, 2023 and March 31, 2022, respectively. Gains and losses are included as a component of general and administrative expense within the condensed consolidated statements of operations and comprehensive loss.</w:t>
      </w:r>
      <w:r>
        <w:rPr>
          <w:rFonts w:ascii="Times New Roman" w:hAnsi="Times New Roman"/>
          <w:sz w:val="20"/>
        </w:rPr>
        <w:t xml:space="preserve"> </w:t>
      </w:r>
    </w:p>
    <w:p>
      <w:pPr>
        <w:pStyle w:val="TextBody"/>
        <w:spacing w:before="360" w:after="0"/>
        <w:jc w:val="left"/>
        <w:rPr>
          <w:rFonts w:ascii="Times New Roman" w:hAnsi="Times New Roman"/>
          <w:sz w:val="20"/>
        </w:rPr>
      </w:pPr>
      <w:bookmarkStart w:id="19" w:name="note_6"/>
      <w:bookmarkEnd w:id="19"/>
      <w:r>
        <w:rPr>
          <w:rFonts w:ascii="Arial;sans-serif" w:hAnsi="Arial;sans-serif"/>
          <w:b/>
          <w:sz w:val="20"/>
        </w:rPr>
        <w:t>Note 6. Accrued Expenses and Other Current Liabilities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Accrued expenses and other current liabilities consisted of the following as of the dates presented (in thousands):</w:t>
      </w:r>
      <w:r>
        <w:rPr>
          <w:rFonts w:ascii="Times New Roman" w:hAnsi="Times New Roman"/>
          <w:sz w:val="20"/>
        </w:rPr>
        <w:t xml:space="preserve"> </w:t>
      </w:r>
    </w:p>
    <w:tbl>
      <w:tblPr>
        <w:tblW w:w="7502" w:type="dxa"/>
        <w:jc w:val="left"/>
        <w:tblInd w:w="0" w:type="dxa"/>
        <w:tblCellMar>
          <w:top w:w="28" w:type="dxa"/>
          <w:left w:w="28" w:type="dxa"/>
          <w:bottom w:w="28" w:type="dxa"/>
          <w:right w:w="28" w:type="dxa"/>
        </w:tblCellMar>
      </w:tblPr>
      <w:tblGrid>
        <w:gridCol w:w="4801"/>
        <w:gridCol w:w="146"/>
        <w:gridCol w:w="211"/>
        <w:gridCol w:w="691"/>
        <w:gridCol w:w="146"/>
        <w:gridCol w:w="146"/>
        <w:gridCol w:w="273"/>
        <w:gridCol w:w="897"/>
        <w:gridCol w:w="191"/>
      </w:tblGrid>
      <w:tr>
        <w:trPr/>
        <w:tc>
          <w:tcPr>
            <w:tcW w:w="4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employee compensation and related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15,763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16,944</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vendor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3,104</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income and other nonemployee related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5,001</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professional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1,723</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Current portion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1,807</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accrued expenses and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4,530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34,345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33,109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bookmarkStart w:id="20" w:name="note_7"/>
      <w:bookmarkEnd w:id="20"/>
      <w:r>
        <w:rPr>
          <w:rFonts w:ascii="Arial;sans-serif" w:hAnsi="Arial;sans-serif"/>
          <w:b/>
          <w:sz w:val="20"/>
        </w:rPr>
        <w:t>Note 7. Property and Equipment, net</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Property and equipment, net consisted of the following as of the dates presented (in thousands):</w:t>
      </w:r>
      <w:r>
        <w:rPr>
          <w:rFonts w:ascii="Times New Roman" w:hAnsi="Times New Roman"/>
          <w:sz w:val="20"/>
        </w:rPr>
        <w:t xml:space="preserve"> </w:t>
      </w:r>
    </w:p>
    <w:tbl>
      <w:tblPr>
        <w:tblW w:w="7152" w:type="dxa"/>
        <w:jc w:val="left"/>
        <w:tblInd w:w="0" w:type="dxa"/>
        <w:tblCellMar>
          <w:top w:w="28" w:type="dxa"/>
          <w:left w:w="28" w:type="dxa"/>
          <w:bottom w:w="28" w:type="dxa"/>
          <w:right w:w="28" w:type="dxa"/>
        </w:tblCellMar>
      </w:tblPr>
      <w:tblGrid>
        <w:gridCol w:w="4411"/>
        <w:gridCol w:w="146"/>
        <w:gridCol w:w="211"/>
        <w:gridCol w:w="691"/>
        <w:gridCol w:w="166"/>
        <w:gridCol w:w="146"/>
        <w:gridCol w:w="273"/>
        <w:gridCol w:w="897"/>
        <w:gridCol w:w="21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Computer equipment and software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3,195</w:t>
            </w:r>
          </w:p>
        </w:tc>
        <w:tc>
          <w:tcPr>
            <w:tcW w:w="21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Internal-use software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14,499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13,131</w:t>
            </w:r>
          </w:p>
        </w:tc>
        <w:tc>
          <w:tcPr>
            <w:tcW w:w="21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892</w:t>
            </w:r>
          </w:p>
        </w:tc>
        <w:tc>
          <w:tcPr>
            <w:tcW w:w="21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4,704</w:t>
            </w:r>
          </w:p>
        </w:tc>
        <w:tc>
          <w:tcPr>
            <w:tcW w:w="21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23,948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22,213</w:t>
            </w:r>
          </w:p>
        </w:tc>
        <w:tc>
          <w:tcPr>
            <w:tcW w:w="21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(8,896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14,274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13,317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Depreciation and amortization expense for the three months ended March 31, 2023 and 2022 was $0.9</w:t>
      </w:r>
      <w:r>
        <w:rPr>
          <w:rFonts w:ascii="Times New Roman" w:hAnsi="Times New Roman"/>
          <w:sz w:val="20"/>
        </w:rPr>
        <w:t xml:space="preserve"> </w:t>
      </w:r>
      <w:r>
        <w:rPr>
          <w:rFonts w:ascii="Arial;sans-serif" w:hAnsi="Arial;sans-serif"/>
          <w:b w:val="false"/>
          <w:sz w:val="20"/>
        </w:rPr>
        <w:t>million and $0.7</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Company capitalized $1.4</w:t>
      </w:r>
      <w:r>
        <w:rPr>
          <w:rFonts w:ascii="Times New Roman" w:hAnsi="Times New Roman"/>
          <w:sz w:val="20"/>
        </w:rPr>
        <w:t xml:space="preserve"> </w:t>
      </w:r>
      <w:r>
        <w:rPr>
          <w:rFonts w:ascii="Arial;sans-serif" w:hAnsi="Arial;sans-serif"/>
          <w:b w:val="false"/>
          <w:sz w:val="20"/>
        </w:rPr>
        <w:t>million and $5.7</w:t>
      </w:r>
      <w:r>
        <w:rPr>
          <w:rFonts w:ascii="Times New Roman" w:hAnsi="Times New Roman"/>
          <w:sz w:val="20"/>
        </w:rPr>
        <w:t xml:space="preserve"> </w:t>
      </w:r>
      <w:r>
        <w:rPr>
          <w:rFonts w:ascii="Arial;sans-serif" w:hAnsi="Arial;sans-serif"/>
          <w:b w:val="false"/>
          <w:sz w:val="20"/>
        </w:rPr>
        <w:t>million in costs related to internal-use software during the three months ended March 31, 2023 and the year ended December 31, 2022, respectively. Software developed for internal use is amortized on a straight-line basis over its estimated useful life of five years.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of March 31, 2023 and December 31, 2022, the carrying value of internal-use software was $11.5</w:t>
      </w:r>
      <w:r>
        <w:rPr>
          <w:rFonts w:ascii="Times New Roman" w:hAnsi="Times New Roman"/>
          <w:sz w:val="20"/>
        </w:rPr>
        <w:t xml:space="preserve"> </w:t>
      </w:r>
      <w:r>
        <w:rPr>
          <w:rFonts w:ascii="Arial;sans-serif" w:hAnsi="Arial;sans-serif"/>
          <w:b w:val="false"/>
          <w:sz w:val="20"/>
        </w:rPr>
        <w:t>million and $10.6</w:t>
      </w:r>
      <w:r>
        <w:rPr>
          <w:rFonts w:ascii="Times New Roman" w:hAnsi="Times New Roman"/>
          <w:sz w:val="20"/>
        </w:rPr>
        <w:t xml:space="preserve"> </w:t>
      </w:r>
      <w:r>
        <w:rPr>
          <w:rFonts w:ascii="Arial;sans-serif" w:hAnsi="Arial;sans-serif"/>
          <w:b w:val="false"/>
          <w:sz w:val="20"/>
        </w:rPr>
        <w:t>million, respectively. Amortization expense related to internal-use software was $0.5</w:t>
      </w:r>
      <w:r>
        <w:rPr>
          <w:rFonts w:ascii="Times New Roman" w:hAnsi="Times New Roman"/>
          <w:sz w:val="20"/>
        </w:rPr>
        <w:t xml:space="preserve"> </w:t>
      </w:r>
      <w:r>
        <w:rPr>
          <w:rFonts w:ascii="Arial;sans-serif" w:hAnsi="Arial;sans-serif"/>
          <w:b w:val="false"/>
          <w:sz w:val="20"/>
        </w:rPr>
        <w:t>million and $0.4</w:t>
      </w:r>
      <w:r>
        <w:rPr>
          <w:rFonts w:ascii="Times New Roman" w:hAnsi="Times New Roman"/>
          <w:sz w:val="20"/>
        </w:rPr>
        <w:t xml:space="preserve"> </w:t>
      </w:r>
      <w:r>
        <w:rPr>
          <w:rFonts w:ascii="Arial;sans-serif" w:hAnsi="Arial;sans-serif"/>
          <w:b w:val="false"/>
          <w:sz w:val="20"/>
        </w:rPr>
        <w:t>million during the three months ended March 31, 2023 and 2022, respectively.</w:t>
      </w:r>
      <w:r>
        <w:rPr>
          <w:rFonts w:ascii="Times New Roman" w:hAnsi="Times New Roman"/>
          <w:sz w:val="20"/>
        </w:rPr>
        <w:t xml:space="preserve"> </w:t>
      </w:r>
    </w:p>
    <w:p>
      <w:pPr>
        <w:pStyle w:val="TextBody"/>
        <w:spacing w:before="200" w:after="0"/>
        <w:jc w:val="left"/>
        <w:rPr>
          <w:rFonts w:ascii="Times New Roman" w:hAnsi="Times New Roman"/>
          <w:sz w:val="20"/>
        </w:rPr>
      </w:pPr>
      <w:bookmarkStart w:id="21" w:name="note_8"/>
      <w:bookmarkEnd w:id="21"/>
      <w:r>
        <w:rPr>
          <w:rFonts w:ascii="Arial;sans-serif" w:hAnsi="Arial;sans-serif"/>
          <w:b/>
          <w:sz w:val="20"/>
        </w:rPr>
        <w:t>Note 8.</w:t>
      </w:r>
      <w:r>
        <w:rPr>
          <w:rFonts w:ascii="Times New Roman" w:hAnsi="Times New Roman"/>
          <w:sz w:val="20"/>
        </w:rPr>
        <w:t xml:space="preserve"> </w:t>
      </w:r>
      <w:r>
        <w:rPr>
          <w:rFonts w:ascii="Arial;sans-serif" w:hAnsi="Arial;sans-serif"/>
          <w:b/>
          <w:sz w:val="20"/>
        </w:rPr>
        <w:t>Business Combinations</w:t>
      </w:r>
    </w:p>
    <w:p>
      <w:pPr>
        <w:pStyle w:val="TextBody"/>
        <w:spacing w:before="200" w:after="0"/>
        <w:jc w:val="left"/>
        <w:rPr>
          <w:rFonts w:ascii="Arial;sans-serif" w:hAnsi="Arial;sans-serif"/>
          <w:b/>
          <w:i/>
          <w:sz w:val="20"/>
        </w:rPr>
      </w:pPr>
      <w:r>
        <w:rPr>
          <w:rFonts w:ascii="Arial;sans-serif" w:hAnsi="Arial;sans-serif"/>
          <w:b/>
          <w:i/>
          <w:sz w:val="20"/>
        </w:rPr>
        <w:t>Cohort Go</w:t>
      </w:r>
    </w:p>
    <w:p>
      <w:pPr>
        <w:pStyle w:val="TextBody"/>
        <w:spacing w:before="200" w:after="0"/>
        <w:jc w:val="left"/>
        <w:rPr>
          <w:rFonts w:ascii="Times New Roman" w:hAnsi="Times New Roman"/>
          <w:sz w:val="20"/>
        </w:rPr>
      </w:pPr>
      <w:r>
        <w:rPr>
          <w:rFonts w:ascii="Arial;sans-serif" w:hAnsi="Arial;sans-serif"/>
          <w:b w:val="false"/>
          <w:sz w:val="20"/>
        </w:rPr>
        <w:t>On July 13, 2022, Flywire acquired all of the issued and outstanding shares of Cohort Go, an Australian-based education payments provider that simplifies the student recruitment process by bringing together students, agents and</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0"/>
        <w:jc w:val="left"/>
        <w:rPr>
          <w:rFonts w:ascii="Times New Roman" w:hAnsi="Times New Roman"/>
          <w:sz w:val="20"/>
        </w:rPr>
      </w:pPr>
      <w:r>
        <w:rPr>
          <w:rFonts w:ascii="Arial;sans-serif" w:hAnsi="Arial;sans-serif"/>
          <w:b w:val="false"/>
          <w:sz w:val="20"/>
        </w:rPr>
        <w:t>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During the fourth quarter of 2022, the cash consideration, net of cash acquired and the purchase price allocation was adjusted to reflect a working capital true-up and a change to the deferred tax liability, which was due to additional tax basis associated with the acquired technology intangible asset. This resulted in a $0.2</w:t>
      </w:r>
      <w:r>
        <w:rPr>
          <w:rFonts w:ascii="Times New Roman" w:hAnsi="Times New Roman"/>
          <w:sz w:val="20"/>
        </w:rPr>
        <w:t xml:space="preserve"> </w:t>
      </w:r>
      <w:r>
        <w:rPr>
          <w:rFonts w:ascii="Arial;sans-serif" w:hAnsi="Arial;sans-serif"/>
          <w:b w:val="false"/>
          <w:sz w:val="20"/>
        </w:rPr>
        <w:t>million increase in the cash consideration, net of cash acquired, a $1.4</w:t>
      </w:r>
      <w:r>
        <w:rPr>
          <w:rFonts w:ascii="Times New Roman" w:hAnsi="Times New Roman"/>
          <w:sz w:val="20"/>
        </w:rPr>
        <w:t xml:space="preserve"> </w:t>
      </w:r>
      <w:r>
        <w:rPr>
          <w:rFonts w:ascii="Arial;sans-serif" w:hAnsi="Arial;sans-serif"/>
          <w:b w:val="false"/>
          <w:sz w:val="20"/>
        </w:rPr>
        <w:t>million decrease to deferred tax liability and a $1.2</w:t>
      </w:r>
      <w:r>
        <w:rPr>
          <w:rFonts w:ascii="Times New Roman" w:hAnsi="Times New Roman"/>
          <w:sz w:val="20"/>
        </w:rPr>
        <w:t xml:space="preserve"> </w:t>
      </w:r>
      <w:r>
        <w:rPr>
          <w:rFonts w:ascii="Arial;sans-serif" w:hAnsi="Arial;sans-serif"/>
          <w:b w:val="false"/>
          <w:sz w:val="20"/>
        </w:rPr>
        <w:t>million decrease to goodwill from the quarter ended September 30, 2022 to the year ended December 31, 2022. The adjusted purchase price allocation is reflected in the condensed consolidated balance sheet as of March 31, 2023 and purchase price allocation below.</w:t>
      </w:r>
    </w:p>
    <w:p>
      <w:pPr>
        <w:pStyle w:val="TextBody"/>
        <w:spacing w:before="200" w:after="200"/>
        <w:jc w:val="left"/>
        <w:rPr>
          <w:rFonts w:ascii="Times New Roman" w:hAnsi="Times New Roman"/>
          <w:sz w:val="20"/>
        </w:rPr>
      </w:pPr>
      <w:r>
        <w:rPr>
          <w:rFonts w:ascii="Arial;sans-serif" w:hAnsi="Arial;sans-serif"/>
          <w:b w:val="false"/>
          <w:sz w:val="20"/>
        </w:rPr>
        <w:t>Pursuant to the terms of the business combination agreement, the Company acquired Cohort Go for estimated total purchase consideration of $33.0</w:t>
      </w:r>
      <w:r>
        <w:rPr>
          <w:rFonts w:ascii="Times New Roman" w:hAnsi="Times New Roman"/>
          <w:sz w:val="20"/>
        </w:rPr>
        <w:t xml:space="preserve"> </w:t>
      </w:r>
      <w:r>
        <w:rPr>
          <w:rFonts w:ascii="Arial;sans-serif" w:hAnsi="Arial;sans-serif"/>
          <w:b w:val="false"/>
          <w:sz w:val="20"/>
        </w:rPr>
        <w:t>million or $23.1</w:t>
      </w:r>
      <w:r>
        <w:rPr>
          <w:rFonts w:ascii="Times New Roman" w:hAnsi="Times New Roman"/>
          <w:sz w:val="20"/>
        </w:rPr>
        <w:t xml:space="preserve"> </w:t>
      </w:r>
      <w:r>
        <w:rPr>
          <w:rFonts w:ascii="Arial;sans-serif" w:hAnsi="Arial;sans-serif"/>
          <w:b w:val="false"/>
          <w:sz w:val="20"/>
        </w:rPr>
        <w:t>million, net of cash acquired, which consisted of (in thousands):</w:t>
      </w:r>
    </w:p>
    <w:tbl>
      <w:tblPr>
        <w:tblW w:w="6035" w:type="dxa"/>
        <w:jc w:val="left"/>
        <w:tblInd w:w="0" w:type="dxa"/>
        <w:tblCellMar>
          <w:top w:w="28" w:type="dxa"/>
          <w:left w:w="28" w:type="dxa"/>
          <w:bottom w:w="28" w:type="dxa"/>
          <w:right w:w="28" w:type="dxa"/>
        </w:tblCellMar>
      </w:tblPr>
      <w:tblGrid>
        <w:gridCol w:w="4516"/>
        <w:gridCol w:w="146"/>
        <w:gridCol w:w="211"/>
        <w:gridCol w:w="691"/>
        <w:gridCol w:w="471"/>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consideration,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17,140</w:t>
            </w:r>
          </w:p>
        </w:tc>
        <w:tc>
          <w:tcPr>
            <w:tcW w:w="47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Estimated fair value of shares of 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4,287</w:t>
            </w:r>
          </w:p>
        </w:tc>
        <w:tc>
          <w:tcPr>
            <w:tcW w:w="47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Estimated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1,695</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45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purchase consideration,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23,122</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Arial;sans-serif" w:hAnsi="Arial;sans-serif"/>
          <w:b w:val="false"/>
          <w:sz w:val="20"/>
        </w:rPr>
      </w:pPr>
      <w:r>
        <w:rPr>
          <w:rFonts w:ascii="Arial;sans-serif" w:hAnsi="Arial;sans-serif"/>
          <w:b w:val="false"/>
          <w:sz w:val="20"/>
        </w:rPr>
        <w:t>Contingent consideration, which totaled up to $1.7 million represented additional payments that Flywire was required to make which was dependent upon Cohort Go's achievement of specific post-acquisition milestones and was subject to exchange rate fluctuation adjustment between the U.S. Dollar and Australian Dollar. During March 2023, the Company made a payment of contingent consideration in the amount of $1.7 million, in the form of cash, based on Cohort Go's successful and timely achievement of the contracted milestones. No additional contingent consideration is due or payable with respect to the Cohort Go acquisition.</w:t>
      </w:r>
    </w:p>
    <w:p>
      <w:pPr>
        <w:pStyle w:val="TextBody"/>
        <w:spacing w:before="200" w:after="200"/>
        <w:jc w:val="left"/>
        <w:rPr>
          <w:rFonts w:ascii="Arial;sans-serif" w:hAnsi="Arial;sans-serif"/>
          <w:b w:val="false"/>
          <w:sz w:val="20"/>
        </w:rPr>
      </w:pPr>
      <w:r>
        <w:rPr>
          <w:rFonts w:ascii="Arial;sans-serif" w:hAnsi="Arial;sans-serif"/>
          <w:b w:val="false"/>
          <w:sz w:val="20"/>
        </w:rPr>
        <w:t>The table summarizes the preliminary allocation of the purchase consideration to the assets acquired and liabilities assumed (in thousands):</w:t>
      </w:r>
    </w:p>
    <w:tbl>
      <w:tblPr>
        <w:tblW w:w="5600" w:type="dxa"/>
        <w:jc w:val="left"/>
        <w:tblInd w:w="0" w:type="dxa"/>
        <w:tblCellMar>
          <w:top w:w="28" w:type="dxa"/>
          <w:left w:w="28" w:type="dxa"/>
          <w:bottom w:w="28" w:type="dxa"/>
          <w:right w:w="28" w:type="dxa"/>
        </w:tblCellMar>
      </w:tblPr>
      <w:tblGrid>
        <w:gridCol w:w="4081"/>
        <w:gridCol w:w="146"/>
        <w:gridCol w:w="211"/>
        <w:gridCol w:w="691"/>
        <w:gridCol w:w="471"/>
      </w:tblGrid>
      <w:tr>
        <w:trPr/>
        <w:tc>
          <w:tcPr>
            <w:tcW w:w="40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9,880</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558</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Funds receivable from payment partners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3,767</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314</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494</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16,197</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Identifiable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16,408</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408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47,618</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5,012</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264</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Funds payable to clients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4,071</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1,740</w:t>
            </w:r>
          </w:p>
        </w:tc>
        <w:tc>
          <w:tcPr>
            <w:tcW w:w="47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3,529</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40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14,616</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33,002</w:t>
            </w:r>
          </w:p>
        </w:tc>
        <w:tc>
          <w:tcPr>
            <w:tcW w:w="471" w:type="dxa"/>
            <w:tcBorders/>
            <w:shd w:fill="auto" w:val="clear"/>
            <w:vAlign w:val="center"/>
          </w:tcPr>
          <w:p>
            <w:pPr>
              <w:pStyle w:val="TableContents"/>
              <w:spacing w:before="0" w:after="0"/>
              <w:ind w:left="0" w:right="0" w:firstLine="280"/>
              <w:jc w:val="left"/>
              <w:rPr/>
            </w:pPr>
            <w:r>
              <w:rPr/>
              <w:t> </w:t>
            </w:r>
          </w:p>
        </w:tc>
      </w:tr>
      <w:tr>
        <w:trPr/>
        <w:tc>
          <w:tcPr>
            <w:tcW w:w="40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Less: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9,880</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assets, less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23,122</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Goodwill arising from the acquisition of $16.2</w:t>
      </w:r>
      <w:r>
        <w:rPr>
          <w:rFonts w:ascii="Times New Roman" w:hAnsi="Times New Roman"/>
          <w:sz w:val="20"/>
        </w:rPr>
        <w:t xml:space="preserve"> </w:t>
      </w:r>
      <w:r>
        <w:rPr>
          <w:rFonts w:ascii="Arial;sans-serif" w:hAnsi="Arial;sans-serif"/>
          <w:b w:val="false"/>
          <w:sz w:val="20"/>
        </w:rPr>
        <w:t>million was attributable to the assembled workforce of Cohort Go and the synergies expected to arise from the acquisition. The Company expects that no</w:t>
      </w:r>
      <w:r>
        <w:rPr>
          <w:rFonts w:ascii="Times New Roman" w:hAnsi="Times New Roman"/>
          <w:sz w:val="20"/>
        </w:rPr>
        <w:t xml:space="preserve"> </w:t>
      </w:r>
      <w:r>
        <w:rPr>
          <w:rFonts w:ascii="Arial;sans-serif" w:hAnsi="Arial;sans-serif"/>
          <w:b w:val="false"/>
          <w:sz w:val="20"/>
        </w:rPr>
        <w:t>goodwill from this acquisition will be deductible for income tax purposes.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The following table reflects the estimated fair values of the identified intangible assets of Cohort Go and their respective weighted-average estimated amortization periods.</w:t>
      </w:r>
      <w:r>
        <w:rPr>
          <w:rFonts w:ascii="Times New Roman" w:hAnsi="Times New Roman"/>
          <w:sz w:val="20"/>
        </w:rPr>
        <w:t xml:space="preserve"> </w:t>
      </w:r>
    </w:p>
    <w:tbl>
      <w:tblPr>
        <w:tblW w:w="5928" w:type="dxa"/>
        <w:jc w:val="left"/>
        <w:tblInd w:w="0" w:type="dxa"/>
        <w:tblCellMar>
          <w:top w:w="28" w:type="dxa"/>
          <w:left w:w="28" w:type="dxa"/>
          <w:bottom w:w="28" w:type="dxa"/>
          <w:right w:w="28" w:type="dxa"/>
        </w:tblCellMar>
      </w:tblPr>
      <w:tblGrid>
        <w:gridCol w:w="3031"/>
        <w:gridCol w:w="109"/>
        <w:gridCol w:w="298"/>
        <w:gridCol w:w="977"/>
        <w:gridCol w:w="109"/>
        <w:gridCol w:w="109"/>
        <w:gridCol w:w="292"/>
        <w:gridCol w:w="849"/>
        <w:gridCol w:w="154"/>
      </w:tblGrid>
      <w:tr>
        <w:trPr/>
        <w:tc>
          <w:tcPr>
            <w:tcW w:w="3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Estimated</w:t>
              <w:br/>
              <w:t>Fair Values</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Estimated</w:t>
              <w:br/>
              <w:t>Amortization</w:t>
              <w:br/>
              <w:t>Periods</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03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27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thousands)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14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(years)</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0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Developed technology</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7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5,356</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92" w:type="dxa"/>
            <w:tcBorders/>
            <w:shd w:fill="auto" w:val="clear"/>
            <w:vAlign w:val="center"/>
          </w:tcPr>
          <w:p>
            <w:pPr>
              <w:pStyle w:val="TableContents"/>
              <w:spacing w:before="0" w:after="283"/>
              <w:ind w:left="0" w:right="0" w:hanging="0"/>
              <w:rPr>
                <w:sz w:val="4"/>
                <w:szCs w:val="4"/>
              </w:rPr>
            </w:pPr>
            <w:r>
              <w:rPr>
                <w:sz w:val="4"/>
                <w:szCs w:val="4"/>
              </w:rPr>
            </w:r>
          </w:p>
        </w:tc>
        <w:tc>
          <w:tcPr>
            <w:tcW w:w="84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0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Agent and customer relationships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11,052</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92" w:type="dxa"/>
            <w:tcBorders/>
            <w:shd w:fill="auto" w:val="clear"/>
            <w:vAlign w:val="center"/>
          </w:tcPr>
          <w:p>
            <w:pPr>
              <w:pStyle w:val="TableContents"/>
              <w:spacing w:before="0" w:after="283"/>
              <w:ind w:left="0" w:right="0" w:hanging="0"/>
              <w:rPr>
                <w:sz w:val="4"/>
                <w:szCs w:val="4"/>
              </w:rPr>
            </w:pPr>
            <w:r>
              <w:rPr>
                <w:sz w:val="4"/>
                <w:szCs w:val="4"/>
              </w:rPr>
            </w:r>
          </w:p>
        </w:tc>
        <w:tc>
          <w:tcPr>
            <w:tcW w:w="84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03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16,408</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14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200" w:after="200"/>
        <w:jc w:val="left"/>
        <w:rPr>
          <w:rFonts w:ascii="Times New Roman" w:hAnsi="Times New Roman"/>
          <w:sz w:val="20"/>
        </w:rPr>
      </w:pPr>
      <w:r>
        <w:rPr>
          <w:rFonts w:ascii="Arial;sans-serif" w:hAnsi="Arial;sans-serif"/>
          <w:b w:val="false"/>
          <w:sz w:val="20"/>
        </w:rPr>
        <w:t>The results of Cohort Go have been included in the condensed consolidated financial statements since the date of the acquisition. Cohort Go contributed $3.5</w:t>
      </w:r>
      <w:r>
        <w:rPr>
          <w:rFonts w:ascii="Times New Roman" w:hAnsi="Times New Roman"/>
          <w:sz w:val="20"/>
        </w:rPr>
        <w:t xml:space="preserve"> </w:t>
      </w:r>
      <w:r>
        <w:rPr>
          <w:rFonts w:ascii="Arial;sans-serif" w:hAnsi="Arial;sans-serif"/>
          <w:b w:val="false"/>
          <w:sz w:val="20"/>
        </w:rPr>
        <w:t>million in transaction revenue and $2.5</w:t>
      </w:r>
      <w:r>
        <w:rPr>
          <w:rFonts w:ascii="Times New Roman" w:hAnsi="Times New Roman"/>
          <w:sz w:val="20"/>
        </w:rPr>
        <w:t xml:space="preserve"> </w:t>
      </w:r>
      <w:r>
        <w:rPr>
          <w:rFonts w:ascii="Arial;sans-serif" w:hAnsi="Arial;sans-serif"/>
          <w:b w:val="false"/>
          <w:sz w:val="20"/>
        </w:rPr>
        <w:t>million in platform revenue during the three months ended March 31, 2023. The Company has not disclosed net income or loss since the acquisition date as the business was fully integrated into the consolidated Company’s operations and therefore it was impracticable to determine this amount.</w:t>
      </w:r>
    </w:p>
    <w:p>
      <w:pPr>
        <w:pStyle w:val="TextBody"/>
        <w:spacing w:before="200" w:after="200"/>
        <w:jc w:val="left"/>
        <w:rPr>
          <w:rFonts w:ascii="Arial;sans-serif" w:hAnsi="Arial;sans-serif"/>
          <w:b w:val="false"/>
          <w:sz w:val="20"/>
        </w:rPr>
      </w:pPr>
      <w:r>
        <w:rPr>
          <w:rFonts w:ascii="Arial;sans-serif" w:hAnsi="Arial;sans-serif"/>
          <w:b w:val="false"/>
          <w:sz w:val="20"/>
        </w:rPr>
        <w:t>Unaudited Pro Forma Financial Information</w:t>
      </w:r>
    </w:p>
    <w:p>
      <w:pPr>
        <w:pStyle w:val="TextBody"/>
        <w:spacing w:before="200" w:after="200"/>
        <w:jc w:val="left"/>
        <w:rPr>
          <w:rFonts w:ascii="Arial;sans-serif" w:hAnsi="Arial;sans-serif"/>
          <w:b w:val="false"/>
          <w:sz w:val="20"/>
        </w:rPr>
      </w:pPr>
      <w:r>
        <w:rPr>
          <w:rFonts w:ascii="Arial;sans-serif" w:hAnsi="Arial;sans-serif"/>
          <w:b w:val="false"/>
          <w:sz w:val="20"/>
        </w:rPr>
        <w:t>The following unaudited pro forma financial information shows the results of the Company’s operations for the three months ended March 31, 2022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 combined historical financial information of the Company and Cohort Go, which includes incremental amortization expense associated with the estimated fair value of identified intangible assets.</w:t>
      </w:r>
    </w:p>
    <w:tbl>
      <w:tblPr>
        <w:tblW w:w="4211" w:type="dxa"/>
        <w:jc w:val="left"/>
        <w:tblInd w:w="0" w:type="dxa"/>
        <w:tblCellMar>
          <w:top w:w="28" w:type="dxa"/>
          <w:left w:w="28" w:type="dxa"/>
          <w:bottom w:w="28" w:type="dxa"/>
          <w:right w:w="28" w:type="dxa"/>
        </w:tblCellMar>
      </w:tblPr>
      <w:tblGrid>
        <w:gridCol w:w="901"/>
        <w:gridCol w:w="146"/>
        <w:gridCol w:w="286"/>
        <w:gridCol w:w="1020"/>
        <w:gridCol w:w="225"/>
        <w:gridCol w:w="198"/>
        <w:gridCol w:w="286"/>
        <w:gridCol w:w="938"/>
        <w:gridCol w:w="211"/>
      </w:tblGrid>
      <w:tr>
        <w:trPr/>
        <w:tc>
          <w:tcPr>
            <w:tcW w:w="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9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Actual</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2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Pro Forma</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53"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9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64,553</w:t>
            </w:r>
          </w:p>
        </w:tc>
        <w:tc>
          <w:tcPr>
            <w:tcW w:w="225"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3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70,217</w:t>
            </w:r>
          </w:p>
        </w:tc>
        <w:tc>
          <w:tcPr>
            <w:tcW w:w="211" w:type="dxa"/>
            <w:tcBorders/>
            <w:shd w:fill="auto" w:val="clear"/>
            <w:vAlign w:val="center"/>
          </w:tcPr>
          <w:p>
            <w:pPr>
              <w:pStyle w:val="TableContents"/>
              <w:spacing w:before="0" w:after="0"/>
              <w:ind w:left="0" w:right="0" w:hanging="0"/>
              <w:jc w:val="left"/>
              <w:rPr/>
            </w:pPr>
            <w:r>
              <w:rPr/>
              <w:t> </w:t>
            </w:r>
          </w:p>
        </w:tc>
      </w:tr>
      <w:tr>
        <w:trPr/>
        <w:tc>
          <w:tcPr>
            <w:tcW w:w="9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(10,149</w:t>
            </w:r>
          </w:p>
        </w:tc>
        <w:tc>
          <w:tcPr>
            <w:tcW w:w="22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8"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3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(9,373</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360" w:after="0"/>
        <w:jc w:val="left"/>
        <w:rPr>
          <w:rFonts w:ascii="Times New Roman" w:hAnsi="Times New Roman"/>
          <w:sz w:val="20"/>
        </w:rPr>
      </w:pPr>
      <w:bookmarkStart w:id="22" w:name="note_9"/>
      <w:bookmarkEnd w:id="22"/>
      <w:r>
        <w:rPr>
          <w:rFonts w:ascii="Arial;sans-serif" w:hAnsi="Arial;sans-serif"/>
          <w:b/>
          <w:sz w:val="20"/>
        </w:rPr>
        <w:t>Note 9. Goodwill and Acquired Intangible Assets</w:t>
      </w:r>
      <w:r>
        <w:rPr>
          <w:rFonts w:ascii="Times New Roman" w:hAnsi="Times New Roman"/>
          <w:sz w:val="20"/>
        </w:rPr>
        <w:t xml:space="preserve"> </w:t>
      </w:r>
    </w:p>
    <w:p>
      <w:pPr>
        <w:pStyle w:val="TextBody"/>
        <w:spacing w:before="200" w:after="200"/>
        <w:jc w:val="left"/>
        <w:rPr>
          <w:rFonts w:ascii="Arial;sans-serif" w:hAnsi="Arial;sans-serif"/>
          <w:b/>
          <w:i/>
          <w:sz w:val="20"/>
        </w:rPr>
      </w:pPr>
      <w:r>
        <w:rPr>
          <w:rFonts w:ascii="Arial;sans-serif" w:hAnsi="Arial;sans-serif"/>
          <w:b/>
          <w:i/>
          <w:sz w:val="20"/>
        </w:rPr>
        <w:t>Goodwill</w:t>
      </w:r>
    </w:p>
    <w:p>
      <w:pPr>
        <w:pStyle w:val="TextBody"/>
        <w:spacing w:before="200" w:after="200"/>
        <w:jc w:val="left"/>
        <w:rPr>
          <w:rFonts w:ascii="Times New Roman" w:hAnsi="Times New Roman"/>
          <w:sz w:val="20"/>
        </w:rPr>
      </w:pPr>
      <w:r>
        <w:rPr>
          <w:rFonts w:ascii="Arial;sans-serif" w:hAnsi="Arial;sans-serif"/>
          <w:b w:val="false"/>
          <w:sz w:val="20"/>
        </w:rPr>
        <w:t>The following table summarizes the changes in the carrying amount of goodwill as of the dates presented (in thousands):</w:t>
      </w:r>
      <w:r>
        <w:rPr>
          <w:rFonts w:ascii="Times New Roman" w:hAnsi="Times New Roman"/>
          <w:sz w:val="20"/>
        </w:rPr>
        <w:t xml:space="preserve"> </w:t>
      </w:r>
    </w:p>
    <w:tbl>
      <w:tblPr>
        <w:tblW w:w="6277" w:type="dxa"/>
        <w:jc w:val="left"/>
        <w:tblInd w:w="0" w:type="dxa"/>
        <w:tblCellMar>
          <w:top w:w="28" w:type="dxa"/>
          <w:left w:w="28" w:type="dxa"/>
          <w:bottom w:w="28" w:type="dxa"/>
          <w:right w:w="28" w:type="dxa"/>
        </w:tblCellMar>
      </w:tblPr>
      <w:tblGrid>
        <w:gridCol w:w="3556"/>
        <w:gridCol w:w="146"/>
        <w:gridCol w:w="211"/>
        <w:gridCol w:w="691"/>
        <w:gridCol w:w="146"/>
        <w:gridCol w:w="146"/>
        <w:gridCol w:w="273"/>
        <w:gridCol w:w="897"/>
        <w:gridCol w:w="21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97,766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85,841</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Goodwill related to acquisitions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16,197</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(4,272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5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98,329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97,766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No</w:t>
      </w:r>
      <w:r>
        <w:rPr>
          <w:rFonts w:ascii="Times New Roman" w:hAnsi="Times New Roman"/>
          <w:sz w:val="20"/>
        </w:rPr>
        <w:t xml:space="preserve"> </w:t>
      </w:r>
      <w:r>
        <w:rPr>
          <w:rFonts w:ascii="Arial;sans-serif" w:hAnsi="Arial;sans-serif"/>
          <w:b w:val="false"/>
          <w:sz w:val="20"/>
        </w:rPr>
        <w:t>goodwill impairment was recorded during the three months ended March 31, 2023 and 2022.</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i/>
          <w:sz w:val="20"/>
        </w:rPr>
      </w:pPr>
      <w:r>
        <w:rPr>
          <w:rFonts w:ascii="Arial;sans-serif" w:hAnsi="Arial;sans-serif"/>
          <w:b/>
          <w:i/>
          <w:sz w:val="20"/>
        </w:rPr>
        <w:t>Acquired Intangible Assets</w:t>
      </w:r>
    </w:p>
    <w:p>
      <w:pPr>
        <w:pStyle w:val="TextBody"/>
        <w:spacing w:before="200" w:after="200"/>
        <w:jc w:val="left"/>
        <w:rPr>
          <w:rFonts w:ascii="Times New Roman" w:hAnsi="Times New Roman"/>
          <w:sz w:val="20"/>
        </w:rPr>
      </w:pPr>
      <w:r>
        <w:rPr>
          <w:rFonts w:ascii="Arial;sans-serif" w:hAnsi="Arial;sans-serif"/>
          <w:b w:val="false"/>
          <w:sz w:val="20"/>
        </w:rPr>
        <w:t>Acquired intangible assets subject to amortization consisted of the following (dollars in thousands):</w:t>
      </w:r>
      <w:r>
        <w:rPr>
          <w:rFonts w:ascii="Times New Roman" w:hAnsi="Times New Roman"/>
          <w:sz w:val="20"/>
        </w:rPr>
        <w:t xml:space="preserve"> </w:t>
      </w:r>
    </w:p>
    <w:tbl>
      <w:tblPr>
        <w:tblW w:w="8509" w:type="dxa"/>
        <w:jc w:val="left"/>
        <w:tblInd w:w="0" w:type="dxa"/>
        <w:tblCellMar>
          <w:top w:w="28" w:type="dxa"/>
          <w:left w:w="28" w:type="dxa"/>
          <w:bottom w:w="28" w:type="dxa"/>
          <w:right w:w="28" w:type="dxa"/>
        </w:tblCellMar>
      </w:tblPr>
      <w:tblGrid>
        <w:gridCol w:w="2311"/>
        <w:gridCol w:w="146"/>
        <w:gridCol w:w="273"/>
        <w:gridCol w:w="1032"/>
        <w:gridCol w:w="146"/>
        <w:gridCol w:w="146"/>
        <w:gridCol w:w="275"/>
        <w:gridCol w:w="985"/>
        <w:gridCol w:w="166"/>
        <w:gridCol w:w="146"/>
        <w:gridCol w:w="256"/>
        <w:gridCol w:w="839"/>
        <w:gridCol w:w="146"/>
        <w:gridCol w:w="146"/>
        <w:gridCol w:w="259"/>
        <w:gridCol w:w="1046"/>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6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Gross Carrying</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Net 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Remaining Life</w:t>
              <w:br/>
              <w:t>(Years)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31,792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(16,961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3.99</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Acquired Relationships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91,067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(10,820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80,247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10.70</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Non-Compete Agreement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0.17</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123,328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(28,249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95,079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Arial;sans-serif" w:hAnsi="Arial;sans-serif"/>
          <w:b w:val="false"/>
          <w:sz w:val="16"/>
        </w:rPr>
      </w:pPr>
      <w:r>
        <w:rPr>
          <w:rFonts w:ascii="Arial;sans-serif" w:hAnsi="Arial;sans-serif"/>
          <w:b w:val="false"/>
          <w:sz w:val="16"/>
        </w:rPr>
        <w:t>* Includes $(3,021) thousand of foreign currency translation adjustments.</w:t>
      </w:r>
    </w:p>
    <w:p>
      <w:pPr>
        <w:pStyle w:val="TextBody"/>
        <w:spacing w:before="40" w:after="200"/>
        <w:jc w:val="left"/>
        <w:rPr>
          <w:rFonts w:ascii="Times New Roman" w:hAnsi="Times New Roman"/>
          <w:sz w:val="20"/>
        </w:rPr>
      </w:pPr>
      <w:r>
        <w:rPr>
          <w:rFonts w:ascii="Arial;sans-serif" w:hAnsi="Arial;sans-serif"/>
          <w:b w:val="false"/>
          <w:sz w:val="16"/>
        </w:rPr>
        <w:t>** Includes $102</w:t>
      </w:r>
      <w:r>
        <w:rPr>
          <w:rFonts w:ascii="Times New Roman" w:hAnsi="Times New Roman"/>
          <w:sz w:val="20"/>
        </w:rPr>
        <w:t xml:space="preserve"> </w:t>
      </w:r>
      <w:r>
        <w:rPr>
          <w:rFonts w:ascii="Arial;sans-serif" w:hAnsi="Arial;sans-serif"/>
          <w:b w:val="false"/>
          <w:sz w:val="16"/>
        </w:rPr>
        <w:t>thousand of foreign currency translation adjustments.</w:t>
      </w:r>
    </w:p>
    <w:tbl>
      <w:tblPr>
        <w:tblW w:w="8509" w:type="dxa"/>
        <w:jc w:val="left"/>
        <w:tblInd w:w="0" w:type="dxa"/>
        <w:tblCellMar>
          <w:top w:w="28" w:type="dxa"/>
          <w:left w:w="28" w:type="dxa"/>
          <w:bottom w:w="28" w:type="dxa"/>
          <w:right w:w="28" w:type="dxa"/>
        </w:tblCellMar>
      </w:tblPr>
      <w:tblGrid>
        <w:gridCol w:w="2311"/>
        <w:gridCol w:w="146"/>
        <w:gridCol w:w="273"/>
        <w:gridCol w:w="1032"/>
        <w:gridCol w:w="146"/>
        <w:gridCol w:w="146"/>
        <w:gridCol w:w="275"/>
        <w:gridCol w:w="985"/>
        <w:gridCol w:w="166"/>
        <w:gridCol w:w="146"/>
        <w:gridCol w:w="256"/>
        <w:gridCol w:w="839"/>
        <w:gridCol w:w="146"/>
        <w:gridCol w:w="146"/>
        <w:gridCol w:w="259"/>
        <w:gridCol w:w="1046"/>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26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Gross Carrying</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Net 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Remaining Life</w:t>
              <w:br/>
              <w:t>(Years)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31,848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(15,429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16,419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4.55</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Acquired Relationships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90,612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(9,423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10.92</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Non-Compete Agreement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0.27</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122,929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(25,313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97,616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Arial;sans-serif" w:hAnsi="Arial;sans-serif"/>
          <w:b w:val="false"/>
          <w:sz w:val="16"/>
        </w:rPr>
      </w:pPr>
      <w:r>
        <w:rPr>
          <w:rFonts w:ascii="Arial;sans-serif" w:hAnsi="Arial;sans-serif"/>
          <w:b w:val="false"/>
          <w:sz w:val="16"/>
        </w:rPr>
        <w:t>* Includes $(3,416) thousand of foreign currency translation adjustments.</w:t>
      </w:r>
    </w:p>
    <w:p>
      <w:pPr>
        <w:pStyle w:val="TextBody"/>
        <w:spacing w:before="40" w:after="0"/>
        <w:jc w:val="left"/>
        <w:rPr>
          <w:rFonts w:ascii="Times New Roman" w:hAnsi="Times New Roman"/>
          <w:sz w:val="20"/>
        </w:rPr>
      </w:pPr>
      <w:r>
        <w:rPr>
          <w:rFonts w:ascii="Arial;sans-serif" w:hAnsi="Arial;sans-serif"/>
          <w:b w:val="false"/>
          <w:sz w:val="16"/>
        </w:rPr>
        <w:t>** Includes $154</w:t>
      </w:r>
      <w:r>
        <w:rPr>
          <w:rFonts w:ascii="Times New Roman" w:hAnsi="Times New Roman"/>
          <w:sz w:val="20"/>
        </w:rPr>
        <w:t xml:space="preserve"> </w:t>
      </w:r>
      <w:r>
        <w:rPr>
          <w:rFonts w:ascii="Arial;sans-serif" w:hAnsi="Arial;sans-serif"/>
          <w:b w:val="false"/>
          <w:sz w:val="16"/>
        </w:rPr>
        <w:t>thousand of foreign currency translation adjustments.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Amortization expense for the three months ended March 31, 2023 and 2022 was $2.8</w:t>
      </w:r>
      <w:r>
        <w:rPr>
          <w:rFonts w:ascii="Times New Roman" w:hAnsi="Times New Roman"/>
          <w:sz w:val="20"/>
        </w:rPr>
        <w:t xml:space="preserve"> </w:t>
      </w:r>
      <w:r>
        <w:rPr>
          <w:rFonts w:ascii="Arial;sans-serif" w:hAnsi="Arial;sans-serif"/>
          <w:b w:val="false"/>
          <w:sz w:val="20"/>
        </w:rPr>
        <w:t>million and $2.1</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of March 31, 2023, the estimated annual amortization expense of intangible assets for each of the next five years and thereafter is expected to be as follows (in thousands):</w:t>
      </w:r>
      <w:r>
        <w:rPr>
          <w:rFonts w:ascii="Times New Roman" w:hAnsi="Times New Roman"/>
          <w:sz w:val="20"/>
        </w:rPr>
        <w:t xml:space="preserve"> </w:t>
      </w:r>
    </w:p>
    <w:tbl>
      <w:tblPr>
        <w:tblW w:w="4179" w:type="dxa"/>
        <w:jc w:val="left"/>
        <w:tblInd w:w="0" w:type="dxa"/>
        <w:tblCellMar>
          <w:top w:w="28" w:type="dxa"/>
          <w:left w:w="28" w:type="dxa"/>
          <w:bottom w:w="28" w:type="dxa"/>
          <w:right w:w="28" w:type="dxa"/>
        </w:tblCellMar>
      </w:tblPr>
      <w:tblGrid>
        <w:gridCol w:w="2701"/>
        <w:gridCol w:w="146"/>
        <w:gridCol w:w="266"/>
        <w:gridCol w:w="875"/>
        <w:gridCol w:w="1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Estimated</w:t>
              <w:br/>
              <w:t>Amortization</w:t>
              <w:br/>
              <w:t>Expense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Remaining of fiscal year 2023</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8,619</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10,968</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9,724</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8,963</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8,649</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8,013</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40,143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95,079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bookmarkStart w:id="23" w:name="note_10"/>
      <w:bookmarkEnd w:id="23"/>
      <w:r>
        <w:rPr>
          <w:rFonts w:ascii="Arial;sans-serif" w:hAnsi="Arial;sans-serif"/>
          <w:b/>
          <w:sz w:val="20"/>
        </w:rPr>
        <w:t>Note 10. Debt</w:t>
      </w:r>
      <w:r>
        <w:rPr>
          <w:rFonts w:ascii="Times New Roman" w:hAnsi="Times New Roman"/>
          <w:sz w:val="20"/>
        </w:rPr>
        <w:t xml:space="preserve"> </w:t>
      </w:r>
    </w:p>
    <w:p>
      <w:pPr>
        <w:pStyle w:val="TextBody"/>
        <w:spacing w:before="200" w:after="200"/>
        <w:jc w:val="left"/>
        <w:rPr>
          <w:rFonts w:ascii="Arial;sans-serif" w:hAnsi="Arial;sans-serif"/>
          <w:b/>
          <w:i/>
          <w:sz w:val="20"/>
        </w:rPr>
      </w:pPr>
      <w:r>
        <w:rPr>
          <w:rFonts w:ascii="Arial;sans-serif" w:hAnsi="Arial;sans-serif"/>
          <w:b/>
          <w:i/>
          <w:sz w:val="20"/>
        </w:rPr>
        <w:t>Revolving Credit Syndication Loan</w:t>
      </w:r>
    </w:p>
    <w:p>
      <w:pPr>
        <w:pStyle w:val="TextBody"/>
        <w:spacing w:before="200" w:after="200"/>
        <w:jc w:val="left"/>
        <w:rPr>
          <w:rFonts w:ascii="Times New Roman" w:hAnsi="Times New Roman"/>
          <w:sz w:val="20"/>
        </w:rPr>
      </w:pPr>
      <w:r>
        <w:rPr>
          <w:rFonts w:ascii="Arial;sans-serif" w:hAnsi="Arial;sans-serif"/>
          <w:b w:val="false"/>
          <w:sz w:val="20"/>
        </w:rPr>
        <w:t>On July 29, 2021, the Company entered into a three-year senior secured revolving credit syndication loan with three banks for a total commitment of $50.0</w:t>
      </w:r>
      <w:r>
        <w:rPr>
          <w:rFonts w:ascii="Times New Roman" w:hAnsi="Times New Roman"/>
          <w:sz w:val="20"/>
        </w:rPr>
        <w:t xml:space="preserve"> </w:t>
      </w:r>
      <w:r>
        <w:rPr>
          <w:rFonts w:ascii="Arial;sans-serif" w:hAnsi="Arial;sans-serif"/>
          <w:b w:val="false"/>
          <w:sz w:val="20"/>
        </w:rPr>
        <w:t>million (Revolving Credit Facility). The Revolving Credit Facility includes a $5.0</w:t>
      </w:r>
      <w:r>
        <w:rPr>
          <w:rFonts w:ascii="Times New Roman" w:hAnsi="Times New Roman"/>
          <w:sz w:val="20"/>
        </w:rPr>
        <w:t xml:space="preserve"> </w:t>
      </w:r>
      <w:r>
        <w:rPr>
          <w:rFonts w:ascii="Arial;sans-serif" w:hAnsi="Arial;sans-serif"/>
          <w:b w:val="false"/>
          <w:sz w:val="20"/>
        </w:rPr>
        <w:t>million letter of credit sub-facility and a $5.0</w:t>
      </w:r>
      <w:r>
        <w:rPr>
          <w:rFonts w:ascii="Times New Roman" w:hAnsi="Times New Roman"/>
          <w:sz w:val="20"/>
        </w:rPr>
        <w:t xml:space="preserve"> </w:t>
      </w:r>
      <w:r>
        <w:rPr>
          <w:rFonts w:ascii="Arial;sans-serif" w:hAnsi="Arial;sans-serif"/>
          <w:b w:val="false"/>
          <w:sz w:val="20"/>
        </w:rPr>
        <w:t>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Revolving Credit Facility consists of Alternate Base Rate (ABR) loans or Eurodollar Borrowings, at the Company’s option. ABR loans bear interest at the ABR plus the applicable rate. Eurodollar Borrowings bear interest at the Adjusted LIBO Rate plus the applicable rate. The ABR rate is based on the greatest of (a) the Prime Rate (b) the Federal </w:t>
      </w:r>
    </w:p>
    <w:p>
      <w:pPr>
        <w:pStyle w:val="TextBody"/>
        <w:spacing w:before="0" w:after="0"/>
        <w:jc w:val="center"/>
        <w:rPr>
          <w:rFonts w:ascii="Arial;sans-serif" w:hAnsi="Arial;sans-serif"/>
          <w:b w:val="false"/>
          <w:sz w:val="20"/>
        </w:rPr>
      </w:pPr>
      <w:r>
        <w:rPr>
          <w:rFonts w:ascii="Arial;sans-serif" w:hAnsi="Arial;sans-serif"/>
          <w:b w:val="false"/>
          <w:sz w:val="20"/>
        </w:rPr>
        <w:t>16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Funds Effective Rate plus 1/2 of 1% and (c) the Adjusted LIBO Rate for a one-month Interest Period plus 1%. The adjusted LIBO Rate is based on (a) the LIBO Rate multiplied by (b) the Statutory Reserve Rate. The applicable rate is based upon the Company’s liquidity as of the most recent consolidated financial information and ranges from 0.75% to 2.25%. The Revolving Credit Facility incurs a commitment fee ranging from 0.25% to 0.35% based upon the Company’s liquidity as of the most recent consolidated financial information assessed on the average undrawn portion of the available commitment.</w:t>
      </w:r>
    </w:p>
    <w:p>
      <w:pPr>
        <w:pStyle w:val="TextBody"/>
        <w:spacing w:before="200" w:after="200"/>
        <w:jc w:val="left"/>
        <w:rPr>
          <w:rFonts w:ascii="Arial;sans-serif" w:hAnsi="Arial;sans-serif"/>
          <w:b w:val="false"/>
          <w:sz w:val="20"/>
        </w:rPr>
      </w:pPr>
      <w:r>
        <w:rPr>
          <w:rFonts w:ascii="Arial;sans-serif" w:hAnsi="Arial;sans-serif"/>
          <w:b w:val="false"/>
          <w:sz w:val="20"/>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March 31, 2023.</w:t>
      </w:r>
    </w:p>
    <w:p>
      <w:pPr>
        <w:pStyle w:val="TextBody"/>
        <w:spacing w:before="200" w:after="200"/>
        <w:jc w:val="left"/>
        <w:rPr>
          <w:rFonts w:ascii="Times New Roman" w:hAnsi="Times New Roman"/>
          <w:sz w:val="20"/>
        </w:rPr>
      </w:pPr>
      <w:r>
        <w:rPr>
          <w:rFonts w:ascii="Arial;sans-serif" w:hAnsi="Arial;sans-serif"/>
          <w:b w:val="false"/>
          <w:sz w:val="20"/>
        </w:rPr>
        <w:t>On July 29, 2021, the Company drew $25.9</w:t>
      </w:r>
      <w:r>
        <w:rPr>
          <w:rFonts w:ascii="Times New Roman" w:hAnsi="Times New Roman"/>
          <w:sz w:val="20"/>
        </w:rPr>
        <w:t xml:space="preserve"> </w:t>
      </w:r>
      <w:r>
        <w:rPr>
          <w:rFonts w:ascii="Arial;sans-serif" w:hAnsi="Arial;sans-serif"/>
          <w:b w:val="false"/>
          <w:sz w:val="20"/>
        </w:rPr>
        <w:t>million on the Revolving Credit Facility and used the proceeds to prepay its then existing Loan and Security Agreement of $25.0</w:t>
      </w:r>
      <w:r>
        <w:rPr>
          <w:rFonts w:ascii="Times New Roman" w:hAnsi="Times New Roman"/>
          <w:sz w:val="20"/>
        </w:rPr>
        <w:t xml:space="preserve"> </w:t>
      </w:r>
      <w:r>
        <w:rPr>
          <w:rFonts w:ascii="Arial;sans-serif" w:hAnsi="Arial;sans-serif"/>
          <w:b w:val="false"/>
          <w:sz w:val="20"/>
        </w:rPr>
        <w:t>million (LSA). In connection with the transaction, the Company incurred debt issuance costs of $0.3</w:t>
      </w:r>
      <w:r>
        <w:rPr>
          <w:rFonts w:ascii="Times New Roman" w:hAnsi="Times New Roman"/>
          <w:sz w:val="20"/>
        </w:rPr>
        <w:t xml:space="preserve"> </w:t>
      </w:r>
      <w:r>
        <w:rPr>
          <w:rFonts w:ascii="Arial;sans-serif" w:hAnsi="Arial;sans-serif"/>
          <w:b w:val="false"/>
          <w:sz w:val="20"/>
        </w:rPr>
        <w:t>million and debt discount of $0.1</w:t>
      </w:r>
      <w:r>
        <w:rPr>
          <w:rFonts w:ascii="Times New Roman" w:hAnsi="Times New Roman"/>
          <w:sz w:val="20"/>
        </w:rPr>
        <w:t xml:space="preserve"> </w:t>
      </w:r>
      <w:r>
        <w:rPr>
          <w:rFonts w:ascii="Arial;sans-serif" w:hAnsi="Arial;sans-serif"/>
          <w:b w:val="false"/>
          <w:sz w:val="20"/>
        </w:rPr>
        <w:t>million. Debt issuance costs and debt discount are amortized on a straight-line basis over the contractual term of the agreement and are presented as a component of other assets on the Company's condensed consolidated balance sheets.</w:t>
      </w:r>
    </w:p>
    <w:p>
      <w:pPr>
        <w:pStyle w:val="TextBody"/>
        <w:spacing w:before="200" w:after="200"/>
        <w:jc w:val="left"/>
        <w:rPr>
          <w:rFonts w:ascii="Times New Roman" w:hAnsi="Times New Roman"/>
          <w:sz w:val="20"/>
        </w:rPr>
      </w:pPr>
      <w:r>
        <w:rPr>
          <w:rFonts w:ascii="Arial;sans-serif" w:hAnsi="Arial;sans-serif"/>
          <w:b w:val="false"/>
          <w:sz w:val="20"/>
        </w:rPr>
        <w:t>On October 28, 2022, the Company repaid the $25.9</w:t>
      </w:r>
      <w:r>
        <w:rPr>
          <w:rFonts w:ascii="Times New Roman" w:hAnsi="Times New Roman"/>
          <w:sz w:val="20"/>
        </w:rPr>
        <w:t xml:space="preserve"> </w:t>
      </w:r>
      <w:r>
        <w:rPr>
          <w:rFonts w:ascii="Arial;sans-serif" w:hAnsi="Arial;sans-serif"/>
          <w:b w:val="false"/>
          <w:sz w:val="20"/>
        </w:rPr>
        <w:t>million outstanding under the Revolving Credit Facility. Following the repayment, the Company continued to have access to a total commitment of $50.0</w:t>
      </w:r>
      <w:r>
        <w:rPr>
          <w:rFonts w:ascii="Times New Roman" w:hAnsi="Times New Roman"/>
          <w:sz w:val="20"/>
        </w:rPr>
        <w:t xml:space="preserve"> </w:t>
      </w:r>
      <w:r>
        <w:rPr>
          <w:rFonts w:ascii="Arial;sans-serif" w:hAnsi="Arial;sans-serif"/>
          <w:b w:val="false"/>
          <w:sz w:val="20"/>
        </w:rPr>
        <w:t>million under the Revolving Credit Facility. As of March 31, 2023 and December 31, 2022, there was no</w:t>
      </w:r>
      <w:r>
        <w:rPr>
          <w:rFonts w:ascii="Times New Roman" w:hAnsi="Times New Roman"/>
          <w:sz w:val="20"/>
        </w:rPr>
        <w:t xml:space="preserve"> </w:t>
      </w:r>
      <w:r>
        <w:rPr>
          <w:rFonts w:ascii="Arial;sans-serif" w:hAnsi="Arial;sans-serif"/>
          <w:b w:val="false"/>
          <w:sz w:val="20"/>
        </w:rPr>
        <w:t>outstanding indebtedness under the Revolving Credit Facility.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Interest expense for the three months ended March 31, 2023 and 2022 was $0.1</w:t>
      </w:r>
      <w:r>
        <w:rPr>
          <w:rFonts w:ascii="Times New Roman" w:hAnsi="Times New Roman"/>
          <w:sz w:val="20"/>
        </w:rPr>
        <w:t xml:space="preserve"> </w:t>
      </w:r>
      <w:r>
        <w:rPr>
          <w:rFonts w:ascii="Arial;sans-serif" w:hAnsi="Arial;sans-serif"/>
          <w:b w:val="false"/>
          <w:sz w:val="20"/>
        </w:rPr>
        <w:t>million and $0.2</w:t>
      </w:r>
      <w:r>
        <w:rPr>
          <w:rFonts w:ascii="Times New Roman" w:hAnsi="Times New Roman"/>
          <w:sz w:val="20"/>
        </w:rPr>
        <w:t xml:space="preserve"> </w:t>
      </w:r>
      <w:r>
        <w:rPr>
          <w:rFonts w:ascii="Arial;sans-serif" w:hAnsi="Arial;sans-serif"/>
          <w:b w:val="false"/>
          <w:sz w:val="20"/>
        </w:rPr>
        <w:t>million, respectively. Included in interest expense for both the three months ended March 31, 2023 and 2022 is less than $0.1</w:t>
      </w:r>
      <w:r>
        <w:rPr>
          <w:rFonts w:ascii="Times New Roman" w:hAnsi="Times New Roman"/>
          <w:sz w:val="20"/>
        </w:rPr>
        <w:t xml:space="preserve"> </w:t>
      </w:r>
      <w:r>
        <w:rPr>
          <w:rFonts w:ascii="Arial;sans-serif" w:hAnsi="Arial;sans-serif"/>
          <w:b w:val="false"/>
          <w:sz w:val="20"/>
        </w:rPr>
        <w:t>million of amortization of debt issuance cost and debt discount.</w:t>
      </w:r>
      <w:r>
        <w:rPr>
          <w:rFonts w:ascii="Times New Roman" w:hAnsi="Times New Roman"/>
          <w:sz w:val="20"/>
        </w:rPr>
        <w:t xml:space="preserve"> </w:t>
      </w:r>
    </w:p>
    <w:p>
      <w:pPr>
        <w:pStyle w:val="TextBody"/>
        <w:spacing w:before="360" w:after="0"/>
        <w:jc w:val="left"/>
        <w:rPr>
          <w:rFonts w:ascii="Times New Roman" w:hAnsi="Times New Roman"/>
          <w:sz w:val="20"/>
        </w:rPr>
      </w:pPr>
      <w:bookmarkStart w:id="24" w:name="note_11"/>
      <w:bookmarkEnd w:id="24"/>
      <w:r>
        <w:rPr>
          <w:rFonts w:ascii="Arial;sans-serif" w:hAnsi="Arial;sans-serif"/>
          <w:b/>
          <w:sz w:val="20"/>
        </w:rPr>
        <w:t>Note 11. Stockholders’ Equity</w:t>
      </w:r>
      <w:r>
        <w:rPr>
          <w:rFonts w:ascii="Times New Roman" w:hAnsi="Times New Roman"/>
          <w:sz w:val="20"/>
        </w:rPr>
        <w:t xml:space="preserve"> </w:t>
      </w:r>
    </w:p>
    <w:p>
      <w:pPr>
        <w:pStyle w:val="TextBody"/>
        <w:spacing w:before="200" w:after="200"/>
        <w:jc w:val="left"/>
        <w:rPr>
          <w:rFonts w:ascii="Arial;sans-serif" w:hAnsi="Arial;sans-serif"/>
          <w:b/>
          <w:i/>
          <w:sz w:val="20"/>
        </w:rPr>
      </w:pPr>
      <w:r>
        <w:rPr>
          <w:rFonts w:ascii="Arial;sans-serif" w:hAnsi="Arial;sans-serif"/>
          <w:b/>
          <w:i/>
          <w:sz w:val="20"/>
        </w:rPr>
        <w:t>Preferred Stock</w:t>
      </w:r>
    </w:p>
    <w:p>
      <w:pPr>
        <w:pStyle w:val="TextBody"/>
        <w:spacing w:before="200" w:after="200"/>
        <w:jc w:val="left"/>
        <w:rPr>
          <w:rFonts w:ascii="Times New Roman" w:hAnsi="Times New Roman"/>
          <w:sz w:val="20"/>
        </w:rPr>
      </w:pPr>
      <w:r>
        <w:rPr>
          <w:rFonts w:ascii="Arial;sans-serif" w:hAnsi="Arial;sans-serif"/>
          <w:b w:val="false"/>
          <w:sz w:val="20"/>
        </w:rPr>
        <w:t>The Company’s current amended and restated certificate of incorporation, which became effective on May 28, 2021, authorizes the issuance of 10,000,000</w:t>
      </w:r>
      <w:r>
        <w:rPr>
          <w:rFonts w:ascii="Times New Roman" w:hAnsi="Times New Roman"/>
          <w:sz w:val="20"/>
        </w:rPr>
        <w:t xml:space="preserve"> </w:t>
      </w:r>
      <w:r>
        <w:rPr>
          <w:rFonts w:ascii="Arial;sans-serif" w:hAnsi="Arial;sans-serif"/>
          <w:b w:val="false"/>
          <w:sz w:val="20"/>
        </w:rPr>
        <w:t>shares of undesignated preferred stock with a par value of $0.0001</w:t>
      </w:r>
      <w:r>
        <w:rPr>
          <w:rFonts w:ascii="Times New Roman" w:hAnsi="Times New Roman"/>
          <w:sz w:val="20"/>
        </w:rPr>
        <w:t xml:space="preserve"> </w:t>
      </w:r>
      <w:r>
        <w:rPr>
          <w:rFonts w:ascii="Arial;sans-serif" w:hAnsi="Arial;sans-serif"/>
          <w:b w:val="false"/>
          <w:sz w:val="20"/>
        </w:rPr>
        <w:t>per share with rights and preferences, including voting rights, designated from time to time by the board of directors.</w:t>
      </w:r>
      <w:r>
        <w:rPr>
          <w:rFonts w:ascii="Times New Roman" w:hAnsi="Times New Roman"/>
          <w:sz w:val="20"/>
        </w:rPr>
        <w:t xml:space="preserve"> </w:t>
      </w:r>
    </w:p>
    <w:p>
      <w:pPr>
        <w:pStyle w:val="TextBody"/>
        <w:spacing w:before="200" w:after="200"/>
        <w:jc w:val="left"/>
        <w:rPr>
          <w:rFonts w:ascii="Arial;sans-serif" w:hAnsi="Arial;sans-serif"/>
          <w:b/>
          <w:i/>
          <w:sz w:val="20"/>
        </w:rPr>
      </w:pPr>
      <w:r>
        <w:rPr>
          <w:rFonts w:ascii="Arial;sans-serif" w:hAnsi="Arial;sans-serif"/>
          <w:b/>
          <w:i/>
          <w:sz w:val="20"/>
        </w:rPr>
        <w:t>Common Stock</w:t>
      </w:r>
    </w:p>
    <w:p>
      <w:pPr>
        <w:pStyle w:val="TextBody"/>
        <w:spacing w:before="200" w:after="200"/>
        <w:jc w:val="left"/>
        <w:rPr>
          <w:rFonts w:ascii="Times New Roman" w:hAnsi="Times New Roman"/>
          <w:sz w:val="20"/>
        </w:rPr>
      </w:pPr>
      <w:r>
        <w:rPr>
          <w:rFonts w:ascii="Arial;sans-serif" w:hAnsi="Arial;sans-serif"/>
          <w:b w:val="false"/>
          <w:sz w:val="20"/>
        </w:rPr>
        <w:t>The Company’s current amended and restated certificate of incorporation authorizes the issuance of 2,000,000,000</w:t>
      </w:r>
      <w:r>
        <w:rPr>
          <w:rFonts w:ascii="Times New Roman" w:hAnsi="Times New Roman"/>
          <w:sz w:val="20"/>
        </w:rPr>
        <w:t xml:space="preserve"> </w:t>
      </w:r>
      <w:r>
        <w:rPr>
          <w:rFonts w:ascii="Arial;sans-serif" w:hAnsi="Arial;sans-serif"/>
          <w:b w:val="false"/>
          <w:sz w:val="20"/>
        </w:rPr>
        <w:t>shares of voting common stock with a par value of $0.0001</w:t>
      </w:r>
      <w:r>
        <w:rPr>
          <w:rFonts w:ascii="Times New Roman" w:hAnsi="Times New Roman"/>
          <w:sz w:val="20"/>
        </w:rPr>
        <w:t xml:space="preserve"> </w:t>
      </w:r>
      <w:r>
        <w:rPr>
          <w:rFonts w:ascii="Arial;sans-serif" w:hAnsi="Arial;sans-serif"/>
          <w:b w:val="false"/>
          <w:sz w:val="20"/>
        </w:rPr>
        <w:t>per share and 10,000,000</w:t>
      </w:r>
      <w:r>
        <w:rPr>
          <w:rFonts w:ascii="Times New Roman" w:hAnsi="Times New Roman"/>
          <w:sz w:val="20"/>
        </w:rPr>
        <w:t xml:space="preserve"> </w:t>
      </w:r>
      <w:r>
        <w:rPr>
          <w:rFonts w:ascii="Arial;sans-serif" w:hAnsi="Arial;sans-serif"/>
          <w:b w:val="false"/>
          <w:sz w:val="20"/>
        </w:rPr>
        <w:t>shares of non-voting common stock with a par value of $0.0001</w:t>
      </w:r>
      <w:r>
        <w:rPr>
          <w:rFonts w:ascii="Times New Roman" w:hAnsi="Times New Roman"/>
          <w:sz w:val="20"/>
        </w:rPr>
        <w:t xml:space="preserve"> </w:t>
      </w:r>
      <w:r>
        <w:rPr>
          <w:rFonts w:ascii="Arial;sans-serif" w:hAnsi="Arial;sans-serif"/>
          <w:b w:val="false"/>
          <w:sz w:val="20"/>
        </w:rPr>
        <w:t>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pStyle w:val="TextBody"/>
        <w:spacing w:before="0" w:after="0"/>
        <w:jc w:val="center"/>
        <w:rPr>
          <w:rFonts w:ascii="Arial;sans-serif" w:hAnsi="Arial;sans-serif"/>
          <w:b w:val="false"/>
          <w:sz w:val="20"/>
        </w:rPr>
      </w:pPr>
      <w:r>
        <w:rPr>
          <w:rFonts w:ascii="Arial;sans-serif" w:hAnsi="Arial;sans-serif"/>
          <w:b w:val="false"/>
          <w:sz w:val="20"/>
        </w:rPr>
        <w:t>17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During the year ended December 31, 2022, 4,115,058</w:t>
      </w:r>
      <w:r>
        <w:rPr>
          <w:rFonts w:ascii="Times New Roman" w:hAnsi="Times New Roman"/>
          <w:sz w:val="20"/>
        </w:rPr>
        <w:t xml:space="preserve"> </w:t>
      </w:r>
      <w:r>
        <w:rPr>
          <w:rFonts w:ascii="Arial;sans-serif" w:hAnsi="Arial;sans-serif"/>
          <w:b w:val="false"/>
          <w:sz w:val="20"/>
        </w:rPr>
        <w:t>shares of the Company's non-voting common stock converted into shares of common stock on a one-to-one basis</w:t>
      </w:r>
      <w:r>
        <w:rPr>
          <w:rFonts w:ascii="Times New Roman" w:hAnsi="Times New Roman"/>
          <w:sz w:val="20"/>
        </w:rPr>
        <w:t xml:space="preserve"> </w:t>
      </w:r>
      <w:r>
        <w:rPr>
          <w:rFonts w:ascii="Arial;sans-serif" w:hAnsi="Arial;sans-serif"/>
          <w:b w:val="false"/>
          <w:sz w:val="20"/>
        </w:rPr>
        <w:t>upon the sale of such shares.</w:t>
      </w:r>
    </w:p>
    <w:p>
      <w:pPr>
        <w:pStyle w:val="TextBody"/>
        <w:spacing w:before="200" w:after="200"/>
        <w:jc w:val="left"/>
        <w:rPr>
          <w:rFonts w:ascii="Arial;sans-serif" w:hAnsi="Arial;sans-serif"/>
          <w:b w:val="false"/>
          <w:sz w:val="20"/>
        </w:rPr>
      </w:pPr>
      <w:r>
        <w:rPr>
          <w:rFonts w:ascii="Arial;sans-serif" w:hAnsi="Arial;sans-serif"/>
          <w:b w:val="false"/>
          <w:sz w:val="20"/>
        </w:rPr>
        <w:t>As of March 31, 2023, the Company had reserved shares of common stock for future issuance as follows:</w:t>
      </w:r>
    </w:p>
    <w:tbl>
      <w:tblPr>
        <w:tblW w:w="7013" w:type="dxa"/>
        <w:jc w:val="left"/>
        <w:tblInd w:w="0" w:type="dxa"/>
        <w:tblCellMar>
          <w:top w:w="28" w:type="dxa"/>
          <w:left w:w="28" w:type="dxa"/>
          <w:bottom w:w="28" w:type="dxa"/>
          <w:right w:w="28" w:type="dxa"/>
        </w:tblCellMar>
      </w:tblPr>
      <w:tblGrid>
        <w:gridCol w:w="5416"/>
        <w:gridCol w:w="146"/>
        <w:gridCol w:w="151"/>
        <w:gridCol w:w="1109"/>
        <w:gridCol w:w="191"/>
      </w:tblGrid>
      <w:tr>
        <w:trPr/>
        <w:tc>
          <w:tcPr>
            <w:tcW w:w="5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Issued and outstanding stock options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11,534,245</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Issued and outstanding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4,690,048</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Available for issuance under the 2021 Equity Incentive Plan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14,955,684</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Available for issuance under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3,766,959</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Available for conversion of non-voting common stock</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1,873,320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36,820,256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bookmarkStart w:id="25" w:name="note_12"/>
      <w:bookmarkEnd w:id="25"/>
      <w:r>
        <w:rPr>
          <w:rFonts w:ascii="Arial;sans-serif" w:hAnsi="Arial;sans-serif"/>
          <w:b/>
          <w:sz w:val="20"/>
        </w:rPr>
        <w:t>Note 12.</w:t>
      </w:r>
      <w:r>
        <w:rPr>
          <w:rFonts w:ascii="Times New Roman" w:hAnsi="Times New Roman"/>
          <w:sz w:val="20"/>
        </w:rPr>
        <w:t xml:space="preserve"> </w:t>
      </w:r>
      <w:r>
        <w:rPr>
          <w:rFonts w:ascii="Arial;sans-serif" w:hAnsi="Arial;sans-serif"/>
          <w:b/>
          <w:sz w:val="20"/>
        </w:rPr>
        <w:t>Stock-Based Compensation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Equity Incentive Plan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April 2021, the Company’s board of directors adopted, and in May 2021 its stockholders approved the 2021 Equity Incentive Plan (the 2021 Plan).</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pStyle w:val="TextBody"/>
        <w:spacing w:before="200" w:after="200"/>
        <w:jc w:val="left"/>
        <w:rPr>
          <w:rFonts w:ascii="Times New Roman" w:hAnsi="Times New Roman"/>
          <w:sz w:val="20"/>
        </w:rPr>
      </w:pPr>
      <w:r>
        <w:rPr>
          <w:rFonts w:ascii="Arial;sans-serif" w:hAnsi="Arial;sans-serif"/>
          <w:b w:val="false"/>
          <w:sz w:val="20"/>
        </w:rPr>
        <w:t>The 2021 Plan provides for the grant of incentive stock options, nonqualified stock options, stock appreciation rights, restricted stock awards, restricted stock units, performance awards and other forms of equity compensation (collectively, equity awards). A total of 19,988,330</w:t>
      </w:r>
      <w:r>
        <w:rPr>
          <w:rFonts w:ascii="Times New Roman" w:hAnsi="Times New Roman"/>
          <w:sz w:val="20"/>
        </w:rPr>
        <w:t xml:space="preserve"> </w:t>
      </w:r>
      <w:r>
        <w:rPr>
          <w:rFonts w:ascii="Arial;sans-serif" w:hAnsi="Arial;sans-serif"/>
          <w:b w:val="false"/>
          <w:sz w:val="20"/>
        </w:rPr>
        <w:t>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pStyle w:val="TextBody"/>
        <w:spacing w:before="200" w:after="200"/>
        <w:jc w:val="left"/>
        <w:rPr>
          <w:rFonts w:ascii="Times New Roman" w:hAnsi="Times New Roman"/>
          <w:sz w:val="20"/>
        </w:rPr>
      </w:pPr>
      <w:r>
        <w:rPr>
          <w:rFonts w:ascii="Arial;sans-serif" w:hAnsi="Arial;sans-serif"/>
          <w:b w:val="false"/>
          <w:sz w:val="20"/>
        </w:rPr>
        <w:t>As of March 31, 2023, a total of 14,955,684</w:t>
      </w:r>
      <w:r>
        <w:rPr>
          <w:rFonts w:ascii="Times New Roman" w:hAnsi="Times New Roman"/>
          <w:sz w:val="20"/>
        </w:rPr>
        <w:t xml:space="preserve"> </w:t>
      </w:r>
      <w:r>
        <w:rPr>
          <w:rFonts w:ascii="Arial;sans-serif" w:hAnsi="Arial;sans-serif"/>
          <w:b w:val="false"/>
          <w:sz w:val="20"/>
        </w:rPr>
        <w:t>shares of the Company's common stock were available for future issuance under the 2021 Plan.</w:t>
      </w:r>
    </w:p>
    <w:p>
      <w:pPr>
        <w:pStyle w:val="TextBody"/>
        <w:spacing w:before="200" w:after="200"/>
        <w:jc w:val="left"/>
        <w:rPr>
          <w:rFonts w:ascii="Times New Roman" w:hAnsi="Times New Roman"/>
          <w:sz w:val="20"/>
        </w:rPr>
      </w:pPr>
      <w:r>
        <w:rPr>
          <w:rFonts w:ascii="Arial;sans-serif" w:hAnsi="Arial;sans-serif"/>
          <w:b/>
          <w:i/>
          <w:sz w:val="20"/>
        </w:rPr>
        <w:t>Stock Options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Stock options granted under the 2009 Plan, 2018 Plan and the 2021 Plan generally vest based on continued service over four years</w:t>
      </w:r>
      <w:r>
        <w:rPr>
          <w:rFonts w:ascii="Times New Roman" w:hAnsi="Times New Roman"/>
          <w:sz w:val="20"/>
        </w:rPr>
        <w:t xml:space="preserve"> </w:t>
      </w:r>
      <w:r>
        <w:rPr>
          <w:rFonts w:ascii="Arial;sans-serif" w:hAnsi="Arial;sans-serif"/>
          <w:b w:val="false"/>
          <w:sz w:val="20"/>
        </w:rPr>
        <w:t>and expire within ten years</w:t>
      </w:r>
      <w:r>
        <w:rPr>
          <w:rFonts w:ascii="Times New Roman" w:hAnsi="Times New Roman"/>
          <w:sz w:val="20"/>
        </w:rPr>
        <w:t xml:space="preserve"> </w:t>
      </w:r>
      <w:r>
        <w:rPr>
          <w:rFonts w:ascii="Arial;sans-serif" w:hAnsi="Arial;sans-serif"/>
          <w:b w:val="false"/>
          <w:sz w:val="20"/>
        </w:rPr>
        <w:t>from the date of grant. Any options that are canceled or forfeited before expiration become available for future grants.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The Company did not grant any options to purchase shares of common stock during the three months ended March 31, 2023.</w:t>
      </w:r>
    </w:p>
    <w:p>
      <w:pPr>
        <w:pStyle w:val="TextBody"/>
        <w:spacing w:before="200" w:after="200"/>
        <w:jc w:val="left"/>
        <w:rPr>
          <w:rFonts w:ascii="Times New Roman" w:hAnsi="Times New Roman"/>
          <w:sz w:val="20"/>
        </w:rPr>
      </w:pPr>
      <w:r>
        <w:rPr>
          <w:rFonts w:ascii="Arial;sans-serif" w:hAnsi="Arial;sans-serif"/>
          <w:b w:val="false"/>
          <w:sz w:val="20"/>
        </w:rPr>
        <w:t>As of March 31, 2023, there was $18.4</w:t>
      </w:r>
      <w:r>
        <w:rPr>
          <w:rFonts w:ascii="Times New Roman" w:hAnsi="Times New Roman"/>
          <w:sz w:val="20"/>
        </w:rPr>
        <w:t xml:space="preserve"> </w:t>
      </w:r>
      <w:r>
        <w:rPr>
          <w:rFonts w:ascii="Arial;sans-serif" w:hAnsi="Arial;sans-serif"/>
          <w:b w:val="false"/>
          <w:sz w:val="20"/>
        </w:rPr>
        <w:t>million of total unrecognized compensation expense related to unvested stock options, which is expected to be recognized over a weighted-average period of 1.93 years.</w:t>
      </w:r>
    </w:p>
    <w:p>
      <w:pPr>
        <w:pStyle w:val="TextBody"/>
        <w:spacing w:before="200" w:after="200"/>
        <w:jc w:val="left"/>
        <w:rPr>
          <w:rFonts w:ascii="Times New Roman" w:hAnsi="Times New Roman"/>
          <w:sz w:val="20"/>
        </w:rPr>
      </w:pPr>
      <w:r>
        <w:rPr>
          <w:rFonts w:ascii="Arial;sans-serif" w:hAnsi="Arial;sans-serif"/>
          <w:b/>
          <w:i/>
          <w:sz w:val="20"/>
        </w:rPr>
        <w:t>Restricted Stock Awards and Restricted Stock Units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During 2018, the Company granted restricted stock awards to employees under the 2018 Plan. The restricted stock awards vested ratably over a four-year period from the date of grant. The fair value of each restricted stock award was the estimated fair value of the common stock on the date of grant. All restricted stock awards were fully vested as of January 2022.</w:t>
      </w:r>
    </w:p>
    <w:p>
      <w:pPr>
        <w:pStyle w:val="TextBody"/>
        <w:spacing w:before="200" w:after="200"/>
        <w:jc w:val="left"/>
        <w:rPr>
          <w:rFonts w:ascii="Times New Roman" w:hAnsi="Times New Roman"/>
          <w:sz w:val="20"/>
        </w:rPr>
      </w:pPr>
      <w:r>
        <w:rPr>
          <w:rFonts w:ascii="Arial;sans-serif" w:hAnsi="Arial;sans-serif"/>
          <w:b w:val="false"/>
          <w:sz w:val="20"/>
        </w:rPr>
        <w:t>During 2021, the Company awarded restricted stock units to employees and certain nonemployee board members under the 2021 Plan. During the three months ended March 31, 2023, the Company awarded restricted stock units covering an aggregate of 2,413,230</w:t>
      </w:r>
      <w:r>
        <w:rPr>
          <w:rFonts w:ascii="Times New Roman" w:hAnsi="Times New Roman"/>
          <w:sz w:val="20"/>
        </w:rPr>
        <w:t xml:space="preserve"> </w:t>
      </w:r>
      <w:r>
        <w:rPr>
          <w:rFonts w:ascii="Arial;sans-serif" w:hAnsi="Arial;sans-serif"/>
          <w:b w:val="false"/>
          <w:sz w:val="20"/>
        </w:rPr>
        <w:t>shares of common stock. The fair value of each restricted stock unit is estimated</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based on the fair value of the Company's common stock on the date of the grant. The restricted stock units vest over the requisite service period, which range between</w:t>
      </w:r>
      <w:r>
        <w:rPr>
          <w:rFonts w:ascii="Times New Roman" w:hAnsi="Times New Roman"/>
          <w:sz w:val="20"/>
        </w:rPr>
        <w:t xml:space="preserve"> </w:t>
      </w:r>
      <w:r>
        <w:rPr>
          <w:rFonts w:ascii="Arial;sans-serif" w:hAnsi="Arial;sans-serif"/>
          <w:b w:val="false"/>
          <w:sz w:val="20"/>
        </w:rPr>
        <w:t>one</w:t>
      </w:r>
      <w:r>
        <w:rPr>
          <w:rFonts w:ascii="Times New Roman" w:hAnsi="Times New Roman"/>
          <w:sz w:val="20"/>
        </w:rPr>
        <w:t xml:space="preserve"> </w:t>
      </w:r>
      <w:r>
        <w:rPr>
          <w:rFonts w:ascii="Arial;sans-serif" w:hAnsi="Arial;sans-serif"/>
          <w:b w:val="false"/>
          <w:sz w:val="20"/>
        </w:rPr>
        <w:t>and four years</w:t>
      </w:r>
      <w:r>
        <w:rPr>
          <w:rFonts w:ascii="Times New Roman" w:hAnsi="Times New Roman"/>
          <w:sz w:val="20"/>
        </w:rPr>
        <w:t xml:space="preserve"> </w:t>
      </w:r>
      <w:r>
        <w:rPr>
          <w:rFonts w:ascii="Arial;sans-serif" w:hAnsi="Arial;sans-serif"/>
          <w:b w:val="false"/>
          <w:sz w:val="20"/>
        </w:rPr>
        <w:t>from the date of the grant, subject to the continued employment of the employees and service of the nonemployee board members.</w:t>
      </w:r>
    </w:p>
    <w:p>
      <w:pPr>
        <w:pStyle w:val="TextBody"/>
        <w:spacing w:before="200" w:after="200"/>
        <w:jc w:val="left"/>
        <w:rPr>
          <w:rFonts w:ascii="Times New Roman" w:hAnsi="Times New Roman"/>
          <w:sz w:val="20"/>
        </w:rPr>
      </w:pPr>
      <w:r>
        <w:rPr>
          <w:rFonts w:ascii="Arial;sans-serif" w:hAnsi="Arial;sans-serif"/>
          <w:b w:val="false"/>
          <w:sz w:val="20"/>
        </w:rPr>
        <w:t>As of March 31, 2023, there was $105.3</w:t>
      </w:r>
      <w:r>
        <w:rPr>
          <w:rFonts w:ascii="Times New Roman" w:hAnsi="Times New Roman"/>
          <w:sz w:val="20"/>
        </w:rPr>
        <w:t xml:space="preserve"> </w:t>
      </w:r>
      <w:r>
        <w:rPr>
          <w:rFonts w:ascii="Arial;sans-serif" w:hAnsi="Arial;sans-serif"/>
          <w:b w:val="false"/>
          <w:sz w:val="20"/>
        </w:rPr>
        <w:t>million of total unrecognized compensation expense related to unvested restricted stock units, which is expected to be recognized over a weighted-average period of 2.33 years.</w:t>
      </w:r>
    </w:p>
    <w:p>
      <w:pPr>
        <w:pStyle w:val="TextBody"/>
        <w:spacing w:before="200" w:after="200"/>
        <w:jc w:val="left"/>
        <w:rPr>
          <w:rFonts w:ascii="Arial;sans-serif" w:hAnsi="Arial;sans-serif"/>
          <w:b/>
          <w:i/>
          <w:sz w:val="20"/>
        </w:rPr>
      </w:pPr>
      <w:r>
        <w:rPr>
          <w:rFonts w:ascii="Arial;sans-serif" w:hAnsi="Arial;sans-serif"/>
          <w:b/>
          <w:i/>
          <w:sz w:val="20"/>
        </w:rPr>
        <w:t>Employee Stock Purchase Plan</w:t>
      </w:r>
    </w:p>
    <w:p>
      <w:pPr>
        <w:pStyle w:val="TextBody"/>
        <w:spacing w:before="200" w:after="200"/>
        <w:jc w:val="left"/>
        <w:rPr>
          <w:rFonts w:ascii="Times New Roman" w:hAnsi="Times New Roman"/>
          <w:sz w:val="20"/>
        </w:rPr>
      </w:pPr>
      <w:r>
        <w:rPr>
          <w:rFonts w:ascii="Arial;sans-serif" w:hAnsi="Arial;sans-serif"/>
          <w:b w:val="false"/>
          <w:sz w:val="20"/>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3,797,245</w:t>
      </w:r>
      <w:r>
        <w:rPr>
          <w:rFonts w:ascii="Times New Roman" w:hAnsi="Times New Roman"/>
          <w:sz w:val="20"/>
        </w:rPr>
        <w:t xml:space="preserve"> </w:t>
      </w:r>
      <w:r>
        <w:rPr>
          <w:rFonts w:ascii="Arial;sans-serif" w:hAnsi="Arial;sans-serif"/>
          <w:b w:val="false"/>
          <w:sz w:val="20"/>
        </w:rPr>
        <w:t>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p>
    <w:p>
      <w:pPr>
        <w:pStyle w:val="TextBody"/>
        <w:spacing w:before="200" w:after="200"/>
        <w:jc w:val="left"/>
        <w:rPr>
          <w:rFonts w:ascii="Times New Roman" w:hAnsi="Times New Roman"/>
          <w:sz w:val="20"/>
        </w:rPr>
      </w:pPr>
      <w:r>
        <w:rPr>
          <w:rFonts w:ascii="Arial;sans-serif" w:hAnsi="Arial;sans-serif"/>
          <w:b w:val="false"/>
          <w:sz w:val="20"/>
        </w:rPr>
        <w:t>As of March 31, 2023, a total of 3,766,959</w:t>
      </w:r>
      <w:r>
        <w:rPr>
          <w:rFonts w:ascii="Times New Roman" w:hAnsi="Times New Roman"/>
          <w:sz w:val="20"/>
        </w:rPr>
        <w:t xml:space="preserve"> </w:t>
      </w:r>
      <w:r>
        <w:rPr>
          <w:rFonts w:ascii="Arial;sans-serif" w:hAnsi="Arial;sans-serif"/>
          <w:b w:val="false"/>
          <w:sz w:val="20"/>
        </w:rPr>
        <w:t>shares of the Company's common stock were available for future issuance under the ESPP.</w:t>
      </w:r>
    </w:p>
    <w:p>
      <w:pPr>
        <w:pStyle w:val="TextBody"/>
        <w:spacing w:before="200" w:after="200"/>
        <w:jc w:val="left"/>
        <w:rPr>
          <w:rFonts w:ascii="Arial;sans-serif" w:hAnsi="Arial;sans-serif"/>
          <w:b w:val="false"/>
          <w:sz w:val="20"/>
        </w:rPr>
      </w:pPr>
      <w:r>
        <w:rPr>
          <w:rFonts w:ascii="Arial;sans-serif" w:hAnsi="Arial;sans-serif"/>
          <w:b w:val="false"/>
          <w:sz w:val="20"/>
        </w:rPr>
        <w:t>The fair value of the ESPP offering during the three months ended March 31, 2023 was estimated at the date of the offering using the Black-Scholes option-pricing model with the following assumptions: (i) expected term of 0.5 years, (ii) expected volatility of 62.02%, (iii) risk-free interest rate of 4.77% and (iv) expected dividend yield of 0%.</w:t>
      </w:r>
    </w:p>
    <w:p>
      <w:pPr>
        <w:pStyle w:val="TextBody"/>
        <w:spacing w:before="200" w:after="200"/>
        <w:jc w:val="left"/>
        <w:rPr>
          <w:rFonts w:ascii="Times New Roman" w:hAnsi="Times New Roman"/>
          <w:sz w:val="20"/>
        </w:rPr>
      </w:pPr>
      <w:r>
        <w:rPr>
          <w:rFonts w:ascii="Arial;sans-serif" w:hAnsi="Arial;sans-serif"/>
          <w:b w:val="false"/>
          <w:sz w:val="20"/>
        </w:rPr>
        <w:t>As of March 31, 2023, the total unrecognized compensation expense related to the ESPP was $0.4</w:t>
      </w:r>
      <w:r>
        <w:rPr>
          <w:rFonts w:ascii="Times New Roman" w:hAnsi="Times New Roman"/>
          <w:sz w:val="20"/>
        </w:rPr>
        <w:t xml:space="preserve"> </w:t>
      </w:r>
      <w:r>
        <w:rPr>
          <w:rFonts w:ascii="Arial;sans-serif" w:hAnsi="Arial;sans-serif"/>
          <w:b w:val="false"/>
          <w:sz w:val="20"/>
        </w:rPr>
        <w:t>million, which is expected to be amortized over the next 3 months.</w:t>
      </w:r>
    </w:p>
    <w:p>
      <w:pPr>
        <w:pStyle w:val="TextBody"/>
        <w:spacing w:before="200" w:after="200"/>
        <w:jc w:val="left"/>
        <w:rPr>
          <w:rFonts w:ascii="Arial;sans-serif" w:hAnsi="Arial;sans-serif"/>
          <w:b/>
          <w:i/>
          <w:sz w:val="20"/>
        </w:rPr>
      </w:pPr>
      <w:r>
        <w:rPr>
          <w:rFonts w:ascii="Arial;sans-serif" w:hAnsi="Arial;sans-serif"/>
          <w:b/>
          <w:i/>
          <w:sz w:val="20"/>
        </w:rPr>
        <w:t>Stock-Based Compensation Costs</w:t>
      </w:r>
    </w:p>
    <w:p>
      <w:pPr>
        <w:pStyle w:val="TextBody"/>
        <w:spacing w:before="200" w:after="200"/>
        <w:jc w:val="left"/>
        <w:rPr>
          <w:rFonts w:ascii="Arial;sans-serif" w:hAnsi="Arial;sans-serif"/>
          <w:b w:val="false"/>
          <w:sz w:val="20"/>
        </w:rPr>
      </w:pPr>
      <w:r>
        <w:rPr>
          <w:rFonts w:ascii="Arial;sans-serif" w:hAnsi="Arial;sans-serif"/>
          <w:b w:val="false"/>
          <w:sz w:val="20"/>
        </w:rPr>
        <w:t>The following table summarizes the stock-based compensation expense for stock options, restricted stock units and ESPP granted to employees and nonemployee board members that was recorded in the Company’s condensed consolidated statements of operations and comprehensive loss (in thousands):</w:t>
      </w:r>
    </w:p>
    <w:tbl>
      <w:tblPr>
        <w:tblW w:w="6776" w:type="dxa"/>
        <w:jc w:val="left"/>
        <w:tblInd w:w="0" w:type="dxa"/>
        <w:tblCellMar>
          <w:top w:w="28" w:type="dxa"/>
          <w:left w:w="28" w:type="dxa"/>
          <w:bottom w:w="28" w:type="dxa"/>
          <w:right w:w="28" w:type="dxa"/>
        </w:tblCellMar>
      </w:tblPr>
      <w:tblGrid>
        <w:gridCol w:w="3751"/>
        <w:gridCol w:w="146"/>
        <w:gridCol w:w="285"/>
        <w:gridCol w:w="792"/>
        <w:gridCol w:w="197"/>
        <w:gridCol w:w="197"/>
        <w:gridCol w:w="285"/>
        <w:gridCol w:w="792"/>
        <w:gridCol w:w="33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Technology and development</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1,569</w:t>
            </w:r>
          </w:p>
        </w:tc>
        <w:tc>
          <w:tcPr>
            <w:tcW w:w="19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830</w:t>
            </w:r>
          </w:p>
        </w:tc>
        <w:tc>
          <w:tcPr>
            <w:tcW w:w="33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Selling and marketing</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2,437</w:t>
            </w:r>
          </w:p>
        </w:tc>
        <w:tc>
          <w:tcPr>
            <w:tcW w:w="19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1,311</w:t>
            </w:r>
          </w:p>
        </w:tc>
        <w:tc>
          <w:tcPr>
            <w:tcW w:w="33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4,597</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3,354</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75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8,603</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5,495</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bookmarkStart w:id="26" w:name="note_13"/>
      <w:bookmarkEnd w:id="26"/>
      <w:r>
        <w:rPr>
          <w:rFonts w:ascii="Arial;sans-serif" w:hAnsi="Arial;sans-serif"/>
          <w:b/>
          <w:sz w:val="20"/>
        </w:rPr>
        <w:t>Note 13. Net Loss per Share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Basic net loss per share attributable to common stockholders is computed by dividing the net loss attributable to common stockholders by the weighted-average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common shares outstanding, including all potentially dilutive common shares, if the effect of such shares is dilutive.</w:t>
      </w:r>
    </w:p>
    <w:p>
      <w:pPr>
        <w:pStyle w:val="TextBody"/>
        <w:spacing w:before="200" w:after="200"/>
        <w:jc w:val="left"/>
        <w:rPr>
          <w:rFonts w:ascii="Arial;sans-serif" w:hAnsi="Arial;sans-serif"/>
          <w:b w:val="false"/>
          <w:sz w:val="20"/>
        </w:rPr>
      </w:pPr>
      <w:r>
        <w:rPr>
          <w:rFonts w:ascii="Arial;sans-serif" w:hAnsi="Arial;sans-serif"/>
          <w:b w:val="false"/>
          <w:sz w:val="20"/>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months ended March 31, 2023 and 2022. For the three months ended March 31, 2023 and 2022, net loss per share attributable to common stockholders was the same as diluted net loss per share attributable to common stockholders.</w:t>
      </w:r>
    </w:p>
    <w:p>
      <w:pPr>
        <w:pStyle w:val="TextBody"/>
        <w:spacing w:before="200" w:after="200"/>
        <w:jc w:val="left"/>
        <w:rPr>
          <w:rFonts w:ascii="Times New Roman" w:hAnsi="Times New Roman"/>
          <w:sz w:val="20"/>
        </w:rPr>
      </w:pPr>
      <w:r>
        <w:rPr>
          <w:rFonts w:ascii="Arial;sans-serif" w:hAnsi="Arial;sans-serif"/>
          <w:b w:val="false"/>
          <w:sz w:val="20"/>
        </w:rPr>
        <w:t>The rights, including the liquidation and dividend rights, of the voting and non-voting common stock are identical, except with respect to voting rights. As the liquidation and dividend rights are identical, the undistributed earnings are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allocated on a proportionate basis to each class of common stock and the resulting basic and diluted net loss per share attributable to common stockholders are, therefore, the same for both voting and non-voting common stock on both individual and combined basis.</w:t>
      </w:r>
    </w:p>
    <w:p>
      <w:pPr>
        <w:pStyle w:val="TextBody"/>
        <w:spacing w:before="200" w:after="200"/>
        <w:jc w:val="left"/>
        <w:rPr>
          <w:rFonts w:ascii="Arial;sans-serif" w:hAnsi="Arial;sans-serif"/>
          <w:b w:val="false"/>
          <w:sz w:val="20"/>
        </w:rPr>
      </w:pPr>
      <w:r>
        <w:rPr>
          <w:rFonts w:ascii="Arial;sans-serif" w:hAnsi="Arial;sans-serif"/>
          <w:b w:val="false"/>
          <w:sz w:val="20"/>
        </w:rPr>
        <w:t>Basic and diluted net loss per share attributable to common stockholders was calculated as follows (in thousands, except share and per share amounts):</w:t>
      </w:r>
    </w:p>
    <w:tbl>
      <w:tblPr>
        <w:tblW w:w="10299" w:type="dxa"/>
        <w:jc w:val="left"/>
        <w:tblInd w:w="0" w:type="dxa"/>
        <w:tblCellMar>
          <w:top w:w="28" w:type="dxa"/>
          <w:left w:w="28" w:type="dxa"/>
          <w:bottom w:w="28" w:type="dxa"/>
          <w:right w:w="28" w:type="dxa"/>
        </w:tblCellMar>
      </w:tblPr>
      <w:tblGrid>
        <w:gridCol w:w="6586"/>
        <w:gridCol w:w="146"/>
        <w:gridCol w:w="211"/>
        <w:gridCol w:w="1171"/>
        <w:gridCol w:w="166"/>
        <w:gridCol w:w="146"/>
        <w:gridCol w:w="211"/>
        <w:gridCol w:w="1171"/>
        <w:gridCol w:w="491"/>
      </w:tblGrid>
      <w:tr>
        <w:trPr/>
        <w:tc>
          <w:tcPr>
            <w:tcW w:w="6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5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0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80"/>
              <w:jc w:val="right"/>
              <w:rPr/>
            </w:pPr>
            <w:r>
              <w:rPr/>
              <w:t> </w:t>
            </w:r>
          </w:p>
        </w:tc>
      </w:tr>
      <w:tr>
        <w:trPr/>
        <w:tc>
          <w:tcPr>
            <w:tcW w:w="65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(10,149</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5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loss attributable to common stockholders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(10,149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5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80"/>
              <w:jc w:val="right"/>
              <w:rPr/>
            </w:pPr>
            <w:r>
              <w:rPr/>
              <w:t> </w:t>
            </w:r>
          </w:p>
        </w:tc>
      </w:tr>
      <w:tr>
        <w:trPr/>
        <w:tc>
          <w:tcPr>
            <w:tcW w:w="65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Weighted average common shares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109,787,528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106,739,771</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 per share attributable to common stockholders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(0.03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(0.10</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200" w:after="200"/>
        <w:jc w:val="left"/>
        <w:rPr>
          <w:rFonts w:ascii="Arial;sans-serif" w:hAnsi="Arial;sans-serif"/>
          <w:b w:val="false"/>
          <w:sz w:val="20"/>
        </w:rPr>
      </w:pPr>
      <w:r>
        <w:rPr>
          <w:rFonts w:ascii="Arial;sans-serif" w:hAnsi="Arial;sans-serif"/>
          <w:b w:val="false"/>
          <w:sz w:val="20"/>
        </w:rPr>
        <w:t>Outstanding potentially dilutive securities, which were excluded from the diluted net loss per share calculations because they would have been antidilutive were as follows as of the dates presented:</w:t>
      </w:r>
    </w:p>
    <w:tbl>
      <w:tblPr>
        <w:tblW w:w="6804" w:type="dxa"/>
        <w:jc w:val="left"/>
        <w:tblInd w:w="0" w:type="dxa"/>
        <w:tblCellMar>
          <w:top w:w="28" w:type="dxa"/>
          <w:left w:w="28" w:type="dxa"/>
          <w:bottom w:w="28" w:type="dxa"/>
          <w:right w:w="28" w:type="dxa"/>
        </w:tblCellMar>
      </w:tblPr>
      <w:tblGrid>
        <w:gridCol w:w="3751"/>
        <w:gridCol w:w="146"/>
        <w:gridCol w:w="146"/>
        <w:gridCol w:w="1066"/>
        <w:gridCol w:w="146"/>
        <w:gridCol w:w="146"/>
        <w:gridCol w:w="146"/>
        <w:gridCol w:w="1066"/>
        <w:gridCol w:w="19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Unvested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4,690,048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2,419,900</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Stock 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11,534,245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14,346,683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16,224,293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16,766,583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bookmarkStart w:id="27" w:name="note_14"/>
      <w:bookmarkEnd w:id="27"/>
      <w:r>
        <w:rPr>
          <w:rFonts w:ascii="Arial;sans-serif" w:hAnsi="Arial;sans-serif"/>
          <w:b/>
          <w:sz w:val="20"/>
        </w:rPr>
        <w:t>Note 14. Income Taxes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Company’s provision for income taxes during the interim periods is determined using an estimate of the Company’s annual effective tax rate, which is adjusted for certain discrete tax items during the interim period. The Company recorded an income tax expense of $0.4</w:t>
      </w:r>
      <w:r>
        <w:rPr>
          <w:rFonts w:ascii="Times New Roman" w:hAnsi="Times New Roman"/>
          <w:sz w:val="20"/>
        </w:rPr>
        <w:t xml:space="preserve"> </w:t>
      </w:r>
      <w:r>
        <w:rPr>
          <w:rFonts w:ascii="Arial;sans-serif" w:hAnsi="Arial;sans-serif"/>
          <w:b w:val="false"/>
          <w:sz w:val="20"/>
        </w:rPr>
        <w:t>million and $0.5</w:t>
      </w:r>
      <w:r>
        <w:rPr>
          <w:rFonts w:ascii="Times New Roman" w:hAnsi="Times New Roman"/>
          <w:sz w:val="20"/>
        </w:rPr>
        <w:t xml:space="preserve"> </w:t>
      </w:r>
      <w:r>
        <w:rPr>
          <w:rFonts w:ascii="Arial;sans-serif" w:hAnsi="Arial;sans-serif"/>
          <w:b w:val="false"/>
          <w:sz w:val="20"/>
        </w:rPr>
        <w:t>million for the three months ended March 31, 2023 and 2022, respectively. The income tax expense for the three months ended March 31, 2023 and 2022 was primarily attributable to activity in the Company's foreign subsidiaries and U.S. state taxes.</w:t>
      </w:r>
    </w:p>
    <w:p>
      <w:pPr>
        <w:pStyle w:val="TextBody"/>
        <w:spacing w:before="200" w:after="200"/>
        <w:jc w:val="left"/>
        <w:rPr>
          <w:rFonts w:ascii="Arial;sans-serif" w:hAnsi="Arial;sans-serif"/>
          <w:b w:val="false"/>
          <w:sz w:val="20"/>
        </w:rPr>
      </w:pPr>
      <w:r>
        <w:rPr>
          <w:rFonts w:ascii="Arial;sans-serif" w:hAnsi="Arial;sans-serif"/>
          <w:b w:val="false"/>
          <w:sz w:val="20"/>
        </w:rPr>
        <w:t>The Company’s effective tax rate differs from the U.S.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pStyle w:val="TextBody"/>
        <w:spacing w:before="200" w:after="200"/>
        <w:jc w:val="left"/>
        <w:rPr>
          <w:rFonts w:ascii="Arial;sans-serif" w:hAnsi="Arial;sans-serif"/>
          <w:b w:val="false"/>
          <w:sz w:val="20"/>
        </w:rPr>
      </w:pPr>
      <w:r>
        <w:rPr>
          <w:rFonts w:ascii="Arial;sans-serif" w:hAnsi="Arial;sans-serif"/>
          <w:b w:val="false"/>
          <w:sz w:val="20"/>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March 31, 2023, the Company continues to maintain a full valuation allowance of the U.S. and United Kingdom net deferred tax assets.</w:t>
      </w:r>
    </w:p>
    <w:p>
      <w:pPr>
        <w:pStyle w:val="TextBody"/>
        <w:spacing w:before="200" w:after="200"/>
        <w:jc w:val="left"/>
        <w:rPr>
          <w:rFonts w:ascii="Arial;sans-serif" w:hAnsi="Arial;sans-serif"/>
          <w:b w:val="false"/>
          <w:sz w:val="20"/>
        </w:rPr>
      </w:pPr>
      <w:r>
        <w:rPr>
          <w:rFonts w:ascii="Arial;sans-serif" w:hAnsi="Arial;sans-serif"/>
          <w:b w:val="false"/>
          <w:sz w:val="20"/>
        </w:rPr>
        <w:t>On August 16, 2022, the Inflation Reduction Act of 2022 was signed into law. This legislation imposes a Corporate Alternative Minimum Tax among other tax law changes. The Company has not completed its analysis of this legislation as of March 31, 2023, but it is not expected to have a material impact on the Company's tax liability.</w:t>
      </w:r>
    </w:p>
    <w:p>
      <w:pPr>
        <w:pStyle w:val="TextBody"/>
        <w:spacing w:before="360" w:after="0"/>
        <w:jc w:val="left"/>
        <w:rPr>
          <w:rFonts w:ascii="Times New Roman" w:hAnsi="Times New Roman"/>
          <w:sz w:val="20"/>
        </w:rPr>
      </w:pPr>
      <w:bookmarkStart w:id="28" w:name="note_15"/>
      <w:bookmarkEnd w:id="28"/>
      <w:r>
        <w:rPr>
          <w:rFonts w:ascii="Arial;sans-serif" w:hAnsi="Arial;sans-serif"/>
          <w:b/>
          <w:sz w:val="20"/>
        </w:rPr>
        <w:t>Note 15.</w:t>
      </w:r>
      <w:r>
        <w:rPr>
          <w:rFonts w:ascii="Times New Roman" w:hAnsi="Times New Roman"/>
          <w:sz w:val="20"/>
        </w:rPr>
        <w:t xml:space="preserve"> </w:t>
      </w:r>
      <w:r>
        <w:rPr>
          <w:rFonts w:ascii="Arial;sans-serif" w:hAnsi="Arial;sans-serif"/>
          <w:b/>
          <w:sz w:val="20"/>
        </w:rPr>
        <w:t>Leases</w:t>
      </w:r>
    </w:p>
    <w:p>
      <w:pPr>
        <w:pStyle w:val="TextBody"/>
        <w:spacing w:before="200" w:after="200"/>
        <w:jc w:val="left"/>
        <w:rPr>
          <w:rFonts w:ascii="Times New Roman" w:hAnsi="Times New Roman"/>
          <w:sz w:val="20"/>
        </w:rPr>
      </w:pPr>
      <w:r>
        <w:rPr>
          <w:rFonts w:ascii="Arial;sans-serif" w:hAnsi="Arial;sans-serif"/>
          <w:b/>
          <w:i/>
          <w:sz w:val="20"/>
        </w:rPr>
        <w:t>Operating Leases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 annual rent increases. Operating lease expense is recognized on a straight-line basis over the term of the lease. There were no finance lease obligations as of March 31, 2023.</w:t>
      </w:r>
    </w:p>
    <w:p>
      <w:pPr>
        <w:pStyle w:val="TextBody"/>
        <w:spacing w:before="0" w:after="0"/>
        <w:jc w:val="center"/>
        <w:rPr>
          <w:rFonts w:ascii="Arial;sans-serif" w:hAnsi="Arial;sans-serif"/>
          <w:b w:val="false"/>
          <w:sz w:val="20"/>
        </w:rPr>
      </w:pPr>
      <w:r>
        <w:rPr>
          <w:rFonts w:ascii="Arial;sans-serif" w:hAnsi="Arial;sans-serif"/>
          <w:b w:val="false"/>
          <w:sz w:val="20"/>
        </w:rPr>
        <w:t>20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Right-of-use (ROU) assets are included in Other assets and operating lease liabilities are included in Other liabilities.</w:t>
      </w:r>
      <w:r>
        <w:rPr>
          <w:rFonts w:ascii="Times New Roman" w:hAnsi="Times New Roman"/>
          <w:sz w:val="20"/>
        </w:rPr>
        <w:t xml:space="preserve"> </w:t>
      </w:r>
    </w:p>
    <w:tbl>
      <w:tblPr>
        <w:tblW w:w="7405" w:type="dxa"/>
        <w:jc w:val="left"/>
        <w:tblInd w:w="0" w:type="dxa"/>
        <w:tblCellMar>
          <w:top w:w="28" w:type="dxa"/>
          <w:left w:w="28" w:type="dxa"/>
          <w:bottom w:w="28" w:type="dxa"/>
          <w:right w:w="28" w:type="dxa"/>
        </w:tblCellMar>
      </w:tblPr>
      <w:tblGrid>
        <w:gridCol w:w="3661"/>
        <w:gridCol w:w="146"/>
        <w:gridCol w:w="333"/>
        <w:gridCol w:w="927"/>
        <w:gridCol w:w="286"/>
        <w:gridCol w:w="146"/>
        <w:gridCol w:w="416"/>
        <w:gridCol w:w="1159"/>
        <w:gridCol w:w="331"/>
      </w:tblGrid>
      <w:tr>
        <w:trPr/>
        <w:tc>
          <w:tcPr>
            <w:tcW w:w="36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 amounts 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ROU assets</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2,356</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2,789</w:t>
            </w:r>
          </w:p>
        </w:tc>
        <w:tc>
          <w:tcPr>
            <w:tcW w:w="331" w:type="dxa"/>
            <w:tcBorders/>
            <w:shd w:fill="auto" w:val="cle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2,709</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3,149</w:t>
            </w:r>
          </w:p>
        </w:tc>
        <w:tc>
          <w:tcPr>
            <w:tcW w:w="331" w:type="dxa"/>
            <w:tcBorders/>
            <w:shd w:fill="auto" w:val="cle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Weighted-average remaining lease terms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1.99 years</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2.12 years</w:t>
            </w:r>
          </w:p>
        </w:tc>
        <w:tc>
          <w:tcPr>
            <w:tcW w:w="331" w:type="dxa"/>
            <w:tcBorders/>
            <w:shd w:fill="auto" w:val="clear"/>
            <w:vAlign w:val="center"/>
          </w:tcPr>
          <w:p>
            <w:pPr>
              <w:pStyle w:val="TableContents"/>
              <w:spacing w:before="0" w:after="0"/>
              <w:ind w:left="0" w:right="0" w:hanging="0"/>
              <w:jc w:val="right"/>
              <w:rPr/>
            </w:pPr>
            <w:r>
              <w:rPr/>
              <w:t> </w:t>
            </w:r>
          </w:p>
        </w:tc>
      </w:tr>
      <w:tr>
        <w:trPr/>
        <w:tc>
          <w:tcPr>
            <w:tcW w:w="36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Weighted-average discount rate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200" w:after="200"/>
        <w:jc w:val="left"/>
        <w:rPr>
          <w:rFonts w:ascii="Arial;sans-serif" w:hAnsi="Arial;sans-serif"/>
          <w:b w:val="false"/>
          <w:sz w:val="20"/>
        </w:rPr>
      </w:pPr>
      <w:r>
        <w:rPr>
          <w:rFonts w:ascii="Arial;sans-serif" w:hAnsi="Arial;sans-serif"/>
          <w:b w:val="false"/>
          <w:sz w:val="20"/>
        </w:rPr>
        <w:t>Supplemental cash flow information related to leases was as follows:</w:t>
      </w:r>
    </w:p>
    <w:tbl>
      <w:tblPr>
        <w:tblW w:w="8676" w:type="dxa"/>
        <w:jc w:val="left"/>
        <w:tblInd w:w="0" w:type="dxa"/>
        <w:tblCellMar>
          <w:top w:w="28" w:type="dxa"/>
          <w:left w:w="28" w:type="dxa"/>
          <w:bottom w:w="28" w:type="dxa"/>
          <w:right w:w="28" w:type="dxa"/>
        </w:tblCellMar>
      </w:tblPr>
      <w:tblGrid>
        <w:gridCol w:w="5791"/>
        <w:gridCol w:w="146"/>
        <w:gridCol w:w="345"/>
        <w:gridCol w:w="690"/>
        <w:gridCol w:w="239"/>
        <w:gridCol w:w="239"/>
        <w:gridCol w:w="345"/>
        <w:gridCol w:w="690"/>
        <w:gridCol w:w="191"/>
      </w:tblGrid>
      <w:tr>
        <w:trPr/>
        <w:tc>
          <w:tcPr>
            <w:tcW w:w="5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91"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(amounts in thousands)</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 xml:space="preserve">Cash paid for amounts included in the measurement of operating </w:t>
              <w:br/>
              <w:t>   lease liabilities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610</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Future minimum lease payments as of March 31, 2023 were as follows (in thousands):</w:t>
      </w:r>
      <w:r>
        <w:rPr>
          <w:rFonts w:ascii="Times New Roman" w:hAnsi="Times New Roman"/>
          <w:sz w:val="20"/>
        </w:rPr>
        <w:t xml:space="preserve"> </w:t>
      </w:r>
    </w:p>
    <w:tbl>
      <w:tblPr>
        <w:tblW w:w="4485" w:type="dxa"/>
        <w:jc w:val="left"/>
        <w:tblInd w:w="0" w:type="dxa"/>
        <w:tblCellMar>
          <w:top w:w="28" w:type="dxa"/>
          <w:left w:w="28" w:type="dxa"/>
          <w:bottom w:w="28" w:type="dxa"/>
          <w:right w:w="28" w:type="dxa"/>
        </w:tblCellMar>
      </w:tblPr>
      <w:tblGrid>
        <w:gridCol w:w="3211"/>
        <w:gridCol w:w="146"/>
        <w:gridCol w:w="211"/>
        <w:gridCol w:w="586"/>
        <w:gridCol w:w="331"/>
      </w:tblGrid>
      <w:tr>
        <w:trPr/>
        <w:tc>
          <w:tcPr>
            <w:tcW w:w="3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Years Ending December 31,</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2023 (remaining nine months)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1,398</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884</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454</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21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Total undiscounted lease payments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2,797</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21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Less - present value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88</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21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Lease Liability, at present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2,709</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Future minimum lease payments as of December 31, 2022</w:t>
      </w:r>
      <w:r>
        <w:rPr>
          <w:rFonts w:ascii="Times New Roman" w:hAnsi="Times New Roman"/>
          <w:sz w:val="20"/>
        </w:rPr>
        <w:t xml:space="preserve"> </w:t>
      </w:r>
      <w:r>
        <w:rPr>
          <w:rFonts w:ascii="Arial;sans-serif" w:hAnsi="Arial;sans-serif"/>
          <w:b w:val="false"/>
          <w:sz w:val="20"/>
        </w:rPr>
        <w:t>were as follows (in thousands):</w:t>
      </w:r>
      <w:r>
        <w:rPr>
          <w:rFonts w:ascii="Times New Roman" w:hAnsi="Times New Roman"/>
          <w:sz w:val="20"/>
        </w:rPr>
        <w:t xml:space="preserve"> </w:t>
      </w:r>
    </w:p>
    <w:tbl>
      <w:tblPr>
        <w:tblW w:w="4485" w:type="dxa"/>
        <w:jc w:val="left"/>
        <w:tblInd w:w="0" w:type="dxa"/>
        <w:tblCellMar>
          <w:top w:w="28" w:type="dxa"/>
          <w:left w:w="28" w:type="dxa"/>
          <w:bottom w:w="28" w:type="dxa"/>
          <w:right w:w="28" w:type="dxa"/>
        </w:tblCellMar>
      </w:tblPr>
      <w:tblGrid>
        <w:gridCol w:w="3211"/>
        <w:gridCol w:w="146"/>
        <w:gridCol w:w="211"/>
        <w:gridCol w:w="586"/>
        <w:gridCol w:w="331"/>
      </w:tblGrid>
      <w:tr>
        <w:trPr/>
        <w:tc>
          <w:tcPr>
            <w:tcW w:w="3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Years Ending December 31,</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1,910</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879</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449</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21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Total undiscounted lease payments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3,298</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21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Less - present value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149</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21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Lease liability, at present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3,149</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The components of operating lease expense during the three months ended March 31, 2023 and 2022 were as follows:</w:t>
      </w:r>
      <w:r>
        <w:rPr>
          <w:rFonts w:ascii="Times New Roman" w:hAnsi="Times New Roman"/>
          <w:sz w:val="20"/>
        </w:rPr>
        <w:t xml:space="preserve"> </w:t>
      </w:r>
    </w:p>
    <w:tbl>
      <w:tblPr>
        <w:tblW w:w="5616" w:type="dxa"/>
        <w:jc w:val="left"/>
        <w:tblInd w:w="0" w:type="dxa"/>
        <w:tblCellMar>
          <w:top w:w="28" w:type="dxa"/>
          <w:left w:w="28" w:type="dxa"/>
          <w:bottom w:w="28" w:type="dxa"/>
          <w:right w:w="28" w:type="dxa"/>
        </w:tblCellMar>
      </w:tblPr>
      <w:tblGrid>
        <w:gridCol w:w="2731"/>
        <w:gridCol w:w="146"/>
        <w:gridCol w:w="345"/>
        <w:gridCol w:w="690"/>
        <w:gridCol w:w="239"/>
        <w:gridCol w:w="239"/>
        <w:gridCol w:w="345"/>
        <w:gridCol w:w="690"/>
        <w:gridCol w:w="19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(amounts in thousands)</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384</w:t>
            </w:r>
          </w:p>
        </w:tc>
        <w:tc>
          <w:tcPr>
            <w:tcW w:w="19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Short-term lease expense</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122</w:t>
            </w:r>
          </w:p>
        </w:tc>
        <w:tc>
          <w:tcPr>
            <w:tcW w:w="19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Variable lease expense</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584</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Arial;sans-serif" w:hAnsi="Arial;sans-serif"/>
          <w:b/>
          <w:sz w:val="20"/>
        </w:rPr>
      </w:pPr>
      <w:bookmarkStart w:id="29" w:name="note_16"/>
      <w:bookmarkEnd w:id="29"/>
      <w:r>
        <w:rPr>
          <w:rFonts w:ascii="Arial;sans-serif" w:hAnsi="Arial;sans-serif"/>
          <w:b/>
          <w:sz w:val="20"/>
        </w:rPr>
        <w:t>Note 16. Commitments and Contingencies</w:t>
      </w:r>
    </w:p>
    <w:p>
      <w:pPr>
        <w:pStyle w:val="TextBody"/>
        <w:spacing w:before="200" w:after="200"/>
        <w:jc w:val="left"/>
        <w:rPr>
          <w:rFonts w:ascii="Times New Roman" w:hAnsi="Times New Roman"/>
          <w:sz w:val="20"/>
        </w:rPr>
      </w:pPr>
      <w:r>
        <w:rPr>
          <w:rFonts w:ascii="Arial;sans-serif" w:hAnsi="Arial;sans-serif"/>
          <w:b/>
          <w:i/>
          <w:sz w:val="20"/>
        </w:rPr>
        <w:t>Legal proceedings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21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determinations, the Company evaluates, among other things, the degree of probability of an unfavorable outcome and, when it is probable that a liability has been incurred, the ability to make a reasonable estimate of the loss. If the occurrence of liability is probable, the Company will disclose the nature of the contingency, and if estimable, will provide the likely amount of such loss or range of loss.</w:t>
      </w:r>
    </w:p>
    <w:p>
      <w:pPr>
        <w:pStyle w:val="TextBody"/>
        <w:spacing w:before="200" w:after="200"/>
        <w:jc w:val="left"/>
        <w:rPr>
          <w:rFonts w:ascii="Arial;sans-serif" w:hAnsi="Arial;sans-serif"/>
          <w:b w:val="false"/>
          <w:sz w:val="20"/>
        </w:rPr>
      </w:pPr>
      <w:r>
        <w:rPr>
          <w:rFonts w:ascii="Arial;sans-serif" w:hAnsi="Arial;sans-serif"/>
          <w:b w:val="false"/>
          <w:sz w:val="20"/>
        </w:rPr>
        <w:t>As of March 31, 2023, the Company was not aware of any pending legal matters or claims, individually or in the aggregate, that are expected to have a material adverse effect on its financial position, results of operations, or cash flows.</w:t>
      </w:r>
    </w:p>
    <w:p>
      <w:pPr>
        <w:pStyle w:val="TextBody"/>
        <w:spacing w:before="200" w:after="200"/>
        <w:jc w:val="left"/>
        <w:rPr>
          <w:rFonts w:ascii="Times New Roman" w:hAnsi="Times New Roman"/>
          <w:sz w:val="20"/>
        </w:rPr>
      </w:pPr>
      <w:r>
        <w:rPr>
          <w:rFonts w:ascii="Arial;sans-serif" w:hAnsi="Arial;sans-serif"/>
          <w:b/>
          <w:i/>
          <w:sz w:val="20"/>
        </w:rPr>
        <w:t>Indemnification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for the periods ended March 31, 2023 and December 31, 2022.</w:t>
      </w:r>
      <w:r>
        <w:rPr>
          <w:rFonts w:ascii="Times New Roman" w:hAnsi="Times New Roman"/>
          <w:sz w:val="20"/>
        </w:rPr>
        <w:t xml:space="preserve"> </w:t>
      </w:r>
    </w:p>
    <w:p>
      <w:pPr>
        <w:pStyle w:val="TextBody"/>
        <w:spacing w:before="360" w:after="200"/>
        <w:jc w:val="left"/>
        <w:rPr>
          <w:rFonts w:ascii="Times New Roman" w:hAnsi="Times New Roman"/>
          <w:sz w:val="20"/>
        </w:rPr>
      </w:pPr>
      <w:bookmarkStart w:id="30" w:name="note_17"/>
      <w:bookmarkEnd w:id="30"/>
      <w:r>
        <w:rPr>
          <w:rFonts w:ascii="Arial;sans-serif" w:hAnsi="Arial;sans-serif"/>
          <w:b/>
          <w:sz w:val="20"/>
        </w:rPr>
        <w:t>Note 17. Subsequent Events</w:t>
      </w:r>
      <w:r>
        <w:rPr>
          <w:rFonts w:ascii="Times New Roman" w:hAnsi="Times New Roman"/>
          <w:sz w:val="20"/>
        </w:rPr>
        <w:t xml:space="preserve"> </w:t>
      </w:r>
    </w:p>
    <w:p>
      <w:pPr>
        <w:pStyle w:val="TextBody"/>
        <w:spacing w:before="200" w:after="200"/>
        <w:jc w:val="left"/>
        <w:rPr>
          <w:rFonts w:ascii="Arial;sans-serif" w:hAnsi="Arial;sans-serif"/>
          <w:b/>
          <w:i/>
          <w:sz w:val="20"/>
        </w:rPr>
      </w:pPr>
      <w:r>
        <w:rPr>
          <w:rFonts w:ascii="Arial;sans-serif" w:hAnsi="Arial;sans-serif"/>
          <w:b/>
          <w:i/>
          <w:sz w:val="20"/>
        </w:rPr>
        <w:t>Lease Amendment</w:t>
      </w:r>
    </w:p>
    <w:p>
      <w:pPr>
        <w:pStyle w:val="TextBody"/>
        <w:spacing w:before="200" w:after="200"/>
        <w:jc w:val="left"/>
        <w:rPr>
          <w:rFonts w:ascii="Times New Roman" w:hAnsi="Times New Roman"/>
          <w:sz w:val="20"/>
        </w:rPr>
      </w:pPr>
      <w:r>
        <w:rPr>
          <w:rFonts w:ascii="Arial;sans-serif" w:hAnsi="Arial;sans-serif"/>
          <w:b w:val="false"/>
          <w:sz w:val="20"/>
        </w:rPr>
        <w:t>On May 1, 2023, the Company amended the lease for its Boston, Massachusetts headquarters pursuant to which the Company agreed to extend the lease term for another three years and three months from April 1, 2024</w:t>
      </w:r>
      <w:r>
        <w:rPr>
          <w:rFonts w:ascii="Times New Roman" w:hAnsi="Times New Roman"/>
          <w:sz w:val="20"/>
        </w:rPr>
        <w:t xml:space="preserve"> </w:t>
      </w:r>
      <w:r>
        <w:rPr>
          <w:rFonts w:ascii="Arial;sans-serif" w:hAnsi="Arial;sans-serif"/>
          <w:b w:val="false"/>
          <w:sz w:val="20"/>
        </w:rPr>
        <w:t>and vacate 5,473</w:t>
      </w:r>
      <w:r>
        <w:rPr>
          <w:rFonts w:ascii="Times New Roman" w:hAnsi="Times New Roman"/>
          <w:sz w:val="20"/>
        </w:rPr>
        <w:t xml:space="preserve"> </w:t>
      </w:r>
      <w:r>
        <w:rPr>
          <w:rFonts w:ascii="Arial;sans-serif" w:hAnsi="Arial;sans-serif"/>
          <w:b w:val="false"/>
          <w:sz w:val="20"/>
        </w:rPr>
        <w:t>rentable square feet of excess space, returning the space to the landlord on September 30, 2023. The lease amendment will increase our ROU asset and our operating lease liability by approximately $1.7</w:t>
      </w:r>
      <w:r>
        <w:rPr>
          <w:rFonts w:ascii="Times New Roman" w:hAnsi="Times New Roman"/>
          <w:sz w:val="20"/>
        </w:rPr>
        <w:t xml:space="preserve"> </w:t>
      </w:r>
      <w:r>
        <w:rPr>
          <w:rFonts w:ascii="Arial;sans-serif" w:hAnsi="Arial;sans-serif"/>
          <w:b w:val="false"/>
          <w:sz w:val="20"/>
        </w:rPr>
        <w:t>million and $1.6</w:t>
      </w:r>
      <w:r>
        <w:rPr>
          <w:rFonts w:ascii="Times New Roman" w:hAnsi="Times New Roman"/>
          <w:sz w:val="20"/>
        </w:rPr>
        <w:t xml:space="preserve"> </w:t>
      </w:r>
      <w:r>
        <w:rPr>
          <w:rFonts w:ascii="Arial;sans-serif" w:hAnsi="Arial;sans-serif"/>
          <w:b w:val="false"/>
          <w:sz w:val="20"/>
        </w:rPr>
        <w:t>million, respectively.</w:t>
      </w:r>
    </w:p>
    <w:p>
      <w:pPr>
        <w:pStyle w:val="TextBody"/>
        <w:spacing w:before="0" w:after="0"/>
        <w:jc w:val="center"/>
        <w:rPr>
          <w:rFonts w:ascii="Arial;sans-serif" w:hAnsi="Arial;sans-serif"/>
          <w:b w:val="false"/>
          <w:sz w:val="20"/>
        </w:rPr>
      </w:pPr>
      <w:r>
        <w:rPr>
          <w:rFonts w:ascii="Arial;sans-serif" w:hAnsi="Arial;sans-serif"/>
          <w:b w:val="false"/>
          <w:sz w:val="20"/>
        </w:rPr>
        <w:t>22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360" w:after="0"/>
        <w:jc w:val="left"/>
        <w:rPr>
          <w:rFonts w:ascii="Times New Roman" w:hAnsi="Times New Roman"/>
          <w:sz w:val="20"/>
        </w:rPr>
      </w:pPr>
      <w:bookmarkStart w:id="31" w:name="item_2_management"/>
      <w:bookmarkEnd w:id="31"/>
      <w:r>
        <w:rPr>
          <w:rFonts w:ascii="Arial;sans-serif" w:hAnsi="Arial;sans-serif"/>
          <w:b/>
          <w:sz w:val="20"/>
        </w:rPr>
        <w:t>Ite</w:t>
      </w:r>
      <w:bookmarkStart w:id="32" w:name="item_2_managements_discussion"/>
      <w:bookmarkEnd w:id="32"/>
      <w:r>
        <w:rPr>
          <w:rFonts w:ascii="Arial;sans-serif" w:hAnsi="Arial;sans-serif"/>
          <w:b/>
          <w:sz w:val="20"/>
        </w:rPr>
        <w:t>m 2. Management’s Discussion and Analysis of Financial Condition and Results of Operations</w:t>
      </w:r>
    </w:p>
    <w:p>
      <w:pPr>
        <w:pStyle w:val="TextBody"/>
        <w:spacing w:before="200" w:after="200"/>
        <w:jc w:val="left"/>
        <w:rPr>
          <w:rFonts w:ascii="Arial;sans-serif" w:hAnsi="Arial;sans-serif"/>
          <w:b w:val="false"/>
          <w:i/>
          <w:sz w:val="20"/>
        </w:rPr>
      </w:pPr>
      <w:r>
        <w:rPr>
          <w:rFonts w:ascii="Arial;sans-serif" w:hAnsi="Arial;sans-serif"/>
          <w:b w:val="false"/>
          <w:i/>
          <w:sz w:val="20"/>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pStyle w:val="TextBody"/>
        <w:spacing w:before="200" w:after="200"/>
        <w:jc w:val="left"/>
        <w:rPr>
          <w:rFonts w:ascii="Times New Roman" w:hAnsi="Times New Roman"/>
          <w:sz w:val="20"/>
        </w:rPr>
      </w:pPr>
      <w:r>
        <w:rPr>
          <w:rFonts w:ascii="Arial;sans-serif" w:hAnsi="Arial;sans-serif"/>
          <w:b/>
          <w:sz w:val="20"/>
        </w:rPr>
        <w:t>Overview</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spacing w:before="200" w:after="200"/>
        <w:jc w:val="left"/>
        <w:rPr>
          <w:rFonts w:ascii="Times New Roman" w:hAnsi="Times New Roman"/>
          <w:sz w:val="20"/>
        </w:rPr>
      </w:pPr>
      <w:r>
        <w:rPr>
          <w:rFonts w:ascii="Arial;sans-serif" w:hAnsi="Arial;sans-serif"/>
          <w:b w:val="false"/>
          <w:sz w:val="20"/>
        </w:rPr>
        <w:t xml:space="preserve">Our </w:t>
      </w:r>
      <w:r>
        <w:rPr>
          <w:rFonts w:ascii="Arial;sans-serif" w:hAnsi="Arial;sans-serif"/>
          <w:b w:val="false"/>
          <w:i/>
          <w:sz w:val="20"/>
        </w:rPr>
        <w:t>Flywire Advantage</w:t>
      </w:r>
      <w:r>
        <w:rPr>
          <w:rFonts w:ascii="Times New Roman" w:hAnsi="Times New Roman"/>
          <w:sz w:val="20"/>
        </w:rPr>
        <w:t xml:space="preserve"> </w:t>
      </w:r>
      <w:r>
        <w:rPr>
          <w:rFonts w:ascii="Arial;sans-serif" w:hAnsi="Arial;sans-serif"/>
          <w:b w:val="false"/>
          <w:sz w:val="20"/>
        </w:rPr>
        <w:t xml:space="preserve">is derived from three core elements: (i) our next-gen payments platform; (ii) our proprietary global payment network; and (iii) our vertical-specific software backed by our deep industry expertise. With our </w:t>
      </w:r>
      <w:r>
        <w:rPr>
          <w:rFonts w:ascii="Arial;sans-serif" w:hAnsi="Arial;sans-serif"/>
          <w:b w:val="false"/>
          <w:i/>
          <w:sz w:val="20"/>
        </w:rPr>
        <w:t>Flywire Advantage</w:t>
      </w:r>
      <w:r>
        <w:rPr>
          <w:rFonts w:ascii="Arial;sans-serif" w:hAnsi="Arial;sans-serif"/>
          <w:b w:val="false"/>
          <w:sz w:val="20"/>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pStyle w:val="TextBody"/>
        <w:spacing w:before="200" w:after="200"/>
        <w:jc w:val="left"/>
        <w:rPr>
          <w:rFonts w:ascii="Arial;sans-serif" w:hAnsi="Arial;sans-serif"/>
          <w:b w:val="false"/>
          <w:sz w:val="20"/>
        </w:rPr>
      </w:pPr>
      <w:r>
        <w:rPr>
          <w:rFonts w:ascii="Arial;sans-serif" w:hAnsi="Arial;sans-serif"/>
          <w:b w:val="false"/>
          <w:sz w:val="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pStyle w:val="TextBody"/>
        <w:spacing w:before="0" w:after="0"/>
        <w:jc w:val="center"/>
        <w:rPr>
          <w:rFonts w:ascii="Arial;sans-serif" w:hAnsi="Arial;sans-serif"/>
          <w:b w:val="false"/>
          <w:sz w:val="20"/>
        </w:rPr>
      </w:pPr>
      <w:r>
        <w:rPr>
          <w:rFonts w:ascii="Arial;sans-serif" w:hAnsi="Arial;sans-serif"/>
          <w:b w:val="false"/>
          <w:sz w:val="20"/>
        </w:rPr>
        <w:t>23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40" w:after="0"/>
        <w:jc w:val="center"/>
        <w:rPr/>
      </w:pPr>
      <w:r>
        <w:rPr/>
        <w:drawing>
          <wp:inline distT="0" distB="0" distL="0" distR="0">
            <wp:extent cx="6286500" cy="461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86500" cy="4610100"/>
                    </a:xfrm>
                    <a:prstGeom prst="rect">
                      <a:avLst/>
                    </a:prstGeom>
                  </pic:spPr>
                </pic:pic>
              </a:graphicData>
            </a:graphic>
          </wp:inline>
        </w:drawing>
      </w:r>
      <w:r>
        <w:rPr/>
        <w:t> </w:t>
      </w:r>
    </w:p>
    <w:p>
      <w:pPr>
        <w:pStyle w:val="TextBody"/>
        <w:spacing w:before="200" w:after="200"/>
        <w:jc w:val="left"/>
        <w:rPr>
          <w:rFonts w:ascii="Times New Roman" w:hAnsi="Times New Roman"/>
          <w:sz w:val="20"/>
        </w:rPr>
      </w:pPr>
      <w:r>
        <w:rPr>
          <w:rFonts w:ascii="Arial;sans-serif" w:hAnsi="Arial;sans-serif"/>
          <w:b w:val="false"/>
          <w:sz w:val="20"/>
        </w:rPr>
        <w:t>The combination of our differentiated solution and efficient go-to-market strategy has resulted in strong and consistent client growth.</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pPr>
      <w:r>
        <w:rPr>
          <w:rFonts w:ascii="Arial;sans-serif" w:hAnsi="Arial;sans-serif"/>
          <w:b/>
          <w:i/>
          <w:sz w:val="20"/>
        </w:rPr>
        <w:t>Rapid domestic and international payments volume growth</w:t>
      </w:r>
      <w:r>
        <w:rPr>
          <w:rFonts w:ascii="Arial;sans-serif" w:hAnsi="Arial;sans-serif"/>
          <w:b w:val="false"/>
          <w:i/>
          <w:sz w:val="20"/>
        </w:rPr>
        <w:t xml:space="preserve">. </w:t>
      </w:r>
      <w:r>
        <w:rPr>
          <w:rFonts w:ascii="Arial;sans-serif" w:hAnsi="Arial;sans-serif"/>
          <w:b w:val="false"/>
          <w:sz w:val="20"/>
        </w:rPr>
        <w:t xml:space="preserve">We have grown our total payment volume by approximately 36% period-over-period from $4.2 billion during the three months ended March 31, 2022 to $5.7 billion during the three months ended March 31, 2023. </w:t>
      </w:r>
    </w:p>
    <w:p>
      <w:pPr>
        <w:pStyle w:val="TextBody"/>
        <w:spacing w:before="200" w:after="200"/>
        <w:jc w:val="left"/>
        <w:rPr/>
      </w:pPr>
      <w:r>
        <w:rPr/>
        <w:t>•</w:t>
      </w:r>
    </w:p>
    <w:p>
      <w:pPr>
        <w:pStyle w:val="TextBody"/>
        <w:spacing w:before="200" w:after="200"/>
        <w:jc w:val="left"/>
        <w:rPr/>
      </w:pPr>
      <w:r>
        <w:rPr>
          <w:rFonts w:ascii="Arial;sans-serif" w:hAnsi="Arial;sans-serif"/>
          <w:b/>
          <w:i/>
          <w:sz w:val="20"/>
        </w:rPr>
        <w:t>Expanded global payments network</w:t>
      </w:r>
      <w:r>
        <w:rPr>
          <w:rFonts w:ascii="Arial;sans-serif" w:hAnsi="Arial;sans-serif"/>
          <w:b w:val="false"/>
          <w:i/>
          <w:sz w:val="20"/>
        </w:rPr>
        <w:t xml:space="preserve">. </w:t>
      </w:r>
      <w:r>
        <w:rPr>
          <w:rFonts w:ascii="Arial;sans-serif" w:hAnsi="Arial;sans-serif"/>
          <w:b w:val="false"/>
          <w:sz w:val="20"/>
        </w:rPr>
        <w:t>We have continued to add to the capabilities of our payment network by means of new local bank accounts and payment partners, and have expanded our global reach to over 240 countries and territories and more than 140 currencies.</w:t>
      </w:r>
    </w:p>
    <w:p>
      <w:pPr>
        <w:pStyle w:val="TextBody"/>
        <w:spacing w:before="200" w:after="200"/>
        <w:jc w:val="left"/>
        <w:rPr/>
      </w:pPr>
      <w:r>
        <w:rPr/>
        <w:t>•</w:t>
      </w:r>
    </w:p>
    <w:p>
      <w:pPr>
        <w:pStyle w:val="TextBody"/>
        <w:spacing w:before="200" w:after="200"/>
        <w:jc w:val="left"/>
        <w:rPr/>
      </w:pPr>
      <w:r>
        <w:rPr>
          <w:rFonts w:ascii="Arial;sans-serif" w:hAnsi="Arial;sans-serif"/>
          <w:b/>
          <w:i/>
          <w:sz w:val="20"/>
        </w:rPr>
        <w:t>Enjoyable and personalized user experience</w:t>
      </w:r>
      <w:r>
        <w:rPr>
          <w:rFonts w:ascii="Arial;sans-serif" w:hAnsi="Arial;sans-serif"/>
          <w:b w:val="false"/>
          <w:i/>
          <w:sz w:val="20"/>
        </w:rPr>
        <w:t>.</w:t>
      </w:r>
      <w:r>
        <w:rPr/>
        <w:t xml:space="preserve"> </w:t>
      </w:r>
      <w:r>
        <w:rPr>
          <w:rFonts w:ascii="Arial;sans-serif" w:hAnsi="Arial;sans-serif"/>
          <w:b w:val="false"/>
          <w:sz w:val="20"/>
        </w:rPr>
        <w:t>Our net promoter score (NPS) score of 62 in fiscal year 2022 demonstrates a strong affinity among our clients for our platform.</w:t>
      </w:r>
    </w:p>
    <w:p>
      <w:pPr>
        <w:pStyle w:val="TextBody"/>
        <w:spacing w:before="200" w:after="200"/>
        <w:jc w:val="left"/>
        <w:rPr/>
      </w:pPr>
      <w:r>
        <w:rPr/>
        <w:t>•</w:t>
      </w:r>
    </w:p>
    <w:p>
      <w:pPr>
        <w:pStyle w:val="TextBody"/>
        <w:spacing w:before="200" w:after="200"/>
        <w:jc w:val="left"/>
        <w:rPr/>
      </w:pPr>
      <w:r>
        <w:rPr>
          <w:rFonts w:ascii="Arial;sans-serif" w:hAnsi="Arial;sans-serif"/>
          <w:b/>
          <w:i/>
          <w:sz w:val="20"/>
        </w:rPr>
        <w:t>Strong dollar-based net retention</w:t>
      </w:r>
      <w:r>
        <w:rPr>
          <w:rFonts w:ascii="Arial;sans-serif" w:hAnsi="Arial;sans-serif"/>
          <w:b w:val="false"/>
          <w:i/>
          <w:sz w:val="20"/>
        </w:rPr>
        <w:t xml:space="preserve">. </w:t>
      </w:r>
      <w:r>
        <w:rPr>
          <w:rFonts w:ascii="Arial;sans-serif" w:hAnsi="Arial;sans-serif"/>
          <w:b w:val="false"/>
          <w:sz w:val="20"/>
        </w:rPr>
        <w:t>For the year ended December 31, 2022, our annual net dollar-based retention rate was approximately 124%. We calculate the annual net dollar-based retention rate for a given year based on the weighted average of the quarterly net dollar-based retention rates for each quarter in</w:t>
        <w:br/>
        <w:t xml:space="preserve">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 </w:t>
      </w:r>
    </w:p>
    <w:p>
      <w:pPr>
        <w:pStyle w:val="TextBody"/>
        <w:spacing w:before="200" w:after="200"/>
        <w:jc w:val="left"/>
        <w:rPr>
          <w:rFonts w:ascii="Arial;sans-serif" w:hAnsi="Arial;sans-serif"/>
          <w:b w:val="false"/>
          <w:sz w:val="20"/>
        </w:rPr>
      </w:pPr>
      <w:r>
        <w:rPr>
          <w:rFonts w:ascii="Arial;sans-serif" w:hAnsi="Arial;sans-serif"/>
          <w:b w:val="false"/>
          <w:sz w:val="20"/>
        </w:rPr>
        <w:t>As of March 31, 2023, we serve over 3,300 clients around the world. In education, we serve more than 2,400 institutions. In healthcare, we power more than 80 healthcare systems, including four of the top 10 healthcare systems in the United States ranked by hospital size as of December 31, 2022. In our newer payment verticals of travel and business-to-business (B2B) payments, we have a growing portfolio of more than 600 clients as of March 31, 2023.</w:t>
      </w:r>
    </w:p>
    <w:p>
      <w:pPr>
        <w:pStyle w:val="TextBody"/>
        <w:spacing w:before="0" w:after="0"/>
        <w:jc w:val="center"/>
        <w:rPr>
          <w:rFonts w:ascii="Arial;sans-serif" w:hAnsi="Arial;sans-serif"/>
          <w:b w:val="false"/>
          <w:sz w:val="20"/>
        </w:rPr>
      </w:pPr>
      <w:r>
        <w:rPr>
          <w:rFonts w:ascii="Arial;sans-serif" w:hAnsi="Arial;sans-serif"/>
          <w:b w:val="false"/>
          <w:sz w:val="20"/>
        </w:rPr>
        <w:t>24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Our success in building our client base around the world and expanding utilization by our clients’ customers has allowed us to achieve significant scale. We enabled approximately $18.1 billion and $5.7 billion in total payment volume during the year ended December 31, 2022 and three months ended March 31, 2023, respectively. We generated revenue of $289.4 million and $201.1 million for the years ended December 31, 2022 and 2021, respectively, and incurred net losses of $39.3 million and $28.1 million, respectively, for the same years. We generated revenue of $94.4 million and $64.6 million for the three months ended March 31, 2023 and 2022, respectively, and incurred net loss of $3.7 million and $10.1 million, respectively, for the same periods.</w:t>
      </w:r>
    </w:p>
    <w:p>
      <w:pPr>
        <w:pStyle w:val="TextBody"/>
        <w:spacing w:before="200" w:after="200"/>
        <w:jc w:val="left"/>
        <w:rPr>
          <w:rFonts w:ascii="Arial;sans-serif" w:hAnsi="Arial;sans-serif"/>
          <w:b w:val="false"/>
          <w:sz w:val="20"/>
        </w:rPr>
      </w:pPr>
      <w:r>
        <w:rPr>
          <w:rFonts w:ascii="Arial;sans-serif" w:hAnsi="Arial;sans-serif"/>
          <w:b w:val="false"/>
          <w:sz w:val="20"/>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pStyle w:val="TextBody"/>
        <w:spacing w:before="200" w:after="200"/>
        <w:jc w:val="left"/>
        <w:rPr>
          <w:rFonts w:ascii="Times New Roman" w:hAnsi="Times New Roman"/>
          <w:sz w:val="20"/>
        </w:rPr>
      </w:pPr>
      <w:r>
        <w:rPr>
          <w:rFonts w:ascii="Arial;sans-serif" w:hAnsi="Arial;sans-serif"/>
          <w:b w:val="false"/>
          <w:sz w:val="20"/>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the ongoing effects of the COVID-19 pandemic and fluctuations in exchange rates. If we are unable to successfully address these challenges, our business, operating results, and prospects could be adversely affected.</w:t>
      </w:r>
      <w:r>
        <w:rPr>
          <w:rFonts w:ascii="Times New Roman" w:hAnsi="Times New Roman"/>
          <w:sz w:val="20"/>
        </w:rPr>
        <w:t xml:space="preserve"> </w:t>
      </w:r>
    </w:p>
    <w:p>
      <w:pPr>
        <w:pStyle w:val="TextBody"/>
        <w:spacing w:before="200" w:after="200"/>
        <w:jc w:val="left"/>
        <w:rPr>
          <w:rFonts w:ascii="Arial;sans-serif" w:hAnsi="Arial;sans-serif"/>
          <w:b/>
          <w:sz w:val="20"/>
        </w:rPr>
      </w:pPr>
      <w:r>
        <w:rPr>
          <w:rFonts w:ascii="Arial;sans-serif" w:hAnsi="Arial;sans-serif"/>
          <w:b/>
          <w:sz w:val="20"/>
        </w:rPr>
        <w:t>Recent Acquisition</w:t>
      </w:r>
    </w:p>
    <w:p>
      <w:pPr>
        <w:pStyle w:val="TextBody"/>
        <w:spacing w:before="200" w:after="200"/>
        <w:jc w:val="left"/>
        <w:rPr>
          <w:rFonts w:ascii="Arial;sans-serif" w:hAnsi="Arial;sans-serif"/>
          <w:b w:val="false"/>
          <w:sz w:val="20"/>
        </w:rPr>
      </w:pPr>
      <w:r>
        <w:rPr>
          <w:rFonts w:ascii="Arial;sans-serif" w:hAnsi="Arial;sans-serif"/>
          <w:b w:val="false"/>
          <w:sz w:val="20"/>
        </w:rPr>
        <w:t>In July 2022, we acquired all of the issued and outstanding shares of Cohort Go for an estimated aggregate purchase consideration of $23.1 million, consisting of $17.1 million in cash, net of cash acquired, $4.3 million in shares of common stock and up to $1.7 million in contingent consideration. Contingent consideration represented additional payments that Flywire was required to make which was dependent upon Cohort Go's achievement of specific post-acquisition milestones and was subject to exchange rate fluctuation adjustment between the U.S. Dollar and Australian Dollar. During March 2023, the Company made a payment of contingent consideration in the amount of $1.7 million, in the form of cash, based on Cohort Go's successful and timely achievement of the contracted milestones. No additional contingent consideration is due or payable with respect to the Cohort Go acquisition.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$3.5 million in transaction revenue and $2.5 million in platform revenue during the three months ended March 31, 2023.</w:t>
      </w:r>
    </w:p>
    <w:p>
      <w:pPr>
        <w:pStyle w:val="TextBody"/>
        <w:spacing w:before="200" w:after="200"/>
        <w:jc w:val="left"/>
        <w:rPr>
          <w:rFonts w:ascii="Times New Roman" w:hAnsi="Times New Roman"/>
          <w:sz w:val="20"/>
        </w:rPr>
      </w:pPr>
      <w:r>
        <w:rPr>
          <w:rFonts w:ascii="Arial;sans-serif" w:hAnsi="Arial;sans-serif"/>
          <w:b/>
          <w:sz w:val="20"/>
        </w:rPr>
        <w:t>Our Revenue Model</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We derive revenue from transactions and platform and usage-based fees.</w:t>
      </w:r>
    </w:p>
    <w:p>
      <w:pPr>
        <w:pStyle w:val="TextBody"/>
        <w:spacing w:before="200" w:after="200"/>
        <w:jc w:val="left"/>
        <w:rPr>
          <w:rFonts w:ascii="Times New Roman" w:hAnsi="Times New Roman"/>
          <w:sz w:val="20"/>
        </w:rPr>
      </w:pPr>
      <w:r>
        <w:rPr>
          <w:rFonts w:ascii="Arial;sans-serif" w:hAnsi="Arial;sans-serif"/>
          <w:b w:val="false"/>
          <w:i/>
          <w:sz w:val="20"/>
        </w:rPr>
        <w:t xml:space="preserve">Transaction revenue </w:t>
      </w:r>
      <w:r>
        <w:rPr>
          <w:rFonts w:ascii="Arial;sans-serif" w:hAnsi="Arial;sans-serif"/>
          <w:b w:val="false"/>
          <w:sz w:val="20"/>
        </w:rPr>
        <w:t>is earned from payment processing services provided to our clients. The fee earned on each transaction consists 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pStyle w:val="TextBody"/>
        <w:spacing w:before="200" w:after="200"/>
        <w:jc w:val="left"/>
        <w:rPr>
          <w:rFonts w:ascii="Times New Roman" w:hAnsi="Times New Roman"/>
          <w:sz w:val="20"/>
        </w:rPr>
      </w:pPr>
      <w:r>
        <w:rPr>
          <w:rFonts w:ascii="Arial;sans-serif" w:hAnsi="Arial;sans-serif"/>
          <w:b w:val="false"/>
          <w:i/>
          <w:sz w:val="20"/>
        </w:rPr>
        <w:t xml:space="preserve">Platform and usage-based fee revenue </w:t>
      </w:r>
      <w:r>
        <w:rPr>
          <w:rFonts w:ascii="Arial;sans-serif" w:hAnsi="Arial;sans-serif"/>
          <w:b w:val="false"/>
          <w:sz w:val="20"/>
        </w:rPr>
        <w:t>includes (i) fees earned for the utilization of our payment platform to optimize cash collections, (ii) fees collected on payment plans established by our clients on our payment platform, (iii) subscription fees and (iv) fees related to printing and mailing services which we consider to be ancillary to the solutions we provide to our clients.</w:t>
      </w:r>
    </w:p>
    <w:p>
      <w:pPr>
        <w:pStyle w:val="TextBody"/>
        <w:spacing w:before="0" w:after="0"/>
        <w:jc w:val="center"/>
        <w:rPr>
          <w:rFonts w:ascii="Arial;sans-serif" w:hAnsi="Arial;sans-serif"/>
          <w:b w:val="false"/>
          <w:sz w:val="20"/>
        </w:rPr>
      </w:pPr>
      <w:r>
        <w:rPr>
          <w:rFonts w:ascii="Arial;sans-serif" w:hAnsi="Arial;sans-serif"/>
          <w:b w:val="false"/>
          <w:sz w:val="20"/>
        </w:rPr>
        <w:t>25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sz w:val="20"/>
        </w:rPr>
        <w:t>Key Operating Metrics and Non-GAAP Financial Measures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To supplement our condensed consolidated financial statements, which are prepared in accordance with generally accepted accounting principles in the United States (GAAP), we use certain non-GAAP financials measures. The following table sets forth our key operating metrics and non-GAAP measures for the periods presented:</w:t>
      </w:r>
      <w:r>
        <w:rPr>
          <w:rFonts w:ascii="Times New Roman" w:hAnsi="Times New Roman"/>
          <w:sz w:val="20"/>
        </w:rPr>
        <w:t xml:space="preserve"> </w:t>
      </w:r>
    </w:p>
    <w:tbl>
      <w:tblPr>
        <w:tblW w:w="6027" w:type="dxa"/>
        <w:jc w:val="left"/>
        <w:tblInd w:w="0" w:type="dxa"/>
        <w:tblCellMar>
          <w:top w:w="28" w:type="dxa"/>
          <w:left w:w="28" w:type="dxa"/>
          <w:bottom w:w="28" w:type="dxa"/>
          <w:right w:w="28" w:type="dxa"/>
        </w:tblCellMar>
      </w:tblPr>
      <w:tblGrid>
        <w:gridCol w:w="3001"/>
        <w:gridCol w:w="146"/>
        <w:gridCol w:w="228"/>
        <w:gridCol w:w="813"/>
        <w:gridCol w:w="309"/>
        <w:gridCol w:w="158"/>
        <w:gridCol w:w="228"/>
        <w:gridCol w:w="813"/>
        <w:gridCol w:w="331"/>
      </w:tblGrid>
      <w:tr>
        <w:trPr/>
        <w:tc>
          <w:tcPr>
            <w:tcW w:w="3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4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10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Payment Volume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5,667.9</w:t>
            </w:r>
          </w:p>
        </w:tc>
        <w:tc>
          <w:tcPr>
            <w:tcW w:w="309"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4,173.7</w:t>
            </w:r>
          </w:p>
        </w:tc>
        <w:tc>
          <w:tcPr>
            <w:tcW w:w="33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94.4</w:t>
            </w:r>
          </w:p>
        </w:tc>
        <w:tc>
          <w:tcPr>
            <w:tcW w:w="309"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64.6</w:t>
            </w:r>
          </w:p>
        </w:tc>
        <w:tc>
          <w:tcPr>
            <w:tcW w:w="33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Less Ancillary Services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89.1</w:t>
            </w:r>
          </w:p>
        </w:tc>
        <w:tc>
          <w:tcPr>
            <w:tcW w:w="309"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59.3</w:t>
            </w:r>
          </w:p>
        </w:tc>
        <w:tc>
          <w:tcPr>
            <w:tcW w:w="33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58.3</w:t>
            </w:r>
          </w:p>
        </w:tc>
        <w:tc>
          <w:tcPr>
            <w:tcW w:w="309"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38.8</w:t>
            </w:r>
          </w:p>
        </w:tc>
        <w:tc>
          <w:tcPr>
            <w:tcW w:w="33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Profit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59.9</w:t>
            </w:r>
          </w:p>
        </w:tc>
        <w:tc>
          <w:tcPr>
            <w:tcW w:w="309"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40.0</w:t>
            </w:r>
          </w:p>
        </w:tc>
        <w:tc>
          <w:tcPr>
            <w:tcW w:w="33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61.8</w:t>
            </w:r>
          </w:p>
        </w:tc>
        <w:tc>
          <w:tcPr>
            <w:tcW w:w="30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60.1</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Margin</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67.2</w:t>
            </w:r>
          </w:p>
        </w:tc>
        <w:tc>
          <w:tcPr>
            <w:tcW w:w="30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67.5</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30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309"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331" w:type="dxa"/>
            <w:tcBorders/>
            <w:shd w:fill="auto" w:val="clear"/>
            <w:vAlign w:val="center"/>
          </w:tcPr>
          <w:p>
            <w:pPr>
              <w:pStyle w:val="TableContents"/>
              <w:spacing w:before="0" w:after="0"/>
              <w:ind w:left="0" w:right="0" w:hanging="0"/>
              <w:jc w:val="left"/>
              <w:rPr/>
            </w:pPr>
            <w:r>
              <w:rPr/>
              <w:t> </w:t>
            </w:r>
          </w:p>
        </w:tc>
      </w:tr>
    </w:tbl>
    <w:p>
      <w:pPr>
        <w:pStyle w:val="TextBody"/>
        <w:spacing w:before="200" w:after="200"/>
        <w:jc w:val="left"/>
        <w:rPr>
          <w:rFonts w:ascii="Times New Roman" w:hAnsi="Times New Roman"/>
          <w:sz w:val="20"/>
        </w:rPr>
      </w:pPr>
      <w:r>
        <w:rPr>
          <w:rFonts w:ascii="Arial;sans-serif" w:hAnsi="Arial;sans-serif"/>
          <w:b w:val="false"/>
          <w:sz w:val="20"/>
        </w:rPr>
        <w:t>For the three months ended March 31, 2023, transaction revenue and platform and usage-based fee revenue represented 80.8% and 19.2% of our revenue, respectively. For the three months ended March 31, 2023, transaction revenue and platform and usage-based fee revenue represented 85.2% and 14.8% of our total revenue less ancillary services, respectively.</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For the three months ended March 31, 2022, transaction revenue and platform and usage-based fee revenue represented 75.4% and 24.6% of our revenue, respectively. For the three months ended March 31, 2022, transaction revenue and platform and usage-based fee revenue represented 81.5% and 18.5% of our total revenue less ancillary services, respectively.</w:t>
      </w:r>
    </w:p>
    <w:p>
      <w:pPr>
        <w:pStyle w:val="TextBody"/>
        <w:spacing w:before="200" w:after="200"/>
        <w:jc w:val="left"/>
        <w:rPr>
          <w:rFonts w:ascii="Arial;sans-serif" w:hAnsi="Arial;sans-serif"/>
          <w:b w:val="false"/>
          <w:sz w:val="20"/>
        </w:rPr>
      </w:pPr>
      <w:r>
        <w:rPr>
          <w:rFonts w:ascii="Arial;sans-serif" w:hAnsi="Arial;sans-serif"/>
          <w:b w:val="false"/>
          <w:sz w:val="20"/>
        </w:rPr>
        <w:t>For the three months ended March 31, 2023, our total payment volume was approximately $5.7 billion, consisting of $3.8 billion of total payment volume from transactions included in transaction revenue, and $1.9 billion of total payment volume from transactions included in platform and usage-based fee revenue.</w:t>
      </w:r>
    </w:p>
    <w:p>
      <w:pPr>
        <w:pStyle w:val="TextBody"/>
        <w:spacing w:before="200" w:after="200"/>
        <w:jc w:val="left"/>
        <w:rPr>
          <w:rFonts w:ascii="Arial;sans-serif" w:hAnsi="Arial;sans-serif"/>
          <w:b w:val="false"/>
          <w:sz w:val="20"/>
        </w:rPr>
      </w:pPr>
      <w:r>
        <w:rPr>
          <w:rFonts w:ascii="Arial;sans-serif" w:hAnsi="Arial;sans-serif"/>
          <w:b w:val="false"/>
          <w:sz w:val="20"/>
        </w:rPr>
        <w:t>For the three months ended March 31, 2022, our total payment volume was approximately $4.2 billion, consisting of $2.5 billion of total payment volume from transactions included in transaction revenue, and $1.7 billion of total payment volume from transactions included in platform and usage-based fee revenue.</w:t>
      </w:r>
    </w:p>
    <w:p>
      <w:pPr>
        <w:pStyle w:val="TextBody"/>
        <w:spacing w:before="200" w:after="200"/>
        <w:jc w:val="left"/>
        <w:rPr>
          <w:rFonts w:ascii="Times New Roman" w:hAnsi="Times New Roman"/>
          <w:sz w:val="20"/>
        </w:rPr>
      </w:pPr>
      <w:r>
        <w:rPr>
          <w:rFonts w:ascii="Arial;sans-serif" w:hAnsi="Arial;sans-serif"/>
          <w:b/>
          <w:i/>
          <w:sz w:val="20"/>
        </w:rPr>
        <w:t>Total Payment Volume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pStyle w:val="TextBody"/>
        <w:spacing w:before="200" w:after="200"/>
        <w:jc w:val="left"/>
        <w:rPr>
          <w:rFonts w:ascii="Arial;sans-serif" w:hAnsi="Arial;sans-serif"/>
          <w:b/>
          <w:i/>
          <w:sz w:val="20"/>
        </w:rPr>
      </w:pPr>
      <w:r>
        <w:rPr>
          <w:rFonts w:ascii="Arial;sans-serif" w:hAnsi="Arial;sans-serif"/>
          <w:b/>
          <w:i/>
          <w:sz w:val="20"/>
        </w:rPr>
        <w:t>Revenue Less Ancillary Services, Revenue Less Ancillary Services at Constant Currency, Adjusted Gross Profit, Adjusted Gross Margin and Adjusted EBITDA</w:t>
      </w:r>
    </w:p>
    <w:p>
      <w:pPr>
        <w:pStyle w:val="TextBody"/>
        <w:spacing w:before="200" w:after="200"/>
        <w:jc w:val="left"/>
        <w:rPr>
          <w:rFonts w:ascii="Arial;sans-serif" w:hAnsi="Arial;sans-serif"/>
          <w:b w:val="false"/>
          <w:sz w:val="20"/>
        </w:rPr>
      </w:pPr>
      <w:r>
        <w:rPr>
          <w:rFonts w:ascii="Arial;sans-serif" w:hAnsi="Arial;sans-serif"/>
          <w:b w:val="false"/>
          <w:sz w:val="20"/>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spacing w:before="0" w:after="0"/>
        <w:jc w:val="center"/>
        <w:rPr>
          <w:rFonts w:ascii="Arial;sans-serif" w:hAnsi="Arial;sans-serif"/>
          <w:b w:val="false"/>
          <w:sz w:val="20"/>
        </w:rPr>
      </w:pPr>
      <w:r>
        <w:rPr>
          <w:rFonts w:ascii="Arial;sans-serif" w:hAnsi="Arial;sans-serif"/>
          <w:b w:val="false"/>
          <w:sz w:val="20"/>
        </w:rPr>
        <w:t>26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pPr>
      <w:r>
        <w:rPr>
          <w:rFonts w:ascii="Arial;sans-serif" w:hAnsi="Arial;sans-serif"/>
          <w:b w:val="false"/>
          <w:i/>
          <w:sz w:val="20"/>
        </w:rPr>
        <w:t>Revenue Less Ancillary Services -</w:t>
      </w:r>
      <w:r>
        <w:rPr/>
        <w:t xml:space="preserve"> </w:t>
      </w:r>
      <w:r>
        <w:rPr>
          <w:rFonts w:ascii="Arial;sans-serif" w:hAnsi="Arial;sans-serif"/>
          <w:b w:val="false"/>
          <w:sz w:val="20"/>
        </w:rPr>
        <w:t>Revenue Less Ancillary Services represents our consolidated revenue in accordance with GAAP less (i) pass-through cost for printing and mailing services and (ii) marketing fees. We exclude these amounts to arrive at this supplemental non-GAAP financial measure as we view these services as ancillary to the primary services we provide to our clients.</w:t>
      </w:r>
    </w:p>
    <w:p>
      <w:pPr>
        <w:pStyle w:val="TextBody"/>
        <w:spacing w:before="200" w:after="200"/>
        <w:jc w:val="left"/>
        <w:rPr/>
      </w:pPr>
      <w:r>
        <w:rPr/>
        <w:t>•</w:t>
      </w:r>
    </w:p>
    <w:p>
      <w:pPr>
        <w:pStyle w:val="TextBody"/>
        <w:spacing w:before="200" w:after="200"/>
        <w:jc w:val="left"/>
        <w:rPr/>
      </w:pPr>
      <w:r>
        <w:rPr>
          <w:rFonts w:ascii="Arial;sans-serif" w:hAnsi="Arial;sans-serif"/>
          <w:b w:val="false"/>
          <w:i/>
          <w:sz w:val="20"/>
        </w:rPr>
        <w:t xml:space="preserve">Revenue Less Ancillary Services at Constant Currency </w:t>
      </w:r>
      <w:r>
        <w:rPr>
          <w:rFonts w:ascii="Arial;sans-serif" w:hAnsi="Arial;sans-serif"/>
          <w:b w:val="false"/>
          <w:sz w:val="20"/>
        </w:rPr>
        <w:t>-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pStyle w:val="TextBody"/>
        <w:spacing w:before="200" w:after="200"/>
        <w:jc w:val="left"/>
        <w:rPr/>
      </w:pPr>
      <w:r>
        <w:rPr/>
        <w:t>•</w:t>
      </w:r>
    </w:p>
    <w:p>
      <w:pPr>
        <w:pStyle w:val="TextBody"/>
        <w:spacing w:before="200" w:after="200"/>
        <w:jc w:val="left"/>
        <w:rPr/>
      </w:pPr>
      <w:r>
        <w:rPr>
          <w:rFonts w:ascii="Arial;sans-serif" w:hAnsi="Arial;sans-serif"/>
          <w:b w:val="false"/>
          <w:i/>
          <w:sz w:val="20"/>
        </w:rPr>
        <w:t>Adjusted Gross Profit</w:t>
      </w:r>
      <w:r>
        <w:rPr/>
        <w:t xml:space="preserve"> </w:t>
      </w:r>
      <w:r>
        <w:rPr>
          <w:rFonts w:ascii="Arial;sans-serif" w:hAnsi="Arial;sans-serif"/>
          <w:b w:val="false"/>
          <w:sz w:val="20"/>
        </w:rPr>
        <w:t>-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pStyle w:val="TextBody"/>
        <w:spacing w:before="200" w:after="200"/>
        <w:jc w:val="left"/>
        <w:rPr/>
      </w:pPr>
      <w:r>
        <w:rPr/>
        <w:t>•</w:t>
      </w:r>
    </w:p>
    <w:p>
      <w:pPr>
        <w:pStyle w:val="TextBody"/>
        <w:spacing w:before="200" w:after="200"/>
        <w:jc w:val="left"/>
        <w:rPr/>
      </w:pPr>
      <w:r>
        <w:rPr>
          <w:rFonts w:ascii="Arial;sans-serif" w:hAnsi="Arial;sans-serif"/>
          <w:b w:val="false"/>
          <w:i/>
          <w:sz w:val="20"/>
        </w:rPr>
        <w:t xml:space="preserve">Adjusted Gross Margin </w:t>
      </w:r>
      <w:r>
        <w:rPr>
          <w:rFonts w:ascii="Arial;sans-serif" w:hAnsi="Arial;sans-serif"/>
          <w:b w:val="false"/>
          <w:sz w:val="20"/>
        </w:rPr>
        <w:t>- Adjusted Gross Margin represents Adjusted Gross Profit divided by Revenue Less Ancillary Services. Management believes this presentation supplements the GAAP presentation of gross margin with a useful measure of the gross margin of our payment-related services, which are the primary services we provide to our clients.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Our adjusted gross profit and adjusted gross margin for the three months ended March 31, 2022 were recast to conform to the updated methodology and are reflected herein for comparison purposes.</w:t>
      </w:r>
    </w:p>
    <w:p>
      <w:pPr>
        <w:pStyle w:val="TextBody"/>
        <w:spacing w:before="200" w:after="200"/>
        <w:jc w:val="left"/>
        <w:rPr/>
      </w:pPr>
      <w:r>
        <w:rPr/>
        <w:t>•</w:t>
      </w:r>
    </w:p>
    <w:p>
      <w:pPr>
        <w:pStyle w:val="TextBody"/>
        <w:spacing w:before="200" w:after="200"/>
        <w:jc w:val="left"/>
        <w:rPr/>
      </w:pPr>
      <w:r>
        <w:rPr>
          <w:rFonts w:ascii="Arial;sans-serif" w:hAnsi="Arial;sans-serif"/>
          <w:b w:val="false"/>
          <w:i/>
          <w:sz w:val="20"/>
        </w:rPr>
        <w:t xml:space="preserve">Adjusted EBITDA </w:t>
      </w:r>
      <w:r>
        <w:rPr>
          <w:rFonts w:ascii="Arial;sans-serif" w:hAnsi="Arial;sans-serif"/>
          <w:b w:val="false"/>
          <w:sz w:val="20"/>
        </w:rPr>
        <w:t>- Adjusted EBITDA represents EBITDA further adjusted by excluding (i) stock-based compensation expense and related payroll taxes, (ii) the impact from the change in fair value measurement for contingent consideration associated with acquisitions, (iii) interest income, (iv) gain (loss) from the remeasurement of foreign currency, (v) indirect taxes related to intercompany activity (vi) acquisition related transaction costs, if applicable and (vii) employee retention costs, such as incentive compensation, associated with acquisition activities. Management believes that the exclusion of these amounts to calculate Adjusted EBITDA provides useful measures for period-to-period comparisons of our business.</w:t>
      </w:r>
    </w:p>
    <w:p>
      <w:pPr>
        <w:pStyle w:val="TextBody"/>
        <w:spacing w:before="200" w:after="200"/>
        <w:jc w:val="left"/>
        <w:rPr>
          <w:rFonts w:ascii="Arial;sans-serif" w:hAnsi="Arial;sans-serif"/>
          <w:b w:val="false"/>
          <w:sz w:val="20"/>
        </w:rPr>
      </w:pPr>
      <w:r>
        <w:rPr>
          <w:rFonts w:ascii="Arial;sans-serif" w:hAnsi="Arial;sans-serif"/>
          <w:b w:val="false"/>
          <w:sz w:val="20"/>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pStyle w:val="TextBody"/>
        <w:spacing w:before="200" w:after="200"/>
        <w:jc w:val="left"/>
        <w:rPr>
          <w:rFonts w:ascii="Times New Roman" w:hAnsi="Times New Roman"/>
          <w:sz w:val="20"/>
        </w:rPr>
      </w:pPr>
      <w:r>
        <w:rPr>
          <w:rFonts w:ascii="Arial;sans-serif" w:hAnsi="Arial;sans-serif"/>
          <w:b/>
          <w:i/>
          <w:sz w:val="20"/>
        </w:rPr>
        <w:t>Reconciliations of Non-GAAP Financial Measures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tables below provide reconciliations of Revenue Less Ancillary Services, Revenue Less Ancillary Services at Constant Currency, Adjusted Gross Profit, Adjusted Gross Margin and Adjusted EBITDA to the most comparable GAAP figure on a consolidated basis for the periods presented.</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27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i/>
          <w:sz w:val="20"/>
        </w:rPr>
      </w:pPr>
      <w:r>
        <w:rPr>
          <w:rFonts w:ascii="Arial;sans-serif" w:hAnsi="Arial;sans-serif"/>
          <w:b w:val="false"/>
          <w:i/>
          <w:sz w:val="20"/>
        </w:rPr>
        <w:t>Revenue Less Ancillary Services, Adjusted Gross Profit and Adjusted Gross Margin:</w:t>
      </w:r>
    </w:p>
    <w:tbl>
      <w:tblPr>
        <w:tblW w:w="7941" w:type="dxa"/>
        <w:jc w:val="left"/>
        <w:tblInd w:w="0" w:type="dxa"/>
        <w:tblCellMar>
          <w:top w:w="28" w:type="dxa"/>
          <w:left w:w="28" w:type="dxa"/>
          <w:bottom w:w="28" w:type="dxa"/>
          <w:right w:w="28" w:type="dxa"/>
        </w:tblCellMar>
      </w:tblPr>
      <w:tblGrid>
        <w:gridCol w:w="4756"/>
        <w:gridCol w:w="146"/>
        <w:gridCol w:w="296"/>
        <w:gridCol w:w="675"/>
        <w:gridCol w:w="401"/>
        <w:gridCol w:w="205"/>
        <w:gridCol w:w="296"/>
        <w:gridCol w:w="675"/>
        <w:gridCol w:w="491"/>
      </w:tblGrid>
      <w:tr>
        <w:trPr/>
        <w:tc>
          <w:tcPr>
            <w:tcW w:w="4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shd w:fill="auto" w:val="clear"/>
            <w:vAlign w:val="center"/>
          </w:tcPr>
          <w:p>
            <w:pPr>
              <w:pStyle w:val="TableContents"/>
              <w:spacing w:before="0" w:after="0"/>
              <w:ind w:left="0" w:right="0" w:hanging="0"/>
              <w:jc w:val="center"/>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94.4</w:t>
            </w:r>
          </w:p>
        </w:tc>
        <w:tc>
          <w:tcPr>
            <w:tcW w:w="401"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64.6</w:t>
            </w:r>
          </w:p>
        </w:tc>
        <w:tc>
          <w:tcPr>
            <w:tcW w:w="4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to exclude gross up for:</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01" w:type="dxa"/>
            <w:tcBorders/>
            <w:shd w:fill="auto" w:val="clear"/>
            <w:vAlign w:val="center"/>
          </w:tcPr>
          <w:p>
            <w:pPr>
              <w:pStyle w:val="TableContents"/>
              <w:spacing w:before="0" w:after="0"/>
              <w:ind w:left="0" w:right="0" w:hanging="0"/>
              <w:jc w:val="righ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80"/>
              <w:jc w:val="right"/>
              <w:rPr/>
            </w:pPr>
            <w:r>
              <w:rPr/>
              <w:t> </w:t>
            </w:r>
          </w:p>
        </w:tc>
      </w:tr>
      <w:tr>
        <w:trPr/>
        <w:tc>
          <w:tcPr>
            <w:tcW w:w="47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Pass-through cost for printing and mailing</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7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Marketing fees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Less Ancillary Services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89.1</w:t>
            </w:r>
          </w:p>
        </w:tc>
        <w:tc>
          <w:tcPr>
            <w:tcW w:w="4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59.3</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Payment processing services costs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33.9</w:t>
            </w:r>
          </w:p>
        </w:tc>
        <w:tc>
          <w:tcPr>
            <w:tcW w:w="401"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24.3</w:t>
            </w:r>
          </w:p>
        </w:tc>
        <w:tc>
          <w:tcPr>
            <w:tcW w:w="4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Hosting and amortization costs within technology and</w:t>
              <w:br/>
              <w:t>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36.1</w:t>
            </w:r>
          </w:p>
        </w:tc>
        <w:tc>
          <w:tcPr>
            <w:tcW w:w="4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25.8</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to:</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01" w:type="dxa"/>
            <w:tcBorders/>
            <w:shd w:fill="auto" w:val="clear"/>
            <w:vAlign w:val="center"/>
          </w:tcPr>
          <w:p>
            <w:pPr>
              <w:pStyle w:val="TableContents"/>
              <w:spacing w:before="0" w:after="0"/>
              <w:ind w:left="0" w:right="0" w:hanging="0"/>
              <w:jc w:val="righ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80"/>
              <w:jc w:val="right"/>
              <w:rPr/>
            </w:pPr>
            <w:r>
              <w:rPr/>
              <w:t> </w:t>
            </w:r>
          </w:p>
        </w:tc>
      </w:tr>
      <w:tr>
        <w:trPr/>
        <w:tc>
          <w:tcPr>
            <w:tcW w:w="47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Exclude printing and mailing costs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7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Offset marketing fees against related costs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4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7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Exclude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Cost of 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29.2</w:t>
            </w:r>
          </w:p>
        </w:tc>
        <w:tc>
          <w:tcPr>
            <w:tcW w:w="401"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19.3</w:t>
            </w:r>
          </w:p>
        </w:tc>
        <w:tc>
          <w:tcPr>
            <w:tcW w:w="4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58.3</w:t>
            </w:r>
          </w:p>
        </w:tc>
        <w:tc>
          <w:tcPr>
            <w:tcW w:w="401"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38.8</w:t>
            </w:r>
          </w:p>
        </w:tc>
        <w:tc>
          <w:tcPr>
            <w:tcW w:w="4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61.8</w:t>
            </w:r>
          </w:p>
        </w:tc>
        <w:tc>
          <w:tcPr>
            <w:tcW w:w="4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60.1</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Profit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59.9</w:t>
            </w:r>
          </w:p>
        </w:tc>
        <w:tc>
          <w:tcPr>
            <w:tcW w:w="401"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40.0</w:t>
            </w:r>
          </w:p>
        </w:tc>
        <w:tc>
          <w:tcPr>
            <w:tcW w:w="4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Margin</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67.2</w:t>
            </w:r>
          </w:p>
        </w:tc>
        <w:tc>
          <w:tcPr>
            <w:tcW w:w="4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67.5</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tbl>
      <w:tblPr>
        <w:tblW w:w="10068" w:type="dxa"/>
        <w:jc w:val="left"/>
        <w:tblInd w:w="0" w:type="dxa"/>
        <w:tblCellMar>
          <w:top w:w="28" w:type="dxa"/>
          <w:left w:w="28" w:type="dxa"/>
          <w:bottom w:w="28" w:type="dxa"/>
          <w:right w:w="28" w:type="dxa"/>
        </w:tblCellMar>
      </w:tblPr>
      <w:tblGrid>
        <w:gridCol w:w="4276"/>
        <w:gridCol w:w="146"/>
        <w:gridCol w:w="320"/>
        <w:gridCol w:w="731"/>
        <w:gridCol w:w="286"/>
        <w:gridCol w:w="146"/>
        <w:gridCol w:w="452"/>
        <w:gridCol w:w="1033"/>
        <w:gridCol w:w="286"/>
        <w:gridCol w:w="146"/>
        <w:gridCol w:w="464"/>
        <w:gridCol w:w="1291"/>
        <w:gridCol w:w="49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Transaction</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Platform and</w:t>
              <w:br/>
              <w:t>Usage-Based Fee</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br/>
              <w:t>2023</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76.3</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18.1</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94.4</w:t>
            </w:r>
          </w:p>
        </w:tc>
        <w:tc>
          <w:tcPr>
            <w:tcW w:w="4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to exclude gross up for:</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5"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80"/>
              <w:jc w:val="right"/>
              <w:rPr/>
            </w:pPr>
            <w:r>
              <w:rPr/>
              <w:t> </w:t>
            </w:r>
          </w:p>
        </w:tc>
      </w:tr>
      <w:tr>
        <w:trPr/>
        <w:tc>
          <w:tcPr>
            <w:tcW w:w="427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Pass-through cost for printing and mailing</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pPr>
            <w:r>
              <w:rPr/>
              <w:t>—</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shd w:fill="auto" w:val="clear"/>
            <w:vAlign w:val="center"/>
          </w:tcPr>
          <w:p>
            <w:pPr>
              <w:pStyle w:val="TableContents"/>
              <w:spacing w:before="0" w:after="0"/>
              <w:ind w:left="0" w:right="0" w:hanging="0"/>
              <w:jc w:val="left"/>
              <w:rPr/>
            </w:pPr>
            <w:r>
              <w:rPr/>
              <w:t> </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27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Marketing fees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Less Ancillary Services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75.9</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13.2</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89.1</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Percentage of Revenue</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80.8</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shd w:fill="auto" w:val="clear"/>
            <w:vAlign w:val="center"/>
          </w:tcPr>
          <w:p>
            <w:pPr>
              <w:pStyle w:val="TableContents"/>
              <w:spacing w:before="0" w:after="0"/>
              <w:ind w:left="0" w:right="0" w:hanging="0"/>
              <w:jc w:val="left"/>
              <w:rPr/>
            </w:pPr>
            <w:r>
              <w:rPr/>
              <w:t> </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19.2</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Percentage of Revenue Less Ancillary Services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85.2</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shd w:fill="auto" w:val="clear"/>
            <w:vAlign w:val="center"/>
          </w:tcPr>
          <w:p>
            <w:pPr>
              <w:pStyle w:val="TableContents"/>
              <w:spacing w:before="0" w:after="0"/>
              <w:ind w:left="0" w:right="0" w:hanging="0"/>
              <w:jc w:val="left"/>
              <w:rPr/>
            </w:pPr>
            <w:r>
              <w:rPr/>
              <w:t> </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tbl>
      <w:tblPr>
        <w:tblW w:w="10068" w:type="dxa"/>
        <w:jc w:val="left"/>
        <w:tblInd w:w="0" w:type="dxa"/>
        <w:tblCellMar>
          <w:top w:w="28" w:type="dxa"/>
          <w:left w:w="28" w:type="dxa"/>
          <w:bottom w:w="28" w:type="dxa"/>
          <w:right w:w="28" w:type="dxa"/>
        </w:tblCellMar>
      </w:tblPr>
      <w:tblGrid>
        <w:gridCol w:w="4276"/>
        <w:gridCol w:w="146"/>
        <w:gridCol w:w="320"/>
        <w:gridCol w:w="731"/>
        <w:gridCol w:w="286"/>
        <w:gridCol w:w="146"/>
        <w:gridCol w:w="452"/>
        <w:gridCol w:w="1033"/>
        <w:gridCol w:w="286"/>
        <w:gridCol w:w="146"/>
        <w:gridCol w:w="464"/>
        <w:gridCol w:w="1291"/>
        <w:gridCol w:w="49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Transaction</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Platform and</w:t>
              <w:br/>
              <w:t>Usage-Based Fee</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b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48.7</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5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15.9</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64.6</w:t>
            </w:r>
          </w:p>
        </w:tc>
        <w:tc>
          <w:tcPr>
            <w:tcW w:w="4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to exclude gross up for:</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5"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80"/>
              <w:jc w:val="right"/>
              <w:rPr/>
            </w:pPr>
            <w:r>
              <w:rPr/>
              <w:t> </w:t>
            </w:r>
          </w:p>
        </w:tc>
      </w:tr>
      <w:tr>
        <w:trPr/>
        <w:tc>
          <w:tcPr>
            <w:tcW w:w="427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Pass-through cost for printing and mailing</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pPr>
            <w:r>
              <w:rPr/>
              <w:t>—</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shd w:fill="auto" w:val="clear"/>
            <w:vAlign w:val="center"/>
          </w:tcPr>
          <w:p>
            <w:pPr>
              <w:pStyle w:val="TableContents"/>
              <w:spacing w:before="0" w:after="0"/>
              <w:ind w:left="0" w:right="0" w:hanging="0"/>
              <w:jc w:val="left"/>
              <w:rPr/>
            </w:pPr>
            <w:r>
              <w:rPr/>
              <w:t> </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27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Marketing fees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Less Ancillary Services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48.3</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11.0</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59.3</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Percentage of Revenue</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75.4</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shd w:fill="auto" w:val="clear"/>
            <w:vAlign w:val="center"/>
          </w:tcPr>
          <w:p>
            <w:pPr>
              <w:pStyle w:val="TableContents"/>
              <w:spacing w:before="0" w:after="0"/>
              <w:ind w:left="0" w:right="0" w:hanging="0"/>
              <w:jc w:val="left"/>
              <w:rPr/>
            </w:pPr>
            <w:r>
              <w:rPr/>
              <w:t> </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24.6</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Percentage of Revenue Less Ancillary Services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81.5</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2" w:type="dxa"/>
            <w:tcBorders/>
            <w:shd w:fill="auto" w:val="clear"/>
            <w:vAlign w:val="center"/>
          </w:tcPr>
          <w:p>
            <w:pPr>
              <w:pStyle w:val="TableContents"/>
              <w:spacing w:before="0" w:after="0"/>
              <w:ind w:left="0" w:right="0" w:hanging="0"/>
              <w:jc w:val="left"/>
              <w:rPr/>
            </w:pPr>
            <w:r>
              <w:rPr/>
              <w:t> </w:t>
            </w:r>
          </w:p>
        </w:tc>
        <w:tc>
          <w:tcPr>
            <w:tcW w:w="103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18.5</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200" w:after="200"/>
        <w:jc w:val="left"/>
        <w:rPr>
          <w:rFonts w:ascii="Arial;sans-serif" w:hAnsi="Arial;sans-serif"/>
          <w:b w:val="false"/>
          <w:i/>
          <w:sz w:val="20"/>
        </w:rPr>
      </w:pPr>
      <w:r>
        <w:rPr>
          <w:rFonts w:ascii="Arial;sans-serif" w:hAnsi="Arial;sans-serif"/>
          <w:b w:val="false"/>
          <w:i/>
          <w:sz w:val="20"/>
        </w:rPr>
        <w:t>Revenue Less Ancillary Services at Constant Currency:</w:t>
      </w:r>
    </w:p>
    <w:tbl>
      <w:tblPr>
        <w:tblW w:w="9353" w:type="dxa"/>
        <w:jc w:val="left"/>
        <w:tblInd w:w="0" w:type="dxa"/>
        <w:tblCellMar>
          <w:top w:w="28" w:type="dxa"/>
          <w:left w:w="28" w:type="dxa"/>
          <w:bottom w:w="28" w:type="dxa"/>
          <w:right w:w="28" w:type="dxa"/>
        </w:tblCellMar>
      </w:tblPr>
      <w:tblGrid>
        <w:gridCol w:w="4906"/>
        <w:gridCol w:w="146"/>
        <w:gridCol w:w="317"/>
        <w:gridCol w:w="723"/>
        <w:gridCol w:w="249"/>
        <w:gridCol w:w="219"/>
        <w:gridCol w:w="317"/>
        <w:gridCol w:w="723"/>
        <w:gridCol w:w="166"/>
        <w:gridCol w:w="146"/>
        <w:gridCol w:w="258"/>
        <w:gridCol w:w="852"/>
        <w:gridCol w:w="331"/>
      </w:tblGrid>
      <w:tr>
        <w:trPr/>
        <w:tc>
          <w:tcPr>
            <w:tcW w:w="4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49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Growth Rate</w:t>
            </w:r>
          </w:p>
        </w:tc>
        <w:tc>
          <w:tcPr>
            <w:tcW w:w="331" w:type="dxa"/>
            <w:tcBorders/>
            <w:shd w:fill="auto" w:val="clear"/>
            <w:vAlign w:val="center"/>
          </w:tcPr>
          <w:p>
            <w:pPr>
              <w:pStyle w:val="TableContents"/>
              <w:spacing w:before="0" w:after="0"/>
              <w:ind w:left="0" w:right="0" w:hanging="0"/>
              <w:jc w:val="center"/>
              <w:rPr/>
            </w:pPr>
            <w:r>
              <w:rPr/>
              <w:t> </w:t>
            </w:r>
          </w:p>
        </w:tc>
      </w:tr>
      <w:tr>
        <w:trPr/>
        <w:tc>
          <w:tcPr>
            <w:tcW w:w="4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94.4</w:t>
            </w:r>
          </w:p>
        </w:tc>
        <w:tc>
          <w:tcPr>
            <w:tcW w:w="249"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46.1</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Ancillary services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Less Ancillary Services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89.1</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50.3</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Effects of foreign currency rate fluctuations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Less Ancillary Services at Constant Currency</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92.9</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56.7</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0"/>
        <w:jc w:val="center"/>
        <w:rPr>
          <w:rFonts w:ascii="Arial;sans-serif" w:hAnsi="Arial;sans-serif"/>
          <w:b w:val="false"/>
          <w:sz w:val="20"/>
        </w:rPr>
      </w:pPr>
      <w:r>
        <w:rPr>
          <w:rFonts w:ascii="Arial;sans-serif" w:hAnsi="Arial;sans-serif"/>
          <w:b w:val="false"/>
          <w:sz w:val="20"/>
        </w:rPr>
        <w:t>28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i/>
          <w:sz w:val="20"/>
        </w:rPr>
        <w:t>EBITDA and Adjusted EBITDA:</w:t>
      </w:r>
      <w:r>
        <w:rPr>
          <w:rFonts w:ascii="Times New Roman" w:hAnsi="Times New Roman"/>
          <w:sz w:val="20"/>
        </w:rPr>
        <w:t xml:space="preserve"> </w:t>
      </w:r>
    </w:p>
    <w:tbl>
      <w:tblPr>
        <w:tblW w:w="7751" w:type="dxa"/>
        <w:jc w:val="left"/>
        <w:tblInd w:w="0" w:type="dxa"/>
        <w:tblCellMar>
          <w:top w:w="28" w:type="dxa"/>
          <w:left w:w="28" w:type="dxa"/>
          <w:bottom w:w="28" w:type="dxa"/>
          <w:right w:w="28" w:type="dxa"/>
        </w:tblCellMar>
      </w:tblPr>
      <w:tblGrid>
        <w:gridCol w:w="4846"/>
        <w:gridCol w:w="146"/>
        <w:gridCol w:w="314"/>
        <w:gridCol w:w="650"/>
        <w:gridCol w:w="247"/>
        <w:gridCol w:w="217"/>
        <w:gridCol w:w="314"/>
        <w:gridCol w:w="806"/>
        <w:gridCol w:w="211"/>
      </w:tblGrid>
      <w:tr>
        <w:trPr/>
        <w:tc>
          <w:tcPr>
            <w:tcW w:w="4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8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center"/>
              <w:rPr/>
            </w:pPr>
            <w:r>
              <w:rPr/>
              <w:t> </w:t>
            </w:r>
          </w:p>
        </w:tc>
        <w:tc>
          <w:tcPr>
            <w:tcW w:w="11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24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0.2</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0.5</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EBITDA</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Stock-based compensation expense and related taxes</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Change in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24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(Gain) loss from remeasurement of foreign currency</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24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Indirect taxes related to intercompany activity</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Acquisition related employee retention costs </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Arial" w:hAnsi="Arial"/>
          <w:b w:val="false"/>
          <w:sz w:val="16"/>
        </w:rPr>
      </w:pPr>
      <w:r>
        <w:rPr>
          <w:rFonts w:ascii="Arial" w:hAnsi="Arial"/>
          <w:b w:val="false"/>
          <w:sz w:val="16"/>
        </w:rPr>
        <w:t>(1)</w:t>
      </w:r>
    </w:p>
    <w:p>
      <w:pPr>
        <w:pStyle w:val="TextBody"/>
        <w:jc w:val="left"/>
        <w:rPr>
          <w:rFonts w:ascii="Arial;sans-serif" w:hAnsi="Arial;sans-serif"/>
          <w:b w:val="false"/>
          <w:sz w:val="16"/>
        </w:rPr>
      </w:pPr>
      <w:r>
        <w:rPr>
          <w:rFonts w:ascii="Arial;sans-serif" w:hAnsi="Arial;sans-serif"/>
          <w:b w:val="false"/>
          <w:sz w:val="16"/>
        </w:rPr>
        <w:t xml:space="preserve">Acquisition related employee retention costs consisted of costs incurred to retain and compensate WPM’s employees in connection with integration of the business. </w:t>
      </w:r>
    </w:p>
    <w:p>
      <w:pPr>
        <w:pStyle w:val="TextBody"/>
        <w:spacing w:before="200" w:after="200"/>
        <w:jc w:val="left"/>
        <w:rPr>
          <w:rFonts w:ascii="Times New Roman" w:hAnsi="Times New Roman"/>
          <w:sz w:val="20"/>
        </w:rPr>
      </w:pPr>
      <w:r>
        <w:rPr>
          <w:rFonts w:ascii="Arial;sans-serif" w:hAnsi="Arial;sans-serif"/>
          <w:b/>
          <w:sz w:val="20"/>
        </w:rPr>
        <w:t>Key Factors Affecting Our Performance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Increased Utilization by Our Clients and Their Customers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pStyle w:val="TextBody"/>
        <w:spacing w:before="200" w:after="200"/>
        <w:jc w:val="left"/>
        <w:rPr>
          <w:rFonts w:ascii="Times New Roman" w:hAnsi="Times New Roman"/>
          <w:sz w:val="20"/>
        </w:rPr>
      </w:pPr>
      <w:r>
        <w:rPr>
          <w:rFonts w:ascii="Arial;sans-serif" w:hAnsi="Arial;sans-serif"/>
          <w:b/>
          <w:i/>
          <w:sz w:val="20"/>
        </w:rPr>
        <w:t>Mix of Business on Our Platform</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pStyle w:val="TextBody"/>
        <w:spacing w:before="200" w:after="200"/>
        <w:jc w:val="left"/>
        <w:rPr>
          <w:rFonts w:ascii="Times New Roman" w:hAnsi="Times New Roman"/>
          <w:sz w:val="20"/>
        </w:rPr>
      </w:pPr>
      <w:r>
        <w:rPr>
          <w:rFonts w:ascii="Arial;sans-serif" w:hAnsi="Arial;sans-serif"/>
          <w:b/>
          <w:i/>
          <w:sz w:val="20"/>
        </w:rPr>
        <w:t>Investment in Technology and Development and Sales and Marketing</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pStyle w:val="TextBody"/>
        <w:spacing w:before="200" w:after="200"/>
        <w:jc w:val="left"/>
        <w:rPr>
          <w:rFonts w:ascii="Arial;sans-serif" w:hAnsi="Arial;sans-serif"/>
          <w:b w:val="false"/>
          <w:sz w:val="20"/>
        </w:rPr>
      </w:pPr>
      <w:r>
        <w:rPr>
          <w:rFonts w:ascii="Arial;sans-serif" w:hAnsi="Arial;sans-serif"/>
          <w:b w:val="false"/>
          <w:sz w:val="20"/>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pStyle w:val="TextBody"/>
        <w:spacing w:before="0" w:after="0"/>
        <w:jc w:val="center"/>
        <w:rPr>
          <w:rFonts w:ascii="Arial;sans-serif" w:hAnsi="Arial;sans-serif"/>
          <w:b w:val="false"/>
          <w:sz w:val="20"/>
        </w:rPr>
      </w:pPr>
      <w:r>
        <w:rPr>
          <w:rFonts w:ascii="Arial;sans-serif" w:hAnsi="Arial;sans-serif"/>
          <w:b w:val="false"/>
          <w:sz w:val="20"/>
        </w:rPr>
        <w:t>29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Seasonality</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pStyle w:val="TextBody"/>
        <w:spacing w:before="200" w:after="200"/>
        <w:jc w:val="left"/>
        <w:rPr>
          <w:rFonts w:ascii="Times New Roman" w:hAnsi="Times New Roman"/>
          <w:sz w:val="20"/>
        </w:rPr>
      </w:pPr>
      <w:r>
        <w:rPr>
          <w:rFonts w:ascii="Arial;sans-serif" w:hAnsi="Arial;sans-serif"/>
          <w:b/>
          <w:i/>
          <w:sz w:val="20"/>
        </w:rPr>
        <w:t>Economic Conditions and Resulting Consumer Spending Trends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Changes in macro-level consumer spending for education, healthcare and travel trends, including as a result of COVID-19 pandemic, inflation or fluctuations in foreign exchange rates could affect the amounts of volumes processed on our platform, thus resulting in fluctuations to our revenue streams.</w:t>
      </w:r>
    </w:p>
    <w:p>
      <w:pPr>
        <w:pStyle w:val="TextBody"/>
        <w:spacing w:before="200" w:after="200"/>
        <w:jc w:val="left"/>
        <w:rPr>
          <w:rFonts w:ascii="Arial;sans-serif" w:hAnsi="Arial;sans-serif"/>
          <w:b/>
          <w:i/>
          <w:sz w:val="20"/>
        </w:rPr>
      </w:pPr>
      <w:r>
        <w:rPr>
          <w:rFonts w:ascii="Arial;sans-serif" w:hAnsi="Arial;sans-serif"/>
          <w:b/>
          <w:i/>
          <w:sz w:val="20"/>
        </w:rPr>
        <w:t>Impact of the Conflict between Russia and Ukraine</w:t>
      </w:r>
    </w:p>
    <w:p>
      <w:pPr>
        <w:pStyle w:val="TextBody"/>
        <w:spacing w:before="200" w:after="200"/>
        <w:jc w:val="left"/>
        <w:rPr>
          <w:rFonts w:ascii="Arial;sans-serif" w:hAnsi="Arial;sans-serif"/>
          <w:b w:val="false"/>
          <w:sz w:val="20"/>
        </w:rPr>
      </w:pPr>
      <w:r>
        <w:rPr>
          <w:rFonts w:ascii="Arial;sans-serif" w:hAnsi="Arial;sans-serif"/>
          <w:b w:val="false"/>
          <w:sz w:val="20"/>
        </w:rPr>
        <w:t>We do not have any operations, including long-lived assets, in Ukraine or Russia, and to our knowledge, our clients do not receive material amounts of payments from payers in these regions. We are actively monitoring the situation in Ukraine and assessing its impact on our business, but as of the issuance date of these condensed consolidated financial statements, the current conflict between Russia and Ukraine has not had a material impact on the Company’s revenue, results of operations or financial position. However, we have no way to predict the progress or outcome of the conflict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w:t>
      </w:r>
    </w:p>
    <w:p>
      <w:pPr>
        <w:pStyle w:val="TextBody"/>
        <w:spacing w:before="200" w:after="200"/>
        <w:jc w:val="left"/>
        <w:rPr>
          <w:rFonts w:ascii="Arial;sans-serif" w:hAnsi="Arial;sans-serif"/>
          <w:b w:val="false"/>
          <w:sz w:val="20"/>
        </w:rPr>
      </w:pPr>
      <w:r>
        <w:rPr>
          <w:rFonts w:ascii="Arial;sans-serif" w:hAnsi="Arial;sans-serif"/>
          <w:b w:val="false"/>
          <w:sz w:val="20"/>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pStyle w:val="TextBody"/>
        <w:spacing w:before="200" w:after="200"/>
        <w:jc w:val="left"/>
        <w:rPr>
          <w:rFonts w:ascii="Arial;sans-serif" w:hAnsi="Arial;sans-serif"/>
          <w:b/>
          <w:i/>
          <w:sz w:val="20"/>
        </w:rPr>
      </w:pPr>
      <w:r>
        <w:rPr>
          <w:rFonts w:ascii="Arial;sans-serif" w:hAnsi="Arial;sans-serif"/>
          <w:b/>
          <w:i/>
          <w:sz w:val="20"/>
        </w:rPr>
        <w:t>Impact of Inflation</w:t>
      </w:r>
    </w:p>
    <w:p>
      <w:pPr>
        <w:pStyle w:val="TextBody"/>
        <w:spacing w:before="200" w:after="200"/>
        <w:jc w:val="left"/>
        <w:rPr>
          <w:rFonts w:ascii="Arial;sans-serif" w:hAnsi="Arial;sans-serif"/>
          <w:b w:val="false"/>
          <w:sz w:val="20"/>
        </w:rPr>
      </w:pPr>
      <w:r>
        <w:rPr>
          <w:rFonts w:ascii="Arial;sans-serif" w:hAnsi="Arial;sans-serif"/>
          <w:b w:val="false"/>
          <w:sz w:val="20"/>
        </w:rPr>
        <w:t>We do not believe that inflation had a material effect on our cash flows and results of operations during the three months ended March 31, 2023.</w:t>
      </w:r>
    </w:p>
    <w:p>
      <w:pPr>
        <w:pStyle w:val="TextBody"/>
        <w:spacing w:before="200" w:after="200"/>
        <w:jc w:val="left"/>
        <w:rPr>
          <w:rFonts w:ascii="Times New Roman" w:hAnsi="Times New Roman"/>
          <w:sz w:val="20"/>
        </w:rPr>
      </w:pPr>
      <w:r>
        <w:rPr>
          <w:rFonts w:ascii="Arial;sans-serif" w:hAnsi="Arial;sans-serif"/>
          <w:b/>
          <w:i/>
          <w:sz w:val="20"/>
        </w:rPr>
        <w:t>Diversified Mix of Clients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We have a wide range of clients across education, healthcare, travel and B2B. Following the onset of the COVID-19 pandemic, there was a temporary deceleration of payment volumes and revenue from education clients relying on international enrollments due to the uncertainty of borders re-opening. Since 2021, borders have continued to open allowing for an increase in international students to attend education clients. We expect this trend to continue throughout the year for our education clients, although ongoing COVID-19 related restrictions in China have slowed the growth of Chinese students studying in the U.S. and may have resulted in changes in Chinese student education destinations. Additionally, the opening of borders and abatement of COVID-19 restrictions has increased travel abroad and we expect travel to continue to return to pre-pandemic levels.</w:t>
      </w:r>
    </w:p>
    <w:p>
      <w:pPr>
        <w:pStyle w:val="TextBody"/>
        <w:spacing w:before="200" w:after="200"/>
        <w:jc w:val="left"/>
        <w:rPr>
          <w:rFonts w:ascii="Times New Roman" w:hAnsi="Times New Roman"/>
          <w:sz w:val="20"/>
        </w:rPr>
      </w:pPr>
      <w:r>
        <w:rPr>
          <w:rFonts w:ascii="Arial;sans-serif" w:hAnsi="Arial;sans-serif"/>
          <w:b/>
          <w:i/>
          <w:sz w:val="20"/>
        </w:rPr>
        <w:t>Dynamic Changes to Client Communication and Product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pStyle w:val="TextBody"/>
        <w:spacing w:before="200" w:after="200"/>
        <w:jc w:val="left"/>
        <w:rPr>
          <w:rFonts w:ascii="Times New Roman" w:hAnsi="Times New Roman"/>
          <w:sz w:val="20"/>
        </w:rPr>
      </w:pPr>
      <w:r>
        <w:rPr>
          <w:rFonts w:ascii="Arial;sans-serif" w:hAnsi="Arial;sans-serif"/>
          <w:b/>
          <w:i/>
          <w:sz w:val="20"/>
        </w:rPr>
        <w:t>Business Continuity</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From July 2020 through March 31, 2023, our workforce increased by approximately 125% in order to meet the demand of client growth and life as a public company with the goal of ensuring continuity and growth. As vaccination rates have increased, our offices have reopened, although FlyMates have the flexibility to work remotely.</w:t>
      </w:r>
    </w:p>
    <w:p>
      <w:pPr>
        <w:pStyle w:val="TextBody"/>
        <w:spacing w:before="200" w:after="200"/>
        <w:jc w:val="left"/>
        <w:rPr>
          <w:rFonts w:ascii="Times New Roman" w:hAnsi="Times New Roman"/>
          <w:sz w:val="20"/>
        </w:rPr>
      </w:pPr>
      <w:r>
        <w:rPr>
          <w:rFonts w:ascii="Arial;sans-serif" w:hAnsi="Arial;sans-serif"/>
          <w:b/>
          <w:sz w:val="20"/>
        </w:rPr>
        <w:t>Components of 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Revenue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generate revenue from transactions and platform and usage-based fees as described below.</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i/>
          <w:sz w:val="20"/>
        </w:rPr>
        <w:t>Transaction Revenue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pStyle w:val="TextBody"/>
        <w:spacing w:before="200" w:after="200"/>
        <w:jc w:val="left"/>
        <w:rPr>
          <w:rFonts w:ascii="Arial;sans-serif" w:hAnsi="Arial;sans-serif"/>
          <w:b w:val="false"/>
          <w:sz w:val="20"/>
        </w:rPr>
      </w:pPr>
      <w:r>
        <w:rPr>
          <w:rFonts w:ascii="Arial;sans-serif" w:hAnsi="Arial;sans-serif"/>
          <w:b w:val="false"/>
          <w:sz w:val="20"/>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pStyle w:val="TextBody"/>
        <w:spacing w:before="200" w:after="200"/>
        <w:jc w:val="left"/>
        <w:rPr>
          <w:rFonts w:ascii="Times New Roman" w:hAnsi="Times New Roman"/>
          <w:sz w:val="20"/>
        </w:rPr>
      </w:pPr>
      <w:r>
        <w:rPr>
          <w:rFonts w:ascii="Arial;sans-serif" w:hAnsi="Arial;sans-serif"/>
          <w:b w:val="false"/>
          <w:i/>
          <w:sz w:val="20"/>
        </w:rPr>
        <w:t>Platform and Usage-Based Fee Revenue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pStyle w:val="TextBody"/>
        <w:spacing w:before="200" w:after="200"/>
        <w:jc w:val="left"/>
        <w:rPr>
          <w:rFonts w:ascii="Arial;sans-serif" w:hAnsi="Arial;sans-serif"/>
          <w:b w:val="false"/>
          <w:sz w:val="20"/>
        </w:rPr>
      </w:pPr>
      <w:r>
        <w:rPr>
          <w:rFonts w:ascii="Arial;sans-serif" w:hAnsi="Arial;sans-serif"/>
          <w:b w:val="false"/>
          <w:sz w:val="20"/>
        </w:rPr>
        <w:t>Our insurance offering provides students a platform which enables them to compare, select and purchase the mandated health insurance coverage needed. We earn a commission from insurance providers when a student purchases an insurance policy as well as consideration from the student in the form of a markup on the foreign exchange rate.</w:t>
      </w:r>
    </w:p>
    <w:p>
      <w:pPr>
        <w:pStyle w:val="TextBody"/>
        <w:spacing w:before="200" w:after="200"/>
        <w:jc w:val="left"/>
        <w:rPr>
          <w:rFonts w:ascii="Times New Roman" w:hAnsi="Times New Roman"/>
          <w:sz w:val="20"/>
        </w:rPr>
      </w:pPr>
      <w:r>
        <w:rPr>
          <w:rFonts w:ascii="Arial;sans-serif" w:hAnsi="Arial;sans-serif"/>
          <w:b/>
          <w:i/>
          <w:sz w:val="20"/>
        </w:rPr>
        <w:t>Payment Processing Services Costs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pStyle w:val="TextBody"/>
        <w:spacing w:before="0" w:after="0"/>
        <w:jc w:val="center"/>
        <w:rPr>
          <w:rFonts w:ascii="Arial;sans-serif" w:hAnsi="Arial;sans-serif"/>
          <w:b w:val="false"/>
          <w:sz w:val="20"/>
        </w:rPr>
      </w:pPr>
      <w:r>
        <w:rPr>
          <w:rFonts w:ascii="Arial;sans-serif" w:hAnsi="Arial;sans-serif"/>
          <w:b w:val="false"/>
          <w:sz w:val="20"/>
        </w:rPr>
        <w:t>31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Technology and Development</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pStyle w:val="TextBody"/>
        <w:spacing w:before="200" w:after="200"/>
        <w:jc w:val="left"/>
        <w:rPr>
          <w:rFonts w:ascii="Arial;sans-serif" w:hAnsi="Arial;sans-serif"/>
          <w:b w:val="false"/>
          <w:sz w:val="20"/>
        </w:rPr>
      </w:pPr>
      <w:r>
        <w:rPr>
          <w:rFonts w:ascii="Arial;sans-serif" w:hAnsi="Arial;sans-serif"/>
          <w:b w:val="false"/>
          <w:sz w:val="20"/>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pStyle w:val="TextBody"/>
        <w:spacing w:before="200" w:after="200"/>
        <w:jc w:val="left"/>
        <w:rPr>
          <w:rFonts w:ascii="Times New Roman" w:hAnsi="Times New Roman"/>
          <w:sz w:val="20"/>
        </w:rPr>
      </w:pPr>
      <w:r>
        <w:rPr>
          <w:rFonts w:ascii="Arial;sans-serif" w:hAnsi="Arial;sans-serif"/>
          <w:b/>
          <w:i/>
          <w:sz w:val="20"/>
        </w:rPr>
        <w:t>Selling and Marketing</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pStyle w:val="TextBody"/>
        <w:spacing w:before="200" w:after="200"/>
        <w:jc w:val="left"/>
        <w:rPr>
          <w:rFonts w:ascii="Arial;sans-serif" w:hAnsi="Arial;sans-serif"/>
          <w:b w:val="false"/>
          <w:sz w:val="20"/>
        </w:rPr>
      </w:pPr>
      <w:r>
        <w:rPr>
          <w:rFonts w:ascii="Arial;sans-serif" w:hAnsi="Arial;sans-serif"/>
          <w:b w:val="false"/>
          <w:sz w:val="20"/>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pStyle w:val="TextBody"/>
        <w:spacing w:before="200" w:after="200"/>
        <w:jc w:val="left"/>
        <w:rPr>
          <w:rFonts w:ascii="Times New Roman" w:hAnsi="Times New Roman"/>
          <w:sz w:val="20"/>
        </w:rPr>
      </w:pPr>
      <w:r>
        <w:rPr>
          <w:rFonts w:ascii="Arial;sans-serif" w:hAnsi="Arial;sans-serif"/>
          <w:b/>
          <w:i/>
          <w:sz w:val="20"/>
        </w:rPr>
        <w:t>General and Administrative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pStyle w:val="TextBody"/>
        <w:spacing w:before="200" w:after="200"/>
        <w:jc w:val="left"/>
        <w:rPr>
          <w:rFonts w:ascii="Times New Roman" w:hAnsi="Times New Roman"/>
          <w:sz w:val="20"/>
        </w:rPr>
      </w:pPr>
      <w:r>
        <w:rPr>
          <w:rFonts w:ascii="Arial;sans-serif" w:hAnsi="Arial;sans-serif"/>
          <w:b/>
          <w:i/>
          <w:sz w:val="20"/>
        </w:rPr>
        <w:t>Interest Expense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Interest expense consists of interest on our Revolving Credit Facility, interest on ROU assets and amortization of debt issuance cost and debt discount from our previous LSA. On July 29, 2021, we entered into a $50.0 million Revolving Credit Facility. We drew $25.9 million on the Revolving Credit Facility and used the proceeds to prepay our then existing LSA. On October 28, 2022, we repaid the $25.9 million outstanding under the Revolving Credit Facility. As a result, we continue to have access to a total commitment of $50.0 million under the Revolving Credit Facility. The Revolving Credit Facility has an adjustable rate of interest based on the type of loan requested, either at an annual rate based on the ABR, which references the prime rate plus an applicable rate or LIBO Rate plus an applicable rate. Loans based on ABR bear interest at a rate between ABR plus 0.75% and ABR plus 1.25%, and loans based on LIBO Rate bear interest at a rate between LIBO Rate plus 1.75% and LIBO Rate plus 2.25%, depending on our liquidity.</w:t>
      </w:r>
    </w:p>
    <w:p>
      <w:pPr>
        <w:pStyle w:val="TextBody"/>
        <w:spacing w:before="200" w:after="200"/>
        <w:jc w:val="left"/>
        <w:rPr>
          <w:rFonts w:ascii="Arial;sans-serif" w:hAnsi="Arial;sans-serif"/>
          <w:b/>
          <w:i/>
          <w:sz w:val="20"/>
        </w:rPr>
      </w:pPr>
      <w:r>
        <w:rPr>
          <w:rFonts w:ascii="Arial;sans-serif" w:hAnsi="Arial;sans-serif"/>
          <w:b/>
          <w:i/>
          <w:sz w:val="20"/>
        </w:rPr>
        <w:t>Interest Income</w:t>
      </w:r>
    </w:p>
    <w:p>
      <w:pPr>
        <w:pStyle w:val="TextBody"/>
        <w:spacing w:before="200" w:after="200"/>
        <w:jc w:val="left"/>
        <w:rPr>
          <w:rFonts w:ascii="Arial;sans-serif" w:hAnsi="Arial;sans-serif"/>
          <w:b w:val="false"/>
          <w:sz w:val="20"/>
        </w:rPr>
      </w:pPr>
      <w:r>
        <w:rPr>
          <w:rFonts w:ascii="Arial;sans-serif" w:hAnsi="Arial;sans-serif"/>
          <w:b w:val="false"/>
          <w:sz w:val="20"/>
        </w:rPr>
        <w:t>Interest income consists of income on cash held in interest bearing accounts, including money market funds.</w:t>
      </w:r>
    </w:p>
    <w:p>
      <w:pPr>
        <w:pStyle w:val="TextBody"/>
        <w:spacing w:before="200" w:after="200"/>
        <w:jc w:val="left"/>
        <w:rPr>
          <w:rFonts w:ascii="Arial;sans-serif" w:hAnsi="Arial;sans-serif"/>
          <w:b/>
          <w:i/>
          <w:sz w:val="20"/>
        </w:rPr>
      </w:pPr>
      <w:r>
        <w:rPr>
          <w:rFonts w:ascii="Arial;sans-serif" w:hAnsi="Arial;sans-serif"/>
          <w:b/>
          <w:i/>
          <w:sz w:val="20"/>
        </w:rPr>
        <w:t>Gain (loss) from Remeasurement of Foreign Currency</w:t>
      </w:r>
    </w:p>
    <w:p>
      <w:pPr>
        <w:pStyle w:val="TextBody"/>
        <w:spacing w:before="200" w:after="200"/>
        <w:jc w:val="left"/>
        <w:rPr>
          <w:rFonts w:ascii="Arial;sans-serif" w:hAnsi="Arial;sans-serif"/>
          <w:b w:val="false"/>
          <w:sz w:val="20"/>
        </w:rPr>
      </w:pPr>
      <w:r>
        <w:rPr>
          <w:rFonts w:ascii="Arial;sans-serif" w:hAnsi="Arial;sans-serif"/>
          <w:b w:val="false"/>
          <w:sz w:val="20"/>
        </w:rPr>
        <w:t>Gain (loss) from remeasurement of foreign currency consists of gains and losses from the remeasurement of foreign currency transactions into its functional currency.</w:t>
      </w:r>
    </w:p>
    <w:p>
      <w:pPr>
        <w:pStyle w:val="TextBody"/>
        <w:spacing w:before="0" w:after="0"/>
        <w:jc w:val="center"/>
        <w:rPr>
          <w:rFonts w:ascii="Arial;sans-serif" w:hAnsi="Arial;sans-serif"/>
          <w:b w:val="false"/>
          <w:sz w:val="20"/>
        </w:rPr>
      </w:pPr>
      <w:r>
        <w:rPr>
          <w:rFonts w:ascii="Arial;sans-serif" w:hAnsi="Arial;sans-serif"/>
          <w:b w:val="false"/>
          <w:sz w:val="20"/>
        </w:rPr>
        <w:t>32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i/>
          <w:sz w:val="20"/>
        </w:rPr>
      </w:pPr>
      <w:r>
        <w:rPr>
          <w:rFonts w:ascii="Arial;sans-serif" w:hAnsi="Arial;sans-serif"/>
          <w:b/>
          <w:i/>
          <w:sz w:val="20"/>
        </w:rPr>
        <w:t>Provision for Income Tax</w:t>
      </w:r>
    </w:p>
    <w:p>
      <w:pPr>
        <w:pStyle w:val="TextBody"/>
        <w:spacing w:before="200" w:after="200"/>
        <w:jc w:val="left"/>
        <w:rPr>
          <w:rFonts w:ascii="Arial;sans-serif" w:hAnsi="Arial;sans-serif"/>
          <w:b w:val="false"/>
          <w:sz w:val="20"/>
        </w:rPr>
      </w:pPr>
      <w:r>
        <w:rPr>
          <w:rFonts w:ascii="Arial;sans-serif" w:hAnsi="Arial;sans-serif"/>
          <w:b w:val="false"/>
          <w:sz w:val="20"/>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pStyle w:val="TextBody"/>
        <w:spacing w:before="200" w:after="200"/>
        <w:jc w:val="left"/>
        <w:rPr>
          <w:rFonts w:ascii="Arial;sans-serif" w:hAnsi="Arial;sans-serif"/>
          <w:b w:val="false"/>
          <w:sz w:val="20"/>
        </w:rPr>
      </w:pPr>
      <w:r>
        <w:rPr>
          <w:rFonts w:ascii="Arial;sans-serif" w:hAnsi="Arial;sans-serif"/>
          <w:b w:val="false"/>
          <w:sz w:val="20"/>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pStyle w:val="TextBody"/>
        <w:spacing w:before="200" w:after="200"/>
        <w:jc w:val="left"/>
        <w:rPr>
          <w:rFonts w:ascii="Times New Roman" w:hAnsi="Times New Roman"/>
          <w:sz w:val="20"/>
        </w:rPr>
      </w:pPr>
      <w:r>
        <w:rPr>
          <w:rFonts w:ascii="Arial;sans-serif" w:hAnsi="Arial;sans-serif"/>
          <w:b/>
          <w:sz w:val="20"/>
        </w:rPr>
        <w:t>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Comparison of results for the three months ended March 31, 2023 and 2022</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following table sets forth our consolidated results of operations for periods presented:</w:t>
      </w:r>
      <w:r>
        <w:rPr>
          <w:rFonts w:ascii="Times New Roman" w:hAnsi="Times New Roman"/>
          <w:sz w:val="20"/>
        </w:rPr>
        <w:t xml:space="preserve"> </w:t>
      </w:r>
    </w:p>
    <w:tbl>
      <w:tblPr>
        <w:tblW w:w="10228" w:type="dxa"/>
        <w:jc w:val="left"/>
        <w:tblInd w:w="0" w:type="dxa"/>
        <w:tblCellMar>
          <w:top w:w="28" w:type="dxa"/>
          <w:left w:w="28" w:type="dxa"/>
          <w:bottom w:w="28" w:type="dxa"/>
          <w:right w:w="28" w:type="dxa"/>
        </w:tblCellMar>
      </w:tblPr>
      <w:tblGrid>
        <w:gridCol w:w="4606"/>
        <w:gridCol w:w="146"/>
        <w:gridCol w:w="289"/>
        <w:gridCol w:w="803"/>
        <w:gridCol w:w="227"/>
        <w:gridCol w:w="200"/>
        <w:gridCol w:w="289"/>
        <w:gridCol w:w="741"/>
        <w:gridCol w:w="166"/>
        <w:gridCol w:w="146"/>
        <w:gridCol w:w="261"/>
        <w:gridCol w:w="595"/>
        <w:gridCol w:w="166"/>
        <w:gridCol w:w="146"/>
        <w:gridCol w:w="168"/>
        <w:gridCol w:w="748"/>
        <w:gridCol w:w="531"/>
      </w:tblGrid>
      <w:tr>
        <w:trPr/>
        <w:tc>
          <w:tcPr>
            <w:tcW w:w="4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4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center"/>
              <w:rPr/>
            </w:pPr>
            <w:r>
              <w:rPr/>
              <w:t> </w:t>
            </w:r>
          </w:p>
        </w:tc>
        <w:tc>
          <w:tcPr>
            <w:tcW w:w="531" w:type="dxa"/>
            <w:tcBorders/>
            <w:shd w:fill="auto" w:val="clear"/>
            <w:vAlign w:val="center"/>
          </w:tcPr>
          <w:p>
            <w:pPr>
              <w:pStyle w:val="TableContents"/>
              <w:spacing w:before="0" w:after="0"/>
              <w:ind w:left="0" w:right="0" w:hanging="0"/>
              <w:jc w:val="center"/>
              <w:rPr/>
            </w:pPr>
            <w:r>
              <w:rPr/>
              <w:t> </w:t>
            </w:r>
          </w:p>
        </w:tc>
      </w:tr>
      <w:tr>
        <w:trPr/>
        <w:tc>
          <w:tcPr>
            <w:tcW w:w="4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0"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Change</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94.4</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46.1</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Payment processing services costs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33.9</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39.5</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Technology and development</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14.5</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31.8</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Selling and marketing</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24.4</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38.6</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28.1</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49.5</w:t>
            </w:r>
          </w:p>
        </w:tc>
        <w:tc>
          <w:tcPr>
            <w:tcW w:w="53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Total costs and operating expense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100.9</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40.7</w:t>
            </w:r>
          </w:p>
        </w:tc>
        <w:tc>
          <w:tcPr>
            <w:tcW w:w="53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22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22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(50.0</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Gain (loss) from remeasurement of foreign currency</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(165.2</w:t>
            </w:r>
          </w:p>
        </w:tc>
        <w:tc>
          <w:tcPr>
            <w:tcW w:w="53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Total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(232.0</w:t>
            </w:r>
          </w:p>
        </w:tc>
        <w:tc>
          <w:tcPr>
            <w:tcW w:w="53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Loss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22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(65.6</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(20.0</w:t>
            </w:r>
          </w:p>
        </w:tc>
        <w:tc>
          <w:tcPr>
            <w:tcW w:w="53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22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(63.4</w:t>
            </w:r>
          </w:p>
        </w:tc>
        <w:tc>
          <w:tcPr>
            <w:tcW w:w="5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300.0</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6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(59.8</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200" w:after="200"/>
        <w:jc w:val="left"/>
        <w:rPr>
          <w:rFonts w:ascii="Times New Roman" w:hAnsi="Times New Roman"/>
          <w:sz w:val="20"/>
        </w:rPr>
      </w:pPr>
      <w:r>
        <w:rPr>
          <w:rFonts w:ascii="Arial;sans-serif" w:hAnsi="Arial;sans-serif"/>
          <w:b w:val="false"/>
          <w:i/>
          <w:sz w:val="20"/>
        </w:rPr>
        <w:t>Revenue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Revenue was $94.4 million for the three months ended March 31, 2023, compared to $64.6 million for the three months ended March 31, 2022, an increase of $29.8 million or 46.1%. Revenue is comprised of transaction revenue and platform and usage-based fee revenue as follows:</w:t>
      </w:r>
      <w:r>
        <w:rPr>
          <w:rFonts w:ascii="Times New Roman" w:hAnsi="Times New Roman"/>
          <w:sz w:val="20"/>
        </w:rPr>
        <w:t xml:space="preserve"> </w:t>
      </w:r>
    </w:p>
    <w:tbl>
      <w:tblPr>
        <w:tblW w:w="9004" w:type="dxa"/>
        <w:jc w:val="left"/>
        <w:tblInd w:w="0" w:type="dxa"/>
        <w:tblCellMar>
          <w:top w:w="28" w:type="dxa"/>
          <w:left w:w="28" w:type="dxa"/>
          <w:bottom w:w="28" w:type="dxa"/>
          <w:right w:w="28" w:type="dxa"/>
        </w:tblCellMar>
      </w:tblPr>
      <w:tblGrid>
        <w:gridCol w:w="3481"/>
        <w:gridCol w:w="146"/>
        <w:gridCol w:w="321"/>
        <w:gridCol w:w="732"/>
        <w:gridCol w:w="222"/>
        <w:gridCol w:w="222"/>
        <w:gridCol w:w="321"/>
        <w:gridCol w:w="732"/>
        <w:gridCol w:w="146"/>
        <w:gridCol w:w="146"/>
        <w:gridCol w:w="261"/>
        <w:gridCol w:w="595"/>
        <w:gridCol w:w="146"/>
        <w:gridCol w:w="146"/>
        <w:gridCol w:w="213"/>
        <w:gridCol w:w="703"/>
        <w:gridCol w:w="47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5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center"/>
              <w:rPr/>
            </w:pPr>
            <w:r>
              <w:rPr/>
              <w:t> </w:t>
            </w:r>
          </w:p>
        </w:tc>
        <w:tc>
          <w:tcPr>
            <w:tcW w:w="471" w:type="dxa"/>
            <w:tcBorders/>
            <w:shd w:fill="auto" w:val="clear"/>
            <w:vAlign w:val="center"/>
          </w:tcPr>
          <w:p>
            <w:pPr>
              <w:pStyle w:val="TableContents"/>
              <w:spacing w:before="0" w:after="0"/>
              <w:ind w:left="0" w:right="0" w:hanging="0"/>
              <w:jc w:val="center"/>
              <w:rPr/>
            </w:pPr>
            <w:r>
              <w:rPr/>
              <w:t> </w:t>
            </w:r>
          </w:p>
        </w:tc>
      </w:tr>
      <w:tr>
        <w:trPr/>
        <w:tc>
          <w:tcPr>
            <w:tcW w:w="3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2" w:type="dxa"/>
            <w:tcBorders/>
            <w:shd w:fill="auto" w:val="clear"/>
            <w:vAlign w:val="center"/>
          </w:tcPr>
          <w:p>
            <w:pPr>
              <w:pStyle w:val="TableContents"/>
              <w:spacing w:before="0" w:after="0"/>
              <w:ind w:left="0" w:right="0" w:hanging="0"/>
              <w:jc w:val="center"/>
              <w:rPr/>
            </w:pPr>
            <w:r>
              <w:rPr/>
              <w:t> </w:t>
            </w:r>
          </w:p>
        </w:tc>
        <w:tc>
          <w:tcPr>
            <w:tcW w:w="10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Change</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Transaction revenue</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76.3</w:t>
            </w:r>
          </w:p>
        </w:tc>
        <w:tc>
          <w:tcPr>
            <w:tcW w:w="22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56.7</w:t>
            </w:r>
          </w:p>
        </w:tc>
        <w:tc>
          <w:tcPr>
            <w:tcW w:w="4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4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Platform and usage-based fee revenue</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18.1</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13.8</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3481" w:type="dxa"/>
            <w:tcBorders/>
            <w:shd w:fill="auto" w:val="cle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94.4</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46.1</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200" w:after="200"/>
        <w:jc w:val="left"/>
        <w:rPr>
          <w:rFonts w:ascii="Times New Roman" w:hAnsi="Times New Roman"/>
          <w:sz w:val="20"/>
        </w:rPr>
      </w:pPr>
      <w:r>
        <w:rPr>
          <w:rFonts w:ascii="Arial;sans-serif" w:hAnsi="Arial;sans-serif"/>
          <w:b w:val="false"/>
          <w:sz w:val="20"/>
        </w:rPr>
        <w:t>Transaction revenue was $76.3 million for the three months ended March 31, 2023, compared to $48.7 million for the three months ended March 31, 2022, an increase of $27.6 million or 56.7%. The increase in transaction revenue was primarily driven by growth in transaction payment volumes, from both our existing clients and new clients as well as the addition of Cohort Go transaction products during the three months ended March 31, 2023. We experienced strong growth in payment volume across all regions and verticals during the period. Total payment volume increased 36% during the three months ended March 31, 2023 to $5.7 billion. Our marketing services revenue remained consistent during the three months ended March 31, 2023 compared to the three months ended March 31, 2022.</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Platform and usage-based fee revenue was $18.1 million for the three months ended March 31, 2023, compared to $15.9 million for the three months ended March 31, 2022, an increase of $2.2 million or 13.8%. The increase in platform and usage-based fee revenue was partially driven by the Cohort Go acquisition and increased usage by our clients and new clients signed during the three months ended March 31, 2023.</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i/>
          <w:sz w:val="20"/>
        </w:rPr>
        <w:t>Payment Processing Services Costs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Payment processing services costs were $33.9 million for the three months ended March 31, 2023, compared to $24.3 million for the three months ended March 31, 2022, an increase of $9.6 million or 39.5%. The increase in payment processing services costs is correlated with the increase in total payment volume of 36% over the same period as well as increased use of credit cards, which have higher processing costs.</w:t>
      </w:r>
    </w:p>
    <w:p>
      <w:pPr>
        <w:pStyle w:val="TextBody"/>
        <w:spacing w:before="200" w:after="200"/>
        <w:jc w:val="left"/>
        <w:rPr>
          <w:rFonts w:ascii="Times New Roman" w:hAnsi="Times New Roman"/>
          <w:sz w:val="20"/>
        </w:rPr>
      </w:pPr>
      <w:r>
        <w:rPr>
          <w:rFonts w:ascii="Arial;sans-serif" w:hAnsi="Arial;sans-serif"/>
          <w:b w:val="false"/>
          <w:i/>
          <w:sz w:val="20"/>
        </w:rPr>
        <w:t>Technology and Development</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Technology and development expenses were $14.5 million for the three months ended March 31, 2023, compared to $11.0 million for the three months ended March 31, 2022, an increase of $3.5 million or 31.8%. The increase in technology and development cost was primarily driven by an increase in personnel costs, stock-based compensation expense and amortization expense. Personnel costs were $9.3 million for the three months ended March 31, 2023 compared to $7.0 million for the three months ended March 31, 2022, an increase of $2.3 million or 32.9%. The increase in personnel costs was primarily driven by an increase in headcount within our technology and development teams. Stock-based compensation expense was $1.8 million for the three months ended March 31, 2023, compared to $1.0 million for the three months ended March 31, 2022, an increase of $0.8 million or 80.0%. The increase in stock-based compensation is attributable to equity grants awarded to existing and new FlyMates. Amortization of intangible assets was $1.8 million for the three months ended March 31, 2023, compared to $1.5 million for the three months ended March 31, 2022, an increase of $0.3 million or 20.0%. The increase in amortization expense was primarily due to acquired relationships related to the Cohort Go acquisition.</w:t>
      </w:r>
      <w:r>
        <w:rPr>
          <w:rFonts w:ascii="Times New Roman" w:hAnsi="Times New Roman"/>
          <w:sz w:val="20"/>
        </w:rPr>
        <w:t xml:space="preserve"> </w:t>
      </w:r>
    </w:p>
    <w:p>
      <w:pPr>
        <w:pStyle w:val="TextBody"/>
        <w:spacing w:before="200" w:after="200"/>
        <w:jc w:val="left"/>
        <w:rPr>
          <w:rFonts w:ascii="Arial;sans-serif" w:hAnsi="Arial;sans-serif"/>
          <w:b w:val="false"/>
          <w:i/>
          <w:sz w:val="20"/>
        </w:rPr>
      </w:pPr>
      <w:r>
        <w:rPr>
          <w:rFonts w:ascii="Arial;sans-serif" w:hAnsi="Arial;sans-serif"/>
          <w:b w:val="false"/>
          <w:i/>
          <w:sz w:val="20"/>
        </w:rPr>
        <w:t>Selling and Marketing</w:t>
      </w:r>
    </w:p>
    <w:p>
      <w:pPr>
        <w:pStyle w:val="TextBody"/>
        <w:spacing w:before="200" w:after="200"/>
        <w:jc w:val="left"/>
        <w:rPr>
          <w:rFonts w:ascii="Times New Roman" w:hAnsi="Times New Roman"/>
          <w:sz w:val="20"/>
        </w:rPr>
      </w:pPr>
      <w:r>
        <w:rPr>
          <w:rFonts w:ascii="Arial;sans-serif" w:hAnsi="Arial;sans-serif"/>
          <w:b w:val="false"/>
          <w:sz w:val="20"/>
        </w:rPr>
        <w:t>Selling and marketing expenses were $24.4 million for the three months ended March 31, 2023, compared to $17.6 million for the three months ended March 31, 2022, an increase of $6.8 million or 38.6%. The increase in selling and marketing expenses was primarily driven by an increase in personnel costs, professional fees, stock-based compensation and amortization expense, offset by a decrease in marketing costs. Personnel costs were $13.6 million for the three months ended March 31, 2023, compared to $10.6 million for the three months ended March 31, 2022, an increase of $3.0 million or 28.3%. The increase in personnel costs was primarily driven by an increase in headcount within our selling and marketing teams and commissions earned on sales during the period. Professional fees were $4.5 million for the three months ended March 31, 2023, compared to $1.9 million for the three months ended March 31, 2022, an increase of $2.6 million or 136.8%. The increase in professional fees was due to increases in third party commissions and consulting fees. Stock-based compensation was $2.4 million for the three months ended March 31, 2023, compared to $1.3 million for the three months ended March 31, 2022, an increase of $1.1 million or 84.6%. The increase in stock-based compensation is attributable to equity grants awarded to existing and new FlyMates. Amortization of intangibles was $1.2 million for the three months ended March 31, 2023, compared to $1.0 million for the three months ended March 31, 2022, an increase of $0.2 million or 20.0%. The increase in amortization expense was due to acquired customer relationships related to the Cohort Go acquisition. Marketing costs were $1.2 million for the three months ended March 31, 2023, compared to $1.5 million for the three months ended March 31, 2022, a decrease of $0.3 million or 20.0%. The decrease in marketing costs was due to decrease in marketing initiatives and hosted events.</w:t>
      </w:r>
      <w:r>
        <w:rPr>
          <w:rFonts w:ascii="Times New Roman" w:hAnsi="Times New Roman"/>
          <w:sz w:val="20"/>
        </w:rPr>
        <w:t xml:space="preserve"> </w:t>
      </w:r>
    </w:p>
    <w:p>
      <w:pPr>
        <w:pStyle w:val="TextBody"/>
        <w:spacing w:before="200" w:after="200"/>
        <w:jc w:val="left"/>
        <w:rPr>
          <w:rFonts w:ascii="Arial;sans-serif" w:hAnsi="Arial;sans-serif"/>
          <w:b w:val="false"/>
          <w:i/>
          <w:sz w:val="20"/>
        </w:rPr>
      </w:pPr>
      <w:r>
        <w:rPr>
          <w:rFonts w:ascii="Arial;sans-serif" w:hAnsi="Arial;sans-serif"/>
          <w:b w:val="false"/>
          <w:i/>
          <w:sz w:val="20"/>
        </w:rPr>
        <w:t>General and Administrative</w:t>
      </w:r>
    </w:p>
    <w:p>
      <w:pPr>
        <w:pStyle w:val="TextBody"/>
        <w:spacing w:before="200" w:after="200"/>
        <w:jc w:val="left"/>
        <w:rPr>
          <w:rFonts w:ascii="Times New Roman" w:hAnsi="Times New Roman"/>
          <w:sz w:val="20"/>
        </w:rPr>
      </w:pPr>
      <w:r>
        <w:rPr>
          <w:rFonts w:ascii="Arial;sans-serif" w:hAnsi="Arial;sans-serif"/>
          <w:b w:val="false"/>
          <w:sz w:val="20"/>
        </w:rPr>
        <w:t>General and administrative expenses were $28.1 million for the three months ended March 31, 2023, compared to $18.8 million for the three months ended March 31, 2022, an increase of $9.3 million or 49.5%. The increase in general and administrative expenses was primarily driven by an increase in personnel costs, other costs, professional fees, stock-based compensation, software and hosting expenses, and a change in the fair value of contingent consideration. Personnel costs were $10.6 million for the three months ended March 31, 2023, compared to $7.5 million for the three months ended March 31, 2022, an increase of $3.1 million or 41.3%. The increase in personnel costs was primarily driven by an increase in headcount. Other costs were $2.7 million for the three months ended March 31, 2023, compared to $0.7 million for the three months ended March 31, 2022, an increase of $2.0 million or 285.7%. The increase in other costs is primarily due to increased hedging fees related to an increase in total payment volume and indirect taxes recorded during the period. Professional fees were $4.7 million for the three months ended March 31, 2023, compared to $2.9 million for the three months ended March 31, 2022, an increase of $1.8 million or 62.1%. The increase in professional fees was due to increased legal, consulting and audit fees as a result of becoming a public company. Stock-based compensation was $4.3 million for the three months ended March 31, 2023, compared to $3.2 million for the three months ended March 31, 2022, an increase of $1.1 million or 34.4%. The increase in stock-based compensation is attributable to equity grants awarded to existing and new FlyMates. Software and hosting expenses were $1.9 million for the three months ended March 31, 2023, compared to $1.3 million for the three months ended March 31, 2022, an increase of $0.6 million or</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46.2%. The increase in software and hosting expenses was primarily related to increased hosting fees based on payment volumes growth and additional software needs based on headcount growth. Change in the fair value of contingent consideration was $0.4 million for the three months ended March 31, 2023, compared to $(0.1) million for the three months ended March 31, 2022, an increase of $0.5 million or 500.0%. The increase in the change in the fair value of contingent consideration was due to the Cohort Go acquisition during 2022.</w:t>
      </w:r>
    </w:p>
    <w:p>
      <w:pPr>
        <w:pStyle w:val="TextBody"/>
        <w:spacing w:before="200" w:after="200"/>
        <w:jc w:val="left"/>
        <w:rPr>
          <w:rFonts w:ascii="Times New Roman" w:hAnsi="Times New Roman"/>
          <w:sz w:val="20"/>
        </w:rPr>
      </w:pPr>
      <w:r>
        <w:rPr>
          <w:rFonts w:ascii="Arial;sans-serif" w:hAnsi="Arial;sans-serif"/>
          <w:b w:val="false"/>
          <w:i/>
          <w:sz w:val="20"/>
        </w:rPr>
        <w:t>Interest Expense</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Interest expense was $0.1 million for the three months ended March 31, 2023, compared to $0.2 million for the three months ended March 31, 2022, a decrease of $0.1 million or (50.0)%. On October 28, 2022, we repaid the $25.9 million outstanding under our Revolving Credit Facility, which resulted in no interest expense on debt for the three months ended March 31, 2023. Interest expense for the three months ended March 31, 2023 consists of interest on ROU assets and amortization of debt issuance cost and debt discount from our previous LSA.</w:t>
      </w:r>
    </w:p>
    <w:p>
      <w:pPr>
        <w:pStyle w:val="TextBody"/>
        <w:spacing w:before="200" w:after="200"/>
        <w:jc w:val="left"/>
        <w:rPr>
          <w:rFonts w:ascii="Arial;sans-serif" w:hAnsi="Arial;sans-serif"/>
          <w:b w:val="false"/>
          <w:i/>
          <w:sz w:val="20"/>
        </w:rPr>
      </w:pPr>
      <w:r>
        <w:rPr>
          <w:rFonts w:ascii="Arial;sans-serif" w:hAnsi="Arial;sans-serif"/>
          <w:b w:val="false"/>
          <w:i/>
          <w:sz w:val="20"/>
        </w:rPr>
        <w:t>Interest Income</w:t>
      </w:r>
    </w:p>
    <w:p>
      <w:pPr>
        <w:pStyle w:val="TextBody"/>
        <w:spacing w:before="200" w:after="200"/>
        <w:jc w:val="left"/>
        <w:rPr>
          <w:rFonts w:ascii="Arial;sans-serif" w:hAnsi="Arial;sans-serif"/>
          <w:b w:val="false"/>
          <w:sz w:val="20"/>
        </w:rPr>
      </w:pPr>
      <w:r>
        <w:rPr>
          <w:rFonts w:ascii="Arial;sans-serif" w:hAnsi="Arial;sans-serif"/>
          <w:b w:val="false"/>
          <w:sz w:val="20"/>
        </w:rPr>
        <w:t>Interest income was $1.9 million for the three months ended March 31, 2023 compared to $0 for the three months ended March 31, 2022, an increase of $1.9 million or 100%. The increase in interest income was due to the Company's investment in interest bearing accounts during the second quarter of 2022.</w:t>
      </w:r>
    </w:p>
    <w:p>
      <w:pPr>
        <w:pStyle w:val="TextBody"/>
        <w:spacing w:before="200" w:after="200"/>
        <w:jc w:val="left"/>
        <w:rPr>
          <w:rFonts w:ascii="Times New Roman" w:hAnsi="Times New Roman"/>
          <w:sz w:val="20"/>
        </w:rPr>
      </w:pPr>
      <w:r>
        <w:rPr>
          <w:rFonts w:ascii="Arial;sans-serif" w:hAnsi="Arial;sans-serif"/>
          <w:b w:val="false"/>
          <w:i/>
          <w:sz w:val="20"/>
        </w:rPr>
        <w:t>Gain (loss) from Remeasurement of Foreign Currency</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Gain (loss) from remeasurement of foreign currency was $1.5 million for the three months ended March 31, 2023, compared to $(2.3) million for the three months ended March 31, 2022, a decrease of $3.8 million or (165.2)%. The decrease was primarily the result of the remeasurement of foreign currency transactions into the British pound sterling and impact of fluctuations in exchange rates during respective remeasurement periods.</w:t>
      </w:r>
    </w:p>
    <w:p>
      <w:pPr>
        <w:pStyle w:val="TextBody"/>
        <w:spacing w:before="200" w:after="200"/>
        <w:jc w:val="left"/>
        <w:rPr>
          <w:rFonts w:ascii="Times New Roman" w:hAnsi="Times New Roman"/>
          <w:sz w:val="20"/>
        </w:rPr>
      </w:pPr>
      <w:r>
        <w:rPr>
          <w:rFonts w:ascii="Arial;sans-serif" w:hAnsi="Arial;sans-serif"/>
          <w:b w:val="false"/>
          <w:i/>
          <w:sz w:val="20"/>
        </w:rPr>
        <w:t>Provision for Income Taxes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Provision for income taxes was $0.4 million during the three months ended March 31, 2023, compared to $0.5 million during the three months ended March 31, 2022, an decrease of $0.1 million or (20.0)%. The income tax provision for the three months ended March 31, 2023 and 2022 was primarily attributable to activity in our foreign subsidiaries and U.S. state taxes. Our effective tax rate was (12.5)% for the three months ended March 31, 2023 compared to (5.1)% for the three months ended March 31, 2022.</w:t>
      </w:r>
    </w:p>
    <w:p>
      <w:pPr>
        <w:pStyle w:val="TextBody"/>
        <w:spacing w:before="200" w:after="200"/>
        <w:jc w:val="left"/>
        <w:rPr>
          <w:rFonts w:ascii="Arial;sans-serif" w:hAnsi="Arial;sans-serif"/>
          <w:b/>
          <w:sz w:val="20"/>
        </w:rPr>
      </w:pPr>
      <w:r>
        <w:rPr>
          <w:rFonts w:ascii="Arial;sans-serif" w:hAnsi="Arial;sans-serif"/>
          <w:b/>
          <w:sz w:val="20"/>
        </w:rPr>
        <w:t>Liquidity and Capital Resources</w:t>
      </w:r>
    </w:p>
    <w:p>
      <w:pPr>
        <w:pStyle w:val="TextBody"/>
        <w:spacing w:before="200" w:after="200"/>
        <w:jc w:val="left"/>
        <w:rPr>
          <w:rFonts w:ascii="Arial;sans-serif" w:hAnsi="Arial;sans-serif"/>
          <w:b w:val="false"/>
          <w:sz w:val="20"/>
        </w:rPr>
      </w:pPr>
      <w:r>
        <w:rPr>
          <w:rFonts w:ascii="Arial;sans-serif" w:hAnsi="Arial;sans-serif"/>
          <w:b w:val="false"/>
          <w:sz w:val="20"/>
        </w:rPr>
        <w:t>Since inception, we have financed operations primarily through proceeds received from sales of equity securities, credit facilities and payments received from our clients as further detailed below.</w:t>
      </w:r>
    </w:p>
    <w:p>
      <w:pPr>
        <w:pStyle w:val="TextBody"/>
        <w:spacing w:before="200" w:after="200"/>
        <w:jc w:val="left"/>
        <w:rPr>
          <w:rFonts w:ascii="Arial;sans-serif" w:hAnsi="Arial;sans-serif"/>
          <w:b w:val="false"/>
          <w:sz w:val="20"/>
        </w:rPr>
      </w:pPr>
      <w:r>
        <w:rPr>
          <w:rFonts w:ascii="Arial;sans-serif" w:hAnsi="Arial;sans-serif"/>
          <w:b w:val="false"/>
          <w:sz w:val="20"/>
        </w:rPr>
        <w:t>As of March 31, 2023, our principal source of liquidity is cash, cash equivalents and restricted cash of $329.1 million. Cash equivalents is comprised primarily of money market funds.</w:t>
      </w:r>
    </w:p>
    <w:p>
      <w:pPr>
        <w:pStyle w:val="TextBody"/>
        <w:spacing w:before="200" w:after="200"/>
        <w:jc w:val="left"/>
        <w:rPr>
          <w:rFonts w:ascii="Arial;sans-serif" w:hAnsi="Arial;sans-serif"/>
          <w:b w:val="false"/>
          <w:sz w:val="20"/>
        </w:rPr>
      </w:pPr>
      <w:r>
        <w:rPr>
          <w:rFonts w:ascii="Arial;sans-serif" w:hAnsi="Arial;sans-serif"/>
          <w:b w:val="false"/>
          <w:sz w:val="20"/>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spacing w:before="200" w:after="200"/>
        <w:jc w:val="left"/>
        <w:rPr>
          <w:rFonts w:ascii="Times New Roman" w:hAnsi="Times New Roman"/>
          <w:sz w:val="20"/>
        </w:rPr>
      </w:pPr>
      <w:r>
        <w:rPr>
          <w:rFonts w:ascii="Arial;sans-serif" w:hAnsi="Arial;sans-serif"/>
          <w:b/>
          <w:i/>
          <w:sz w:val="20"/>
        </w:rPr>
        <w:t>Contractual Obligations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Contractual obligations consist of operating leases that relate to real estate for our primary facilities.</w:t>
      </w:r>
    </w:p>
    <w:p>
      <w:pPr>
        <w:pStyle w:val="TextBody"/>
        <w:spacing w:before="200" w:after="200"/>
        <w:jc w:val="left"/>
        <w:rPr>
          <w:rFonts w:ascii="Arial;sans-serif" w:hAnsi="Arial;sans-serif"/>
          <w:b w:val="false"/>
          <w:sz w:val="20"/>
        </w:rPr>
      </w:pPr>
      <w:r>
        <w:rPr>
          <w:rFonts w:ascii="Arial;sans-serif" w:hAnsi="Arial;sans-serif"/>
          <w:b w:val="false"/>
          <w:sz w:val="20"/>
        </w:rPr>
        <w:t>The following table summarizes our contractual obligations as of March 31, 2023:</w:t>
      </w:r>
    </w:p>
    <w:p>
      <w:pPr>
        <w:pStyle w:val="TextBody"/>
        <w:spacing w:before="0" w:after="0"/>
        <w:jc w:val="center"/>
        <w:rPr>
          <w:rFonts w:ascii="Arial;sans-serif" w:hAnsi="Arial;sans-serif"/>
          <w:b w:val="false"/>
          <w:sz w:val="20"/>
        </w:rPr>
      </w:pPr>
      <w:r>
        <w:rPr>
          <w:rFonts w:ascii="Arial;sans-serif" w:hAnsi="Arial;sans-serif"/>
          <w:b w:val="false"/>
          <w:sz w:val="20"/>
        </w:rPr>
        <w:t>35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tbl>
      <w:tblPr>
        <w:tblW w:w="8007" w:type="dxa"/>
        <w:jc w:val="left"/>
        <w:tblInd w:w="0" w:type="dxa"/>
        <w:tblCellMar>
          <w:top w:w="28" w:type="dxa"/>
          <w:left w:w="28" w:type="dxa"/>
          <w:bottom w:w="28" w:type="dxa"/>
          <w:right w:w="28" w:type="dxa"/>
        </w:tblCellMar>
      </w:tblPr>
      <w:tblGrid>
        <w:gridCol w:w="2476"/>
        <w:gridCol w:w="146"/>
        <w:gridCol w:w="211"/>
        <w:gridCol w:w="586"/>
        <w:gridCol w:w="146"/>
        <w:gridCol w:w="146"/>
        <w:gridCol w:w="246"/>
        <w:gridCol w:w="684"/>
        <w:gridCol w:w="146"/>
        <w:gridCol w:w="146"/>
        <w:gridCol w:w="211"/>
        <w:gridCol w:w="586"/>
        <w:gridCol w:w="146"/>
        <w:gridCol w:w="146"/>
        <w:gridCol w:w="211"/>
        <w:gridCol w:w="346"/>
        <w:gridCol w:w="146"/>
        <w:gridCol w:w="146"/>
        <w:gridCol w:w="279"/>
        <w:gridCol w:w="66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19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Payments Due by Year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Less 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1 to 3</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4 to 5</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More Than</w:t>
              <w:br/>
              <w:t>5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lease obligations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left"/>
        <w:rPr>
          <w:rFonts w:ascii="Arial;sans-serif" w:hAnsi="Arial;sans-serif"/>
          <w:b/>
          <w:i/>
          <w:sz w:val="20"/>
        </w:rPr>
      </w:pPr>
      <w:r>
        <w:rPr>
          <w:rFonts w:ascii="Arial;sans-serif" w:hAnsi="Arial;sans-serif"/>
          <w:b/>
          <w:i/>
          <w:sz w:val="20"/>
        </w:rPr>
        <w:t>Cash Flows</w:t>
      </w:r>
    </w:p>
    <w:p>
      <w:pPr>
        <w:pStyle w:val="TextBody"/>
        <w:spacing w:before="200" w:after="200"/>
        <w:jc w:val="left"/>
        <w:rPr>
          <w:rFonts w:ascii="Arial;sans-serif" w:hAnsi="Arial;sans-serif"/>
          <w:b w:val="false"/>
          <w:sz w:val="20"/>
        </w:rPr>
      </w:pPr>
      <w:r>
        <w:rPr>
          <w:rFonts w:ascii="Arial;sans-serif" w:hAnsi="Arial;sans-serif"/>
          <w:b w:val="false"/>
          <w:sz w:val="20"/>
        </w:rPr>
        <w:t>The following table sets forth a summary of our cash flow information for the periods presented:</w:t>
      </w:r>
    </w:p>
    <w:tbl>
      <w:tblPr>
        <w:tblW w:w="8776" w:type="dxa"/>
        <w:jc w:val="left"/>
        <w:tblInd w:w="0" w:type="dxa"/>
        <w:tblCellMar>
          <w:top w:w="28" w:type="dxa"/>
          <w:left w:w="28" w:type="dxa"/>
          <w:bottom w:w="28" w:type="dxa"/>
          <w:right w:w="28" w:type="dxa"/>
        </w:tblCellMar>
      </w:tblPr>
      <w:tblGrid>
        <w:gridCol w:w="5611"/>
        <w:gridCol w:w="146"/>
        <w:gridCol w:w="296"/>
        <w:gridCol w:w="759"/>
        <w:gridCol w:w="233"/>
        <w:gridCol w:w="205"/>
        <w:gridCol w:w="296"/>
        <w:gridCol w:w="759"/>
        <w:gridCol w:w="471"/>
      </w:tblGrid>
      <w:tr>
        <w:trPr/>
        <w:tc>
          <w:tcPr>
            <w:tcW w:w="5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56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shd w:fill="auto" w:val="clear"/>
            <w:vAlign w:val="center"/>
          </w:tcPr>
          <w:p>
            <w:pPr>
              <w:pStyle w:val="TableContents"/>
              <w:spacing w:before="0" w:after="0"/>
              <w:ind w:left="0" w:right="0" w:hanging="0"/>
              <w:jc w:val="center"/>
              <w:rPr/>
            </w:pPr>
            <w:r>
              <w:rPr/>
              <w:t> </w:t>
            </w:r>
          </w:p>
        </w:tc>
        <w:tc>
          <w:tcPr>
            <w:tcW w:w="10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(20.8</w:t>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(17.0</w:t>
            </w:r>
          </w:p>
        </w:tc>
        <w:tc>
          <w:tcPr>
            <w:tcW w:w="4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4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provided by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233"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4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Effect of exchange rate changes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56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(22.1</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(19.6</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200" w:after="200"/>
        <w:jc w:val="left"/>
        <w:rPr>
          <w:rFonts w:ascii="Times New Roman" w:hAnsi="Times New Roman"/>
          <w:sz w:val="20"/>
        </w:rPr>
      </w:pPr>
      <w:r>
        <w:rPr>
          <w:rFonts w:ascii="Arial;sans-serif" w:hAnsi="Arial;sans-serif"/>
          <w:b w:val="false"/>
          <w:i/>
          <w:sz w:val="20"/>
        </w:rPr>
        <w:t>Operating Activities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Net cash used in operating activities consists of net loss adjusted for certain non-cash items and changes in other assets and liabilities.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2023, cash used in operating activities of $20.8 million was primarily the result of net loss of $3.7 million adjusted for non-cash expenses of $12.4 million, which primarily include stock-based compensation expenses of $8.6 million, depreciation and amortization of $3.7 million, change in fair value of contingent consideration of $0.4 million, offset by a deferred tax benefit of $0.6 million and $29.6 million related to changes in our operating assets and liabilities.</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2022, cash used in operating activities of $17.0 million was primarily the result of net loss of $10.1 million adjusted for non-cash expenses of $8.4 million, which primarily include stock-based compensation expenses of $5.5 million, depreciation and amortization of $2.8 million, non-cash interest expense of $0.1 million and amortization of deferred contract costs of $0.1 million, offset by $15.2 million related to changes in our operating assets and liabilities.</w:t>
      </w:r>
    </w:p>
    <w:p>
      <w:pPr>
        <w:pStyle w:val="TextBody"/>
        <w:spacing w:before="200" w:after="200"/>
        <w:jc w:val="left"/>
        <w:rPr>
          <w:rFonts w:ascii="Times New Roman" w:hAnsi="Times New Roman"/>
          <w:sz w:val="20"/>
        </w:rPr>
      </w:pPr>
      <w:r>
        <w:rPr>
          <w:rFonts w:ascii="Arial;sans-serif" w:hAnsi="Arial;sans-serif"/>
          <w:b w:val="false"/>
          <w:i/>
          <w:sz w:val="20"/>
        </w:rPr>
        <w:t>Investing Activities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2023, cash used in investing activities of $1.8 million was the result of the $1.4 million of capitalization of internally developed software and over $0.4 million of purchase of property plant and equipment.</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2022, cash used in investing activities of $1.3 million was the result of the $1.2 million of capitalization of internally developed software and $0.1 million of purchase of property plant and equipment.</w:t>
      </w:r>
    </w:p>
    <w:p>
      <w:pPr>
        <w:pStyle w:val="TextBody"/>
        <w:spacing w:before="200" w:after="200"/>
        <w:jc w:val="left"/>
        <w:rPr>
          <w:rFonts w:ascii="Times New Roman" w:hAnsi="Times New Roman"/>
          <w:sz w:val="20"/>
        </w:rPr>
      </w:pPr>
      <w:r>
        <w:rPr>
          <w:rFonts w:ascii="Arial;sans-serif" w:hAnsi="Arial;sans-serif"/>
          <w:b w:val="false"/>
          <w:i/>
          <w:sz w:val="20"/>
        </w:rPr>
        <w:t>Financing Activities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2023, cash provided by financing activities of $1.8 million was the result of proceeds from exercise of stock options of $2.1 million, proceeds from issuance of stock under the ESPP of $0.9 million, offset by payments for contingent consideration of $1.2 million related to our acquisition of Cohort Go.</w:t>
      </w:r>
    </w:p>
    <w:p>
      <w:pPr>
        <w:pStyle w:val="TextBody"/>
        <w:spacing w:before="200" w:after="200"/>
        <w:jc w:val="left"/>
        <w:rPr>
          <w:rFonts w:ascii="Arial;sans-serif" w:hAnsi="Arial;sans-serif"/>
          <w:b w:val="false"/>
          <w:sz w:val="20"/>
        </w:rPr>
      </w:pPr>
      <w:r>
        <w:rPr>
          <w:rFonts w:ascii="Arial;sans-serif" w:hAnsi="Arial;sans-serif"/>
          <w:b w:val="false"/>
          <w:sz w:val="20"/>
        </w:rPr>
        <w:t>During the three months ended March 31, 2022, cash used in financing activities of $3.0 million was the result of payments for contingent consideration of $3.3 million related to our acquisition of Simplee, payments of tax withholdings for net settled option exercises of $0.8 million, offset by $1.1 million proceeds from the exercise of stock options.</w:t>
      </w:r>
    </w:p>
    <w:p>
      <w:pPr>
        <w:pStyle w:val="TextBody"/>
        <w:spacing w:before="200" w:after="200"/>
        <w:jc w:val="left"/>
        <w:rPr>
          <w:rFonts w:ascii="Times New Roman" w:hAnsi="Times New Roman"/>
          <w:sz w:val="20"/>
        </w:rPr>
      </w:pPr>
      <w:r>
        <w:rPr>
          <w:rFonts w:ascii="Arial;sans-serif" w:hAnsi="Arial;sans-serif"/>
          <w:b w:val="false"/>
          <w:sz w:val="20"/>
        </w:rPr>
        <w:t>As of March 31, 2022, we had $25.9 million of outstanding indebtedness under the Revolving Credit Facility. On October 28, 2022, we repaid the $25.9 million outstanding under the Revolving Credit Facility. As of March 31, 2023, we had $0 of outstanding indebtedness under the Revolving Credit Facility. Following the repayment, we continue to have access to a total commitment of $50.0 million under the Revolving Credit Facility. The Revolving Credit Facility consists of ABR loans or Eurodollar Borrowings, at our option. ABR loans bear interest at the ABR plus the applicable rate. Eurodollar Borrowings bear interest at the Adjusted LIBO Rate plus the applicable rate. The ABR rate is based on the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w:t>
      </w:r>
    </w:p>
    <w:p>
      <w:pPr>
        <w:pStyle w:val="TextBody"/>
        <w:spacing w:before="200" w:after="200"/>
        <w:jc w:val="left"/>
        <w:rPr>
          <w:rFonts w:ascii="Arial;sans-serif" w:hAnsi="Arial;sans-serif"/>
          <w:b/>
          <w:sz w:val="20"/>
        </w:rPr>
      </w:pPr>
      <w:r>
        <w:rPr>
          <w:rFonts w:ascii="Arial;sans-serif" w:hAnsi="Arial;sans-serif"/>
          <w:b/>
          <w:sz w:val="20"/>
        </w:rPr>
        <w:t>Critical Accounting Policies</w:t>
      </w:r>
    </w:p>
    <w:p>
      <w:pPr>
        <w:pStyle w:val="TextBody"/>
        <w:spacing w:before="200" w:after="200"/>
        <w:jc w:val="left"/>
        <w:rPr>
          <w:rFonts w:ascii="Arial;sans-serif" w:hAnsi="Arial;sans-serif"/>
          <w:b w:val="false"/>
          <w:sz w:val="20"/>
        </w:rPr>
      </w:pPr>
      <w:r>
        <w:rPr>
          <w:rFonts w:ascii="Arial;sans-serif" w:hAnsi="Arial;sans-serif"/>
          <w:b w:val="false"/>
          <w:sz w:val="20"/>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200" w:after="200"/>
        <w:jc w:val="left"/>
        <w:rPr>
          <w:rFonts w:ascii="Times New Roman" w:hAnsi="Times New Roman"/>
          <w:sz w:val="20"/>
        </w:rPr>
      </w:pPr>
      <w:r>
        <w:rPr>
          <w:rFonts w:ascii="Arial;sans-serif" w:hAnsi="Arial;sans-serif"/>
          <w:b w:val="false"/>
          <w:sz w:val="20"/>
        </w:rPr>
        <w:t xml:space="preserve">There have been no material changes to our critical accounting policies as compared to the critical accounting policies and estimates described in the </w:t>
      </w:r>
      <w:r>
        <w:rPr>
          <w:rFonts w:ascii="Arial;sans-serif" w:hAnsi="Arial;sans-serif"/>
          <w:b w:val="false"/>
          <w:i/>
          <w:sz w:val="20"/>
        </w:rPr>
        <w:t>Management’s Discussion and Analysis of Financial Condition and Results of Operations</w:t>
      </w:r>
      <w:r>
        <w:rPr>
          <w:rFonts w:ascii="Times New Roman" w:hAnsi="Times New Roman"/>
          <w:sz w:val="20"/>
        </w:rPr>
        <w:t xml:space="preserve"> </w:t>
      </w:r>
      <w:r>
        <w:rPr>
          <w:rFonts w:ascii="Arial;sans-serif" w:hAnsi="Arial;sans-serif"/>
          <w:b w:val="false"/>
          <w:sz w:val="20"/>
        </w:rPr>
        <w:t>section of our Annual Report on Form 10-K for the year ended December 31, 2022.</w:t>
      </w:r>
      <w:r>
        <w:rPr>
          <w:rFonts w:ascii="Times New Roman" w:hAnsi="Times New Roman"/>
          <w:sz w:val="20"/>
        </w:rPr>
        <w:t xml:space="preserve"> </w:t>
      </w:r>
    </w:p>
    <w:p>
      <w:pPr>
        <w:pStyle w:val="TextBody"/>
        <w:spacing w:before="200" w:after="200"/>
        <w:jc w:val="left"/>
        <w:rPr>
          <w:rFonts w:ascii="Arial;sans-serif" w:hAnsi="Arial;sans-serif"/>
          <w:b/>
          <w:sz w:val="20"/>
        </w:rPr>
      </w:pPr>
      <w:r>
        <w:rPr>
          <w:rFonts w:ascii="Arial;sans-serif" w:hAnsi="Arial;sans-serif"/>
          <w:b/>
          <w:sz w:val="20"/>
        </w:rPr>
        <w:t>Recent Accounting Pronouncements</w:t>
      </w:r>
    </w:p>
    <w:p>
      <w:pPr>
        <w:pStyle w:val="TextBody"/>
        <w:spacing w:before="200" w:after="200"/>
        <w:jc w:val="left"/>
        <w:rPr>
          <w:rFonts w:ascii="Times New Roman" w:hAnsi="Times New Roman"/>
          <w:sz w:val="20"/>
        </w:rPr>
      </w:pPr>
      <w:r>
        <w:rPr>
          <w:rFonts w:ascii="Arial;sans-serif" w:hAnsi="Arial;sans-serif"/>
          <w:b w:val="false"/>
          <w:sz w:val="20"/>
        </w:rPr>
        <w:t xml:space="preserve">We have reviewed all recently issued standards and have determined that, other than as disclosed in </w:t>
      </w:r>
      <w:r>
        <w:rPr>
          <w:rFonts w:ascii="Arial;sans-serif" w:hAnsi="Arial;sans-serif"/>
          <w:b w:val="false"/>
          <w:i/>
          <w:sz w:val="20"/>
        </w:rPr>
        <w:t xml:space="preserve">Note 1 </w:t>
      </w:r>
      <w:r>
        <w:rPr>
          <w:rFonts w:ascii="Arial;sans-serif" w:hAnsi="Arial;sans-serif"/>
          <w:b w:val="false"/>
          <w:sz w:val="20"/>
        </w:rPr>
        <w:t xml:space="preserve">- </w:t>
      </w:r>
      <w:r>
        <w:rPr>
          <w:rFonts w:ascii="Arial;sans-serif" w:hAnsi="Arial;sans-serif"/>
          <w:b w:val="false"/>
          <w:i/>
          <w:sz w:val="20"/>
        </w:rPr>
        <w:t>Business Overview and Summary of Significant Accounting Policies</w:t>
      </w:r>
      <w:r>
        <w:rPr>
          <w:rFonts w:ascii="Times New Roman" w:hAnsi="Times New Roman"/>
          <w:sz w:val="20"/>
        </w:rPr>
        <w:t xml:space="preserve"> </w:t>
      </w:r>
      <w:r>
        <w:rPr>
          <w:rFonts w:ascii="Arial;sans-serif" w:hAnsi="Arial;sans-serif"/>
          <w:b w:val="false"/>
          <w:sz w:val="20"/>
        </w:rPr>
        <w:t>to our unaudited condensed consolidated financial statements appearing elsewhere in this Quarterly Report on Form 10-Q, such standards are not expected to have a material impact on our consolidated financial statements or do not otherwise apply to our operations.</w:t>
      </w:r>
    </w:p>
    <w:p>
      <w:pPr>
        <w:pStyle w:val="TextBody"/>
        <w:spacing w:before="360" w:after="200"/>
        <w:jc w:val="left"/>
        <w:rPr>
          <w:rFonts w:ascii="Arial;sans-serif" w:hAnsi="Arial;sans-serif"/>
          <w:b/>
          <w:sz w:val="20"/>
        </w:rPr>
      </w:pPr>
      <w:bookmarkStart w:id="33" w:name="item_3_quantitative"/>
      <w:bookmarkEnd w:id="33"/>
      <w:r>
        <w:rPr>
          <w:rFonts w:ascii="Arial;sans-serif" w:hAnsi="Arial;sans-serif"/>
          <w:b/>
          <w:sz w:val="20"/>
        </w:rPr>
        <w:t>Item 3. Quantitative and Qualitative Disclosures About Market Risk</w:t>
      </w:r>
    </w:p>
    <w:p>
      <w:pPr>
        <w:pStyle w:val="TextBody"/>
        <w:spacing w:before="200" w:after="200"/>
        <w:jc w:val="left"/>
        <w:rPr>
          <w:rFonts w:ascii="Arial;sans-serif" w:hAnsi="Arial;sans-serif"/>
          <w:b w:val="false"/>
          <w:sz w:val="20"/>
        </w:rPr>
      </w:pPr>
      <w:r>
        <w:rPr>
          <w:rFonts w:ascii="Arial;sans-serif" w:hAnsi="Arial;sans-serif"/>
          <w:b w:val="false"/>
          <w:sz w:val="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pStyle w:val="TextBody"/>
        <w:spacing w:before="200" w:after="200"/>
        <w:jc w:val="left"/>
        <w:rPr>
          <w:rFonts w:ascii="Times New Roman" w:hAnsi="Times New Roman"/>
          <w:sz w:val="20"/>
        </w:rPr>
      </w:pPr>
      <w:r>
        <w:rPr>
          <w:rFonts w:ascii="Arial;sans-serif" w:hAnsi="Arial;sans-serif"/>
          <w:b/>
          <w:sz w:val="20"/>
        </w:rPr>
        <w:t>Interest Rate Risk</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Revolving Credit Facility consists of ABR loans or Eurodollar Borrowings, at our option. ABR loans bear interest at the ABR plus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As of March 31, 2023 and December 31, 2022, there was no outstanding indebtedness under the Revolving Credit Facility. An immediate 10% increase or decrease in interest rates would not have a material effect on our financial position, results of operations or cash flows.</w:t>
      </w:r>
    </w:p>
    <w:p>
      <w:pPr>
        <w:pStyle w:val="TextBody"/>
        <w:spacing w:before="200" w:after="200"/>
        <w:jc w:val="left"/>
        <w:rPr>
          <w:rFonts w:ascii="Times New Roman" w:hAnsi="Times New Roman"/>
          <w:sz w:val="20"/>
        </w:rPr>
      </w:pPr>
      <w:r>
        <w:rPr>
          <w:rFonts w:ascii="Arial;sans-serif" w:hAnsi="Arial;sans-serif"/>
          <w:b/>
          <w:sz w:val="20"/>
        </w:rPr>
        <w:t>Foreign Currency Exchange Risk</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pStyle w:val="TextBody"/>
        <w:spacing w:before="200" w:after="200"/>
        <w:jc w:val="left"/>
        <w:rPr>
          <w:rFonts w:ascii="Arial;sans-serif" w:hAnsi="Arial;sans-serif"/>
          <w:b w:val="false"/>
          <w:sz w:val="20"/>
        </w:rPr>
      </w:pPr>
      <w:r>
        <w:rPr>
          <w:rFonts w:ascii="Arial;sans-serif" w:hAnsi="Arial;sans-serif"/>
          <w:b w:val="false"/>
          <w:sz w:val="20"/>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During the quarter ended March 31, 2023, as the U.S. Dollar strengthened against several currencies, including the British Pound, relative to the same period in the prior year, these foreign exchange impacts reduced our reported revenue in U.S. Dollars by approximately $3.8 million compared to the quarter ended March 31, 2022 on a constant currency basis.</w:t>
      </w:r>
    </w:p>
    <w:p>
      <w:pPr>
        <w:pStyle w:val="TextBody"/>
        <w:spacing w:before="200" w:after="200"/>
        <w:jc w:val="left"/>
        <w:rPr>
          <w:rFonts w:ascii="Arial;sans-serif" w:hAnsi="Arial;sans-serif"/>
          <w:b w:val="false"/>
          <w:sz w:val="20"/>
        </w:rPr>
      </w:pPr>
      <w:r>
        <w:rPr>
          <w:rFonts w:ascii="Arial;sans-serif" w:hAnsi="Arial;sans-serif"/>
          <w:b w:val="false"/>
          <w:sz w:val="20"/>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 our condensed consolidated balance sheets. Gains and losses from the remeasurement of foreign currencies into functional currencies are recognized in the condensed consolidated statements of operations and comprehensive loss. A potential change in foreign exchange rates of 10% from such remeasurement would have impacted loss before income taxes by approximately $11.2 million and $10.9 million at March 31, 2023 and December 31, 2022, respectively.</w:t>
      </w:r>
    </w:p>
    <w:p>
      <w:pPr>
        <w:pStyle w:val="TextBody"/>
        <w:spacing w:before="200" w:after="200"/>
        <w:jc w:val="left"/>
        <w:rPr>
          <w:rFonts w:ascii="Times New Roman" w:hAnsi="Times New Roman"/>
          <w:sz w:val="20"/>
        </w:rPr>
      </w:pPr>
      <w:r>
        <w:rPr>
          <w:rFonts w:ascii="Arial;sans-serif" w:hAnsi="Arial;sans-serif"/>
          <w:b/>
          <w:sz w:val="20"/>
        </w:rPr>
        <w:t>Inflation Risk</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We do not believe that inflation had a material effect on our cash flows and results of operations during the three months ended March 31, 2023. If our costs were to become subject to significant inflationary pressures, we may not be able to fully offset such higher costs through increase in prices of our product offerings.</w:t>
      </w:r>
    </w:p>
    <w:p>
      <w:pPr>
        <w:pStyle w:val="TextBody"/>
        <w:spacing w:before="360" w:after="0"/>
        <w:jc w:val="left"/>
        <w:rPr>
          <w:rFonts w:ascii="Arial;sans-serif" w:hAnsi="Arial;sans-serif"/>
          <w:b/>
          <w:sz w:val="20"/>
        </w:rPr>
      </w:pPr>
      <w:bookmarkStart w:id="34" w:name="item_4"/>
      <w:bookmarkEnd w:id="34"/>
      <w:r>
        <w:rPr>
          <w:rFonts w:ascii="Arial;sans-serif" w:hAnsi="Arial;sans-serif"/>
          <w:b/>
          <w:sz w:val="20"/>
        </w:rPr>
        <w:t>Item 4. Controls and Procedures</w:t>
      </w:r>
    </w:p>
    <w:p>
      <w:pPr>
        <w:pStyle w:val="TextBody"/>
        <w:spacing w:before="200" w:after="200"/>
        <w:jc w:val="left"/>
        <w:rPr>
          <w:rFonts w:ascii="Times New Roman" w:hAnsi="Times New Roman"/>
          <w:sz w:val="20"/>
        </w:rPr>
      </w:pPr>
      <w:r>
        <w:rPr>
          <w:rFonts w:ascii="Arial;sans-serif" w:hAnsi="Arial;sans-serif"/>
          <w:b/>
          <w:sz w:val="20"/>
        </w:rPr>
        <w:t>Evaluation of Disclosure Controls and Procedures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March 31, 2023.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March 31, 2023, our disclosure controls and procedures were effective at the reasonable assurance level.</w:t>
      </w:r>
    </w:p>
    <w:p>
      <w:pPr>
        <w:pStyle w:val="TextBody"/>
        <w:spacing w:before="200" w:after="200"/>
        <w:jc w:val="left"/>
        <w:rPr>
          <w:rFonts w:ascii="Times New Roman" w:hAnsi="Times New Roman"/>
          <w:sz w:val="20"/>
        </w:rPr>
      </w:pPr>
      <w:r>
        <w:rPr>
          <w:rFonts w:ascii="Arial;sans-serif" w:hAnsi="Arial;sans-serif"/>
          <w:b/>
          <w:sz w:val="20"/>
        </w:rPr>
        <w:t>Changes in Internal Control over Financial Reporting</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There were no changes in our internal control over financial reporting identified in connection with the evaluation required by Rule 13a- 15(d) and 15d-15(d) of the Exchange Act that occurred during the quarter ended March 31, 2023 that have materially affected, or are reasonably likely to materially affect, our internal control over financial reporting.</w:t>
      </w:r>
    </w:p>
    <w:p>
      <w:pPr>
        <w:pStyle w:val="TextBody"/>
        <w:spacing w:before="200" w:after="200"/>
        <w:jc w:val="left"/>
        <w:rPr>
          <w:rFonts w:ascii="Times New Roman" w:hAnsi="Times New Roman"/>
          <w:sz w:val="20"/>
        </w:rPr>
      </w:pPr>
      <w:r>
        <w:rPr>
          <w:rFonts w:ascii="Arial;sans-serif" w:hAnsi="Arial;sans-serif"/>
          <w:b/>
          <w:sz w:val="20"/>
        </w:rPr>
        <w:t>Inherent Limitations on Effectiveness of Controls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management, including our Chief Executive Officer and Chief Financial Officer, believes that our disclosure controls and procedures and internal control over financial reporting are designed to provide reasonable assurance of</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spacing w:before="0" w:after="0"/>
        <w:jc w:val="center"/>
        <w:rPr>
          <w:rFonts w:ascii="Arial;sans-serif" w:hAnsi="Arial;sans-serif"/>
          <w:b w:val="false"/>
          <w:sz w:val="20"/>
        </w:rPr>
      </w:pPr>
      <w:r>
        <w:rPr>
          <w:rFonts w:ascii="Arial;sans-serif" w:hAnsi="Arial;sans-serif"/>
          <w:b w:val="false"/>
          <w:sz w:val="20"/>
        </w:rPr>
        <w:t>39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360" w:after="200"/>
        <w:jc w:val="left"/>
        <w:rPr>
          <w:rFonts w:ascii="Arial;sans-serif" w:hAnsi="Arial;sans-serif"/>
          <w:b/>
          <w:sz w:val="20"/>
        </w:rPr>
      </w:pPr>
      <w:bookmarkStart w:id="35" w:name="other_info"/>
      <w:bookmarkEnd w:id="35"/>
      <w:r>
        <w:rPr>
          <w:rFonts w:ascii="Arial;sans-serif" w:hAnsi="Arial;sans-serif"/>
          <w:b/>
          <w:sz w:val="20"/>
        </w:rPr>
        <w:t>PART II - OTHER INFORMATION</w:t>
      </w:r>
    </w:p>
    <w:p>
      <w:pPr>
        <w:pStyle w:val="TextBody"/>
        <w:spacing w:before="200" w:after="200"/>
        <w:jc w:val="left"/>
        <w:rPr>
          <w:rFonts w:ascii="Arial;sans-serif" w:hAnsi="Arial;sans-serif"/>
          <w:b/>
          <w:sz w:val="20"/>
        </w:rPr>
      </w:pPr>
      <w:bookmarkStart w:id="36" w:name="item_1"/>
      <w:bookmarkEnd w:id="36"/>
      <w:r>
        <w:rPr>
          <w:rFonts w:ascii="Arial;sans-serif" w:hAnsi="Arial;sans-serif"/>
          <w:b/>
          <w:sz w:val="20"/>
        </w:rPr>
        <w:t>Item 1. Legal Proceedings</w:t>
      </w:r>
    </w:p>
    <w:p>
      <w:pPr>
        <w:pStyle w:val="TextBody"/>
        <w:spacing w:before="200" w:after="200"/>
        <w:jc w:val="left"/>
        <w:rPr>
          <w:rFonts w:ascii="Arial;sans-serif" w:hAnsi="Arial;sans-serif"/>
          <w:b w:val="false"/>
          <w:sz w:val="20"/>
        </w:rPr>
      </w:pPr>
      <w:r>
        <w:rPr>
          <w:rFonts w:ascii="Arial;sans-serif" w:hAnsi="Arial;sans-serif"/>
          <w:b w:val="false"/>
          <w:sz w:val="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pStyle w:val="TextBody"/>
        <w:spacing w:before="200" w:after="200"/>
        <w:jc w:val="left"/>
        <w:rPr>
          <w:rFonts w:ascii="Times New Roman" w:hAnsi="Times New Roman"/>
          <w:sz w:val="20"/>
        </w:rPr>
      </w:pPr>
      <w:bookmarkStart w:id="37" w:name="item_1a"/>
      <w:bookmarkEnd w:id="37"/>
      <w:r>
        <w:rPr>
          <w:rFonts w:ascii="Arial;sans-serif" w:hAnsi="Arial;sans-serif"/>
          <w:b/>
          <w:sz w:val="20"/>
        </w:rPr>
        <w:t>It</w:t>
      </w:r>
      <w:bookmarkStart w:id="38" w:name="item_1a_risk_factors_1"/>
      <w:bookmarkEnd w:id="38"/>
      <w:r>
        <w:rPr>
          <w:rFonts w:ascii="Arial;sans-serif" w:hAnsi="Arial;sans-serif"/>
          <w:b/>
          <w:sz w:val="20"/>
        </w:rPr>
        <w:t>em 1A. Risk Factors</w:t>
      </w:r>
    </w:p>
    <w:p>
      <w:pPr>
        <w:pStyle w:val="TextBody"/>
        <w:spacing w:before="200" w:after="200"/>
        <w:jc w:val="left"/>
        <w:rPr>
          <w:rFonts w:ascii="Times New Roman" w:hAnsi="Times New Roman"/>
          <w:sz w:val="20"/>
        </w:rPr>
      </w:pPr>
      <w:r>
        <w:rPr>
          <w:rFonts w:ascii="Arial;sans-serif" w:hAnsi="Arial;sans-serif"/>
          <w:b w:val="false"/>
          <w:i/>
          <w:sz w:val="20"/>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sz w:val="20"/>
        </w:rPr>
        <w:t>Risk Factors Summary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summary of risks below is intended to provide an overview of the risks we face and should not be considered a substitute for the more fulsome risk factors discussed immediately following this summary.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Risks Related to Our Business and Industry</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have a history of operating losses and may not achieve or sustain profitability in the future.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have a short operating history at our current scale in a rapidly evolving industry.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We may experience quarterly fluctuations in operating results.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may be unable to retain our current clients, attract new clients, and increase the number of our clients’ customers that use our solutions or sell additional functionality to our clients.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Efforts to attract new clients may be unsuccessful.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We may be unable to expand our direct and channel sales capabilities, grow our marketing reach and increase sales productivity.</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expect our revenue mix to vary over time, which could affect our gross profit, gross margin and results of operations.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business could be adversely affected if our clients and their customers are not satisfied with the timing or quality of implementation services provided by us or our partners.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financial and operating results are subject to seasonality and cyclicality.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are exposed to fluctuations in foreign currency exchange rates that could materially and adversely affect our cash flows and results of operations.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Certain of our key performance indicators are subject to inherent challenges in measurement. </w:t>
      </w:r>
    </w:p>
    <w:p>
      <w:pPr>
        <w:pStyle w:val="TextBody"/>
        <w:spacing w:before="0" w:after="0"/>
        <w:jc w:val="center"/>
        <w:rPr>
          <w:rFonts w:ascii="Arial;sans-serif" w:hAnsi="Arial;sans-serif"/>
          <w:b w:val="false"/>
          <w:sz w:val="20"/>
        </w:rPr>
      </w:pPr>
      <w:r>
        <w:rPr>
          <w:rFonts w:ascii="Arial;sans-serif" w:hAnsi="Arial;sans-serif"/>
          <w:b w:val="false"/>
          <w:sz w:val="20"/>
        </w:rPr>
        <w:t>40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Our business depends, in large part, on our proprietary network of global, regional, and local banking partners and our relationships with other third parties.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Our markets are highly competitive.</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estimates of market opportunity and our ability to capture a meaningful share of this payment volume may prove to be inaccurate.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education business may be adversely affected by decreases in enrollment or tuition, or increased operating expenses for our clients.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healthcare industry is rapidly evolving.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travel business may be sensitive to events affecting the travel industry in general.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may be unable to enter or expand into new verticals, including our relatively new business-to-business (B2B) payment vertical.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There could be consolidation in the payment processing or enablement industry. </w:t>
      </w:r>
    </w:p>
    <w:p>
      <w:pPr>
        <w:pStyle w:val="TextBody"/>
        <w:spacing w:before="200" w:after="200"/>
        <w:jc w:val="left"/>
        <w:rPr/>
      </w:pPr>
      <w:r>
        <w:rPr/>
        <w:t>•</w:t>
      </w:r>
    </w:p>
    <w:p>
      <w:pPr>
        <w:pStyle w:val="TextBody"/>
        <w:spacing w:before="200" w:after="200"/>
        <w:jc w:val="left"/>
        <w:rPr/>
      </w:pPr>
      <w:r>
        <w:rPr>
          <w:rFonts w:ascii="Arial;sans-serif" w:hAnsi="Arial;sans-serif"/>
          <w:b w:val="false"/>
          <w:sz w:val="20"/>
        </w:rPr>
        <w:t>We may be adversely impacted by worldwide global economic and political instability.</w:t>
      </w:r>
      <w:r>
        <w:rPr>
          <w:u w:val="single"/>
        </w:rPr>
        <w:t xml:space="preserve"> </w:t>
      </w:r>
    </w:p>
    <w:p>
      <w:pPr>
        <w:pStyle w:val="TextBody"/>
        <w:spacing w:before="200" w:after="200"/>
        <w:jc w:val="left"/>
        <w:rPr>
          <w:rFonts w:ascii="Times New Roman" w:hAnsi="Times New Roman"/>
          <w:sz w:val="20"/>
        </w:rPr>
      </w:pPr>
      <w:r>
        <w:rPr>
          <w:rFonts w:ascii="Arial;sans-serif" w:hAnsi="Arial;sans-serif"/>
          <w:b/>
          <w:i/>
          <w:sz w:val="20"/>
        </w:rPr>
        <w:t>Risks Related to Our Operations</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may not be able to scale our business quickly enough to meet our growing client base.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enable the transfer of large sums of funds to our clients daily and are subject to the risk of errors.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Volatility in the banking and financial services sectors may impact our bank partnerships and relationships which could adversely affect our operations and liquidity.</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Our management of our operating funds and those of our clients may be reliant on a limited number of our banking partners and other financial institutions.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may be unable to maintain or expand our ability to offer a variety of local and international payments.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Improper or unauthorized use of, disclosure of, or access to personal or sensitive data could harm our reputation.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may fail to adapt and respond effectively to rapidly changing technology, evolving industry standards, changing regulations, and changing business needs, requirements, or preferences.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Changes to payment card networks fees or rules could harm our business.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If we lose key members of our management team or are unable to attract and retain executives and employees we need to support our operations and growth, our business may be harmed.</w:t>
      </w:r>
    </w:p>
    <w:p>
      <w:pPr>
        <w:pStyle w:val="TextBody"/>
        <w:spacing w:before="200" w:after="200"/>
        <w:jc w:val="left"/>
        <w:rPr>
          <w:rFonts w:ascii="Times New Roman" w:hAnsi="Times New Roman"/>
          <w:sz w:val="20"/>
        </w:rPr>
      </w:pPr>
      <w:r>
        <w:rPr>
          <w:rFonts w:ascii="Arial;sans-serif" w:hAnsi="Arial;sans-serif"/>
          <w:b/>
          <w:i/>
          <w:sz w:val="20"/>
        </w:rPr>
        <w:t>Risks Related to Our Legal, Regulatory and Compliance Landscape</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Payments and other financial services-related regulations and oversight are material to our business.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are subject to governmental laws and requirements regarding economic and trade sanctions, anti-money laundering (AML), countering the financing of terrorism (CFT) and those applicable to a money service business (MSB).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are subject to governmental regulation and other legal obligations, particularly those related to privacy, data protection, information security, anti-corruption, anti-bribery, and similar laws. </w:t>
      </w:r>
    </w:p>
    <w:p>
      <w:pPr>
        <w:pStyle w:val="TextBody"/>
        <w:spacing w:before="200" w:after="200"/>
        <w:jc w:val="left"/>
        <w:rPr>
          <w:rFonts w:ascii="Times New Roman" w:hAnsi="Times New Roman"/>
          <w:sz w:val="20"/>
        </w:rPr>
      </w:pPr>
      <w:r>
        <w:rPr>
          <w:rFonts w:ascii="Arial;sans-serif" w:hAnsi="Arial;sans-serif"/>
          <w:b/>
          <w:i/>
          <w:sz w:val="20"/>
        </w:rPr>
        <w:t>Risks Related to Being a Public Company</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may fail to develop and maintain proper effective internal control over financial reporting. </w:t>
      </w:r>
    </w:p>
    <w:p>
      <w:pPr>
        <w:pStyle w:val="TextBody"/>
        <w:spacing w:before="0" w:after="0"/>
        <w:jc w:val="center"/>
        <w:rPr>
          <w:rFonts w:ascii="Arial;sans-serif" w:hAnsi="Arial;sans-serif"/>
          <w:b w:val="false"/>
          <w:sz w:val="20"/>
        </w:rPr>
      </w:pPr>
      <w:r>
        <w:rPr>
          <w:rFonts w:ascii="Arial;sans-serif" w:hAnsi="Arial;sans-serif"/>
          <w:b w:val="false"/>
          <w:sz w:val="20"/>
        </w:rPr>
        <w:t>41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Estimates relating to our critical accounting policies may prove to be incorrect.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will continue to incur increased costs as a public company. </w:t>
      </w:r>
    </w:p>
    <w:p>
      <w:pPr>
        <w:pStyle w:val="TextBody"/>
        <w:spacing w:before="200" w:after="200"/>
        <w:jc w:val="left"/>
        <w:rPr>
          <w:rFonts w:ascii="Times New Roman" w:hAnsi="Times New Roman"/>
          <w:sz w:val="20"/>
        </w:rPr>
      </w:pPr>
      <w:r>
        <w:rPr>
          <w:rFonts w:ascii="Arial;sans-serif" w:hAnsi="Arial;sans-serif"/>
          <w:b/>
          <w:i/>
          <w:sz w:val="20"/>
        </w:rPr>
        <w:t>Risks Related to Ownership of Our Common Stock</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Raising additional capital may cause dilution to our existing stockholders, restrict our operations, or require us to relinquish rights to our intellectual property on unfavorable terms.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Securities and industry analysts may not publish or publish inaccurate or unfavorable research about our business. </w:t>
      </w:r>
    </w:p>
    <w:p>
      <w:pPr>
        <w:pStyle w:val="TextBody"/>
        <w:spacing w:before="200" w:after="200"/>
        <w:jc w:val="left"/>
        <w:rPr>
          <w:rFonts w:ascii="Times New Roman" w:hAnsi="Times New Roman"/>
          <w:sz w:val="20"/>
        </w:rPr>
      </w:pPr>
      <w:r>
        <w:rPr>
          <w:rFonts w:ascii="Arial;sans-serif" w:hAnsi="Arial;sans-serif"/>
          <w:b/>
          <w:sz w:val="20"/>
        </w:rPr>
        <w:t>Risks Related to Our Business and Industry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have a history of operating losses and may not achieve or sustain profitability in the future.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were incorporated in 2009 and have experienced net losses from our operations since inception. We generated net losses of $39.3 million and $28.1 million for the years ended December 31, 2022 and 2021, respectively, and $3.7 million during the three months ended March 31, 2023. In addition, as of March 31, 2023, we had an accumulated deficit of $168.9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including our transition to a large accelerated filer status as of December 31, 2022.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we expect to continue to expend substantial management time, financial and other resources on:</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sales, marketing, relationship management and client support, including an expansion of our sales organization, and new client support and payer retention initiatives;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technology infrastructure, including systems architecture, scalability, availability, performance, and security;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technology development, including investments in our technology development team and the development of new solutions and new functionality;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expanding into more international markets;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attracting new clients and increasing the number of our clients’ customers that use our solutions;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acquisitions or strategic investments; </w:t>
      </w:r>
    </w:p>
    <w:p>
      <w:pPr>
        <w:pStyle w:val="TextBody"/>
        <w:spacing w:before="0" w:after="0"/>
        <w:jc w:val="center"/>
        <w:rPr>
          <w:rFonts w:ascii="Arial;sans-serif" w:hAnsi="Arial;sans-serif"/>
          <w:b w:val="false"/>
          <w:sz w:val="20"/>
        </w:rPr>
      </w:pPr>
      <w:r>
        <w:rPr>
          <w:rFonts w:ascii="Arial;sans-serif" w:hAnsi="Arial;sans-serif"/>
          <w:b w:val="false"/>
          <w:sz w:val="20"/>
        </w:rPr>
        <w:t>42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regulatory compliance and risk management; and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general administration, including increased insurance, legal and accounting expenses associated with being a public company. </w:t>
      </w:r>
    </w:p>
    <w:p>
      <w:pPr>
        <w:pStyle w:val="TextBody"/>
        <w:spacing w:before="200" w:after="200"/>
        <w:jc w:val="left"/>
        <w:rPr>
          <w:rFonts w:ascii="Times New Roman" w:hAnsi="Times New Roman"/>
          <w:sz w:val="20"/>
        </w:rPr>
      </w:pPr>
      <w:r>
        <w:rPr>
          <w:rFonts w:ascii="Arial;sans-serif" w:hAnsi="Arial;sans-serif"/>
          <w:b w:val="false"/>
          <w:sz w:val="20"/>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have a short operating history at our current scale in a rapidly evolving industry and, as a result, our past results may not be indicative of future operating performance.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future success will depend in large part upon our ability to, among other things:</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cost-effectively acquire new clients and retain existing clients;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increase our market share;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avoid pricing pressure on our solutions which would compress our margins;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effectively market our solutions;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enhance our existing solutions and develop new solutions;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increase awareness of our brand and maintain our reputation;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ability to offer seamless experience for our clients and their customers, including all user facing attributes ranging from the user interface to client and customer support;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anticipate and respond to microeconomic and macroeconomic changes;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expand our solutions and geographic reach, including with respect to B2B and travel payments;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anticipate and effectively respond to changing trends and the preferences of clients and their customers;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compete effectively;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avoid interruptions in our business from information technology (IT) downtime, cybersecurity breaches, or labor stoppages;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effectively manage our growth; </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effectively manage foreign currency exchange risk;</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hire, integrate, and retain talented people at all levels of our organization;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maintain the quality of our technology infrastructure; </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compliance with multiple, conflicting and changing governmental laws and regulations, including with respect to employment, tax, competition, COVID-19 and environmental, social and governance (ESG) matters;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global pandemics, such as COVID-19, or other public health emergencies;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retain our existing proprietary global network of banking and other payment partners and add new banking and other payment partners to scale our business; and </w:t>
      </w:r>
    </w:p>
    <w:p>
      <w:pPr>
        <w:pStyle w:val="TextBody"/>
        <w:spacing w:before="0" w:after="0"/>
        <w:jc w:val="center"/>
        <w:rPr>
          <w:rFonts w:ascii="Arial;sans-serif" w:hAnsi="Arial;sans-serif"/>
          <w:b w:val="false"/>
          <w:sz w:val="20"/>
        </w:rPr>
      </w:pPr>
      <w:r>
        <w:rPr>
          <w:rFonts w:ascii="Arial;sans-serif" w:hAnsi="Arial;sans-serif"/>
          <w:b w:val="false"/>
          <w:sz w:val="20"/>
        </w:rPr>
        <w:t>43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retain our existing technology partners that allow us to provide alternative payment methods and add new technology partners to scale our business. </w:t>
      </w:r>
    </w:p>
    <w:p>
      <w:pPr>
        <w:pStyle w:val="TextBody"/>
        <w:spacing w:before="200" w:after="200"/>
        <w:jc w:val="left"/>
        <w:rPr>
          <w:rFonts w:ascii="Times New Roman" w:hAnsi="Times New Roman"/>
          <w:sz w:val="20"/>
        </w:rPr>
      </w:pPr>
      <w:r>
        <w:rPr>
          <w:rFonts w:ascii="Arial;sans-serif" w:hAnsi="Arial;sans-serif"/>
          <w:b w:val="false"/>
          <w:sz w:val="20"/>
        </w:rPr>
        <w:t>If we fail to address the risks and difficulties that we face, including those associated with the challenges listed above as well as those described elsewhere in this section titled “Risk Factors”, our business and operating results will be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If we are unable to retain our current clients, attract new clients and increase the number of our clients’ customers that use our solutions or sell additional functionality to our clients, our revenue growth and operating results will be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may experience quarterly fluctuations in our operating results, as well as our key metrics, due to a number of factors which make our future results difficult to predict and could cause our operating results to fall below expectations or our guidance.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44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demand for our solutions and the number, volume and timing of payments processed;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timing of tuition payments;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market acceptance of our current and future solutions;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revenue mix in a particular quarter;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mix of payment methods and currencies utilized by our clients’ customers in a particular quarter;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 slowdown in spending on IT and software by our current and/or prospective clients;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sales cycles and performance of our direct and indirect sales force;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budgeting and implementation cycles of our current or potential clients;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foreign currency exchange rate fluctuations;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management, performance and expansion of our domestic and international operations;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rate of renewals of contracts with our clients;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changes in the competitive dynamics of our markets;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ability to control and predict costs, including our operating expenses;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clients delaying purchasing decisions, including in anticipation of new products or product enhancements by us or our competitors;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seasonality of our business;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failure to successfully manage or integrate any acquisitions, including our acquisitions of WPM and Cohort Go;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outcome or publicity surrounding any pending or threatened lawsuits;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general economic and political conditions in our domestic and international markets, including inflation and fluctuations in supply chains;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changes in the level of scrutiny applied by regulators and investors on our ESG program;</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unexpected events, including those resulting from climate change or geopolitical events; </w:t>
      </w:r>
    </w:p>
    <w:p>
      <w:pPr>
        <w:pStyle w:val="TextBody"/>
        <w:spacing w:before="120" w:after="0"/>
        <w:jc w:val="left"/>
        <w:rPr/>
      </w:pPr>
      <w:r>
        <w:rPr/>
        <w:t>•</w:t>
      </w:r>
    </w:p>
    <w:p>
      <w:pPr>
        <w:pStyle w:val="TextBody"/>
        <w:spacing w:before="120" w:after="0"/>
        <w:jc w:val="left"/>
        <w:rPr/>
      </w:pPr>
      <w:r>
        <w:rPr>
          <w:rFonts w:ascii="Arial;sans-serif" w:hAnsi="Arial;sans-serif"/>
          <w:b w:val="false"/>
          <w:sz w:val="20"/>
        </w:rPr>
        <w:t>expected or actual extended federal government shutdowns, partisan gridlock that results in the inability of Congress to take action or changes to government, which among other things could impact visa issuances and educational financial aid payments; and</w:t>
      </w:r>
      <w:r>
        <w:rPr>
          <w:u w:val="single"/>
        </w:rPr>
        <w:t xml:space="preserve"> </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 xml:space="preserve">global pandemics, such as COVID-19, or other public health emergencies and the responses thereto. </w:t>
      </w:r>
    </w:p>
    <w:p>
      <w:pPr>
        <w:pStyle w:val="TextBody"/>
        <w:spacing w:before="200" w:after="200"/>
        <w:jc w:val="left"/>
        <w:rPr>
          <w:rFonts w:ascii="Times New Roman" w:hAnsi="Times New Roman"/>
          <w:sz w:val="20"/>
        </w:rPr>
      </w:pPr>
      <w:r>
        <w:rPr>
          <w:rFonts w:ascii="Arial;sans-serif" w:hAnsi="Arial;sans-serif"/>
          <w:b w:val="false"/>
          <w:sz w:val="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45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We expect our revenue mix to vary over time, which could affect our gross profit, gross margin and results of operations.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spacing w:before="200" w:after="200"/>
        <w:jc w:val="left"/>
        <w:rPr>
          <w:rFonts w:ascii="Times New Roman" w:hAnsi="Times New Roman"/>
          <w:sz w:val="20"/>
        </w:rPr>
      </w:pPr>
      <w:r>
        <w:rPr>
          <w:rFonts w:ascii="Arial;sans-serif" w:hAnsi="Arial;sans-serif"/>
          <w:b/>
          <w:i/>
          <w:sz w:val="20"/>
        </w:rPr>
        <w:t>If our efforts to attract new clients and increase the number of our clients’ customers that use our solutions are unsuccessful, our revenue growth and operating results will be adversely affected.</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pStyle w:val="TextBody"/>
        <w:spacing w:before="200" w:after="200"/>
        <w:jc w:val="left"/>
        <w:rPr>
          <w:rFonts w:ascii="Times New Roman" w:hAnsi="Times New Roman"/>
          <w:sz w:val="20"/>
        </w:rPr>
      </w:pPr>
      <w:r>
        <w:rPr>
          <w:rFonts w:ascii="Arial;sans-serif" w:hAnsi="Arial;sans-serif"/>
          <w:b/>
          <w:i/>
          <w:sz w:val="20"/>
        </w:rPr>
        <w:t>If we are unable to expand our direct and channel sales capabilities, grow our marketing reach and increase sales productivity, we may not be able to generate increased revenues.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business could be adversely affected if our clients or their customers are not satisfied with the timing or quality of implementation services provided by us or our partners.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46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Our financial and operating results are subject to seasonality and cyclicality.</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have, for the most part, returned to their normal billing cycles and payment due dates. Many higher education institutions are mandating full vaccination to promote normal operations and allowing students from abroad to return to their facilities.</w:t>
      </w:r>
    </w:p>
    <w:p>
      <w:pPr>
        <w:pStyle w:val="TextBody"/>
        <w:spacing w:before="200" w:after="200"/>
        <w:jc w:val="left"/>
        <w:rPr>
          <w:rFonts w:ascii="Times New Roman" w:hAnsi="Times New Roman"/>
          <w:sz w:val="20"/>
        </w:rPr>
      </w:pPr>
      <w:r>
        <w:rPr>
          <w:rFonts w:ascii="Arial;sans-serif" w:hAnsi="Arial;sans-serif"/>
          <w:b/>
          <w:i/>
          <w:sz w:val="20"/>
        </w:rPr>
        <w:t>We are exposed to fluctuations in foreign currency exchange rates that could materially and adversely affect our 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during the quarter ended March 31, 2023, as the U.S. Dollar strengthened against several currencies, including the British Pound, relative to the same period in the prior year, these foreign exchange impacts reduced our reported revenue in U.S. Dollars by approximately $3.8 million compared to the quarter ended March 31, 2022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 Russian ruble, could result in the dollar equivalent of our expenses being higher which may not be offset by additional revenue earned in the local currency. This could have a negative impact on our reported 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Certain of our key performance indicators are subject to inherent challenges in measurement, and real or perceived inaccuracies in such metrics may harm our reputation and negatively affect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47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metrics to be accurate, or if we discover material inaccuracies with respect to these figures, our reputation may be significantly harmed, and our operating and financial results could be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business depends, in large part, on our proprietary network of global, regional and local banking partners.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Recent instability and volatility in the banking and financial services sectors, including bank failures, have increased uncertainty in the global economy and increased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clients's operations. This could potentially lead to reduced use of our platform and lower payment volume which may adversely impact our business, operating results, and financial condition.</w:t>
      </w:r>
    </w:p>
    <w:p>
      <w:pPr>
        <w:pStyle w:val="TextBody"/>
        <w:spacing w:before="200" w:after="200"/>
        <w:jc w:val="left"/>
        <w:rPr>
          <w:rFonts w:ascii="Times New Roman" w:hAnsi="Times New Roman"/>
          <w:sz w:val="20"/>
        </w:rPr>
      </w:pPr>
      <w:r>
        <w:rPr>
          <w:rFonts w:ascii="Arial;sans-serif" w:hAnsi="Arial;sans-serif"/>
          <w:b w:val="false"/>
          <w:sz w:val="20"/>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growth depends in part on the success of our relationships with other (non-banking) third parties.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The markets in which we participate are competitive, and if we do not compete effectively, our operating results could be harmed.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48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pStyle w:val="TextBody"/>
        <w:spacing w:before="200" w:after="200"/>
        <w:jc w:val="left"/>
        <w:rPr>
          <w:rFonts w:ascii="Times New Roman" w:hAnsi="Times New Roman"/>
          <w:sz w:val="20"/>
        </w:rPr>
      </w:pPr>
      <w:r>
        <w:rPr>
          <w:rFonts w:ascii="Arial;sans-serif" w:hAnsi="Arial;sans-serif"/>
          <w:b/>
          <w:i/>
          <w:sz w:val="20"/>
        </w:rPr>
        <w:t>Our clients in the education sector may be adversely affected by decreases in enrollment, pressure on tuition costs, or increased operating expenses, which may reduce demand for our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Government supported institutions may experience losses or reduction in public funding. Many of our clients rely considerably upon public funding or support, which may not always be available due to budget constraints.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Changing perceptions about in-person classes. Students may reject the opportunity to attend courses in person, when online or virtual classes are offered as an option, due to growing familiarity and perceived convenience of remote learning, the COVID-19 pandemic or a lower price point for online classes.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clients’ rankings, reputation and marketing efforts strongly affect enrollments, none of which we control. If we fail to maintain or add clients with strong, stable reputations and rankings, they will fail to achieve consistent enrollments.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Declines in international student enrollment. The COVID-19 pandemic, including the emergence of variants and sub-variants, the ongoing COVID-19 mobility restrictions imposed by health authorities, and restrictions on immigration or the award of student visas can negatively impact the cross-border education industry, and schools that rely on foreign student populations, will be negatively affected or may cease operations.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General economic conditions. Any contraction in the economy could be expected to reduce enrollment in higher education, whether by reducing funding, reducing corporate allowances for continuing education, general reductions in employment or savings or other factors. </w:t>
      </w:r>
    </w:p>
    <w:p>
      <w:pPr>
        <w:pStyle w:val="TextBody"/>
        <w:spacing w:before="0" w:after="0"/>
        <w:jc w:val="center"/>
        <w:rPr>
          <w:rFonts w:ascii="Arial;sans-serif" w:hAnsi="Arial;sans-serif"/>
          <w:b w:val="false"/>
          <w:sz w:val="20"/>
        </w:rPr>
      </w:pPr>
      <w:r>
        <w:rPr>
          <w:rFonts w:ascii="Arial;sans-serif" w:hAnsi="Arial;sans-serif"/>
          <w:b w:val="false"/>
          <w:sz w:val="20"/>
        </w:rPr>
        <w:t>49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w:t>
      </w:r>
    </w:p>
    <w:p>
      <w:pPr>
        <w:pStyle w:val="TextBody"/>
        <w:spacing w:before="200" w:after="200"/>
        <w:jc w:val="left"/>
        <w:rPr>
          <w:rFonts w:ascii="Times New Roman" w:hAnsi="Times New Roman"/>
          <w:sz w:val="20"/>
        </w:rPr>
      </w:pPr>
      <w:r>
        <w:rPr>
          <w:rFonts w:ascii="Arial;sans-serif" w:hAnsi="Arial;sans-serif"/>
          <w:b w:val="false"/>
          <w:sz w:val="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business serving clients in the travel sector may be sensitive to events affecting the travel industry in general.</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Events like regional or larger scale conflicts, war or other military conflict,</w:t>
      </w:r>
      <w:r>
        <w:rPr>
          <w:rFonts w:ascii="Times New Roman" w:hAnsi="Times New Roman"/>
          <w:sz w:val="20"/>
        </w:rPr>
        <w:t xml:space="preserve"> </w:t>
      </w:r>
      <w:r>
        <w:rPr>
          <w:rFonts w:ascii="Arial;sans-serif" w:hAnsi="Arial;sans-serif"/>
          <w:b w:val="false"/>
          <w:sz w:val="20"/>
        </w:rPr>
        <w:t>including the conflict between Russia and Ukraine, terrorist attacks, mass shooting incidents, natural disasters, such as hurricanes, earthquakes, fires, droughts, floods and volcanic activity, including events resulting from climate change, and travel-related health events, such as the COVID-19 pandemic, have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the U.K.’s withdrawal from the E.U. (Brexit), including uncertainty, delays or practical difficulties in the implementation of Brexit, could continue to lead to economic uncertainty, sluggish growth or economic retraction,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With respect to the COVID-19 pandemic specifically, our 2020 financial results related to serving our existing travel clients and growing our client base in the travel sector were negatively impacted. During the years ended December 31, 2021 and 2022, we witnessed recoveries in our financial results and growth in revenue and payment volumes in our travel payment vertical. While improvements have been noted, we are still experiencing impacts to our travel clients. We expect the continued effects of the COVID-19 pandemic, including the emergence and spread of variants or sub-variants of COVID-19, may continue to negatively impact our business throughout 2023, but the extent and duration of such impact in the long term is largely uncertain as it is dependent on future developments that cannot be accurately predicted at this time, including, but not limited to, the emergence of variants and sub-variants, international regulations and restrictions that inhibit cross-border travel, global availability of vaccines and administration of vaccination, the rate of "herd immunity" and the impact of these and other factors on travel behavior. Our clients and their customers who are affected by the ongoing COVID-19 pandemic may continue to demonstrate changed behavior even after the COVID-19 outbreak has subsided.</w:t>
      </w:r>
    </w:p>
    <w:p>
      <w:pPr>
        <w:pStyle w:val="TextBody"/>
        <w:spacing w:before="0" w:after="0"/>
        <w:jc w:val="center"/>
        <w:rPr>
          <w:rFonts w:ascii="Arial;sans-serif" w:hAnsi="Arial;sans-serif"/>
          <w:b w:val="false"/>
          <w:sz w:val="20"/>
        </w:rPr>
      </w:pPr>
      <w:r>
        <w:rPr>
          <w:rFonts w:ascii="Arial;sans-serif" w:hAnsi="Arial;sans-serif"/>
          <w:b w:val="false"/>
          <w:sz w:val="20"/>
        </w:rPr>
        <w:t>51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If we are unable to enter or expand new client verticals, including our relatively new B2B payment vertical, or if our solutions for any new vertical fail to achieve market acceptance, our operating results could be adversely affected and we may be required to reconsider our growth strategy.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growth strategy is influenced, in part, on our ability to expand into new client 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Consolidation in the payment processing or enablement industry could have a material adverse effect on our business, financial condition and 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r>
        <w:rPr>
          <w:rFonts w:ascii="Times New Roman" w:hAnsi="Times New Roman"/>
          <w:sz w:val="20"/>
        </w:rPr>
        <w:t xml:space="preserve"> </w:t>
      </w:r>
    </w:p>
    <w:p>
      <w:pPr>
        <w:pStyle w:val="TextBody"/>
        <w:spacing w:before="200" w:after="0"/>
        <w:jc w:val="left"/>
        <w:rPr>
          <w:rFonts w:ascii="Arial;sans-serif" w:hAnsi="Arial;sans-serif"/>
          <w:b/>
          <w:i/>
          <w:sz w:val="20"/>
        </w:rPr>
      </w:pPr>
      <w:r>
        <w:rPr>
          <w:rFonts w:ascii="Arial;sans-serif" w:hAnsi="Arial;sans-serif"/>
          <w:b/>
          <w:i/>
          <w:sz w:val="20"/>
        </w:rPr>
        <w:t>We may be adversely affected by global economic and political instability.</w:t>
      </w:r>
    </w:p>
    <w:p>
      <w:pPr>
        <w:pStyle w:val="TextBody"/>
        <w:spacing w:before="200" w:after="200"/>
        <w:jc w:val="left"/>
        <w:rPr>
          <w:rFonts w:ascii="Times New Roman" w:hAnsi="Times New Roman"/>
          <w:sz w:val="20"/>
        </w:rPr>
      </w:pPr>
      <w:r>
        <w:rPr>
          <w:rFonts w:ascii="Arial;sans-serif" w:hAnsi="Arial;sans-serif"/>
          <w:b w:val="false"/>
          <w:sz w:val="20"/>
        </w:rPr>
        <w:t>As we seek to continue to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the banking ecosystem or credit, equity and foreign exchange markets, bankruptcies and outbreaks of variants of COVID-19, as well as war, terrorist activity, political or social unrest, civil strife and other geopolitical uncertainty, including the effects of ongoing United States-China diplomatic and trade friction and social unrest in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For example, on February 24, 2022, Russian military forces invaded Ukraine, and continued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pStyle w:val="TextBody"/>
        <w:spacing w:before="200" w:after="200"/>
        <w:jc w:val="left"/>
        <w:rPr>
          <w:rFonts w:ascii="Arial;sans-serif" w:hAnsi="Arial;sans-serif"/>
          <w:b w:val="false"/>
          <w:sz w:val="20"/>
        </w:rPr>
      </w:pPr>
      <w:r>
        <w:rPr>
          <w:rFonts w:ascii="Arial;sans-serif" w:hAnsi="Arial;sans-serif"/>
          <w:b w:val="false"/>
          <w:sz w:val="20"/>
        </w:rPr>
        <w:t>We are actively monitoring the situation in Ukraine and assessing its impact on our business, but to date have not experienced any material impact.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As the adverse effects of this conflict continue to develop and potentially spread, both in Europe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this conflict and any of the abovementioned factors could have a material adverse effect on our business, financial condition and results of operations, particularly to the extent the conflict escalates to involve additional countries, further economic sanctions and wider military conflict. Any such disruptions could also magnify the impact of other risks described in this Quarterly Report on Form 10-Q.</w:t>
      </w:r>
    </w:p>
    <w:p>
      <w:pPr>
        <w:pStyle w:val="TextBody"/>
        <w:spacing w:before="200" w:after="200"/>
        <w:jc w:val="left"/>
        <w:rPr>
          <w:rFonts w:ascii="Arial;sans-serif" w:hAnsi="Arial;sans-serif"/>
          <w:b w:val="false"/>
          <w:sz w:val="20"/>
        </w:rPr>
      </w:pPr>
      <w:r>
        <w:rPr>
          <w:rFonts w:ascii="Arial;sans-serif" w:hAnsi="Arial;sans-serif"/>
          <w:b w:val="false"/>
          <w:sz w:val="20"/>
        </w:rPr>
        <w:t>In addition, political instability or adverse political developments and new or continued economic deterioration, including as a result of the withdrawal by many global central banks of stimulus measures deployed during the peak of the COVID-19 pandemic, in any of the countries in which we operate could harm our business, results of operations and financial condition.</w:t>
      </w:r>
    </w:p>
    <w:p>
      <w:pPr>
        <w:pStyle w:val="TextBody"/>
        <w:spacing w:before="200" w:after="200"/>
        <w:jc w:val="left"/>
        <w:rPr>
          <w:rFonts w:ascii="Arial;sans-serif" w:hAnsi="Arial;sans-serif"/>
          <w:b w:val="false"/>
          <w:sz w:val="20"/>
        </w:rPr>
      </w:pPr>
      <w:r>
        <w:rPr>
          <w:rFonts w:ascii="Arial;sans-serif" w:hAnsi="Arial;sans-serif"/>
          <w:b w:val="false"/>
          <w:sz w:val="20"/>
        </w:rPr>
        <w:t>More recently, inflation rates in the United States have increased to levels not seen in several years, which may result in decreased demand for our solutions, increases in our operating costs including our labor costs, constrained credit and liquidity, and volatility in financial markets and the banking ecosystem. The United States Federal Reserve has raised, and may again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the COVID-19 pandemic and concerns over inflation risk. A sharp rise in interest rates could have an adverse impact on the fair market value of securities we may invest in as part of our portfolio investments, which could adversely affect our financial results.</w:t>
      </w:r>
    </w:p>
    <w:p>
      <w:pPr>
        <w:pStyle w:val="TextBody"/>
        <w:spacing w:before="200" w:after="200"/>
        <w:jc w:val="left"/>
        <w:rPr>
          <w:rFonts w:ascii="Times New Roman" w:hAnsi="Times New Roman"/>
          <w:sz w:val="20"/>
        </w:rPr>
      </w:pPr>
      <w:r>
        <w:rPr>
          <w:rFonts w:ascii="Arial;sans-serif" w:hAnsi="Arial;sans-serif"/>
          <w:b/>
          <w:sz w:val="20"/>
        </w:rPr>
        <w:t>Risks Related to Our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may not be able to scale our business quickly enough to meet our growing client base, and if we are not able to grow efficiently, our operating results could be harmed.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We enable the transfer of large sums of funds to our clients daily, and are subject to the risk of errors, which could result in financial losses, damage to our reputation, or loss of trust in our brand, which would harm our business and financial results.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For the year ended December 31, 2022, we processed over $18.1 billion in payments on our solutions, compared to approximately $13.2 billion for the year ended December 31, 2021. For the three months ended March 31, 2023, we processed approximately $5.7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 has gone out of business, we may be unable to collect on the chargeback and will bear the economic loss, which will negatively impact our business.</w:t>
      </w:r>
    </w:p>
    <w:p>
      <w:pPr>
        <w:pStyle w:val="TextBody"/>
        <w:spacing w:before="200" w:after="200"/>
        <w:jc w:val="left"/>
        <w:rPr>
          <w:rFonts w:ascii="Times New Roman" w:hAnsi="Times New Roman"/>
          <w:sz w:val="20"/>
        </w:rPr>
      </w:pPr>
      <w:r>
        <w:rPr>
          <w:rFonts w:ascii="Arial;sans-serif" w:hAnsi="Arial;sans-serif"/>
          <w:b w:val="false"/>
          <w:sz w:val="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loss of clients or a reduction in use of our solutions by our clients’ customers;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lost or delayed market acceptance and acquisition of new clients;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legal claims against us;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regulatory enforcement action; or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diversion of our resources, including through increased service expenses or financial concessions, and increased insurance costs. </w:t>
      </w:r>
    </w:p>
    <w:p>
      <w:pPr>
        <w:pStyle w:val="TextBody"/>
        <w:spacing w:before="200" w:after="200"/>
        <w:jc w:val="left"/>
        <w:rPr>
          <w:rFonts w:ascii="Times New Roman" w:hAnsi="Times New Roman"/>
          <w:sz w:val="20"/>
        </w:rPr>
      </w:pPr>
      <w:r>
        <w:rPr>
          <w:rFonts w:ascii="Arial;sans-serif" w:hAnsi="Arial;sans-serif"/>
          <w:b w:val="false"/>
          <w:sz w:val="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management of our operating funds and client funds may be reliant on a limited number of our banking partners and other financial institutions.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r>
        <w:rPr>
          <w:rFonts w:ascii="Times New Roman" w:hAnsi="Times New Roman"/>
          <w:sz w:val="20"/>
        </w:rPr>
        <w:t xml:space="preserve"> </w:t>
      </w:r>
    </w:p>
    <w:p>
      <w:pPr>
        <w:pStyle w:val="TextBody"/>
        <w:spacing w:before="0" w:after="0"/>
        <w:jc w:val="left"/>
        <w:rPr>
          <w:rFonts w:ascii="Arial;sans-serif" w:hAnsi="Arial;sans-serif"/>
          <w:b/>
          <w:i/>
          <w:sz w:val="20"/>
        </w:rPr>
      </w:pPr>
      <w:r>
        <w:rPr>
          <w:rFonts w:ascii="Arial;sans-serif" w:hAnsi="Arial;sans-serif"/>
          <w:b/>
          <w:i/>
          <w:sz w:val="20"/>
        </w:rPr>
        <w:t>Volatility in the banking and financial services sectors may impact our bank partnerships and relationships which could adversely affect our operations and liquidity.</w:t>
      </w:r>
    </w:p>
    <w:p>
      <w:pPr>
        <w:pStyle w:val="TextBody"/>
        <w:spacing w:before="200" w:after="200"/>
        <w:jc w:val="left"/>
        <w:rPr>
          <w:rFonts w:ascii="Times New Roman" w:hAnsi="Times New Roman"/>
          <w:sz w:val="20"/>
        </w:rPr>
      </w:pPr>
      <w:r>
        <w:rPr>
          <w:rFonts w:ascii="Arial;sans-serif" w:hAnsi="Arial;sans-serif"/>
          <w:b w:val="false"/>
          <w:sz w:val="20"/>
        </w:rPr>
        <w:t>Recent instability and volatility in the banking and financial services sectors, including limited liquidity, defaults, non-performance or other adverse developments that affect the banking ecosystem, or concerns or rumors about any such events or other similar risks, have increased uncertainty in the global economy and increased the risk of a recession.</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Volatility in the banking and financial services sectors may impact our bank partnerships and relationships which could adversely affect our operations and liquidity.</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access to our cash and cash equivalents and client funds could be significantly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claims or litigation, which may be costly to address.</w:t>
      </w:r>
    </w:p>
    <w:p>
      <w:pPr>
        <w:pStyle w:val="TextBody"/>
        <w:spacing w:before="200" w:after="200"/>
        <w:jc w:val="left"/>
        <w:rPr>
          <w:rFonts w:ascii="Arial;sans-serif" w:hAnsi="Arial;sans-serif"/>
          <w:b w:val="false"/>
          <w:sz w:val="20"/>
        </w:rPr>
      </w:pPr>
      <w:r>
        <w:rPr>
          <w:rFonts w:ascii="Arial;sans-serif" w:hAnsi="Arial;sans-serif"/>
          <w:b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spacing w:before="200" w:after="200"/>
        <w:jc w:val="left"/>
        <w:rPr>
          <w:rFonts w:ascii="Times New Roman" w:hAnsi="Times New Roman"/>
          <w:sz w:val="20"/>
        </w:rPr>
      </w:pPr>
      <w:r>
        <w:rPr>
          <w:rFonts w:ascii="Arial;sans-serif" w:hAnsi="Arial;sans-serif"/>
          <w:b/>
          <w:i/>
          <w:sz w:val="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pStyle w:val="TextBody"/>
        <w:spacing w:before="200" w:after="200"/>
        <w:jc w:val="left"/>
        <w:rPr>
          <w:rFonts w:ascii="Times New Roman" w:hAnsi="Times New Roman"/>
          <w:sz w:val="20"/>
        </w:rPr>
      </w:pPr>
      <w:r>
        <w:rPr>
          <w:rFonts w:ascii="Arial;sans-serif" w:hAnsi="Arial;sans-serif"/>
          <w:b w:val="false"/>
          <w:sz w:val="20"/>
        </w:rPr>
        <w:t>Similarly, there are existing regulatory regimes designed to protect the privacy of categories of personal or otherwise sensitive data. Relevant U.S. federal privacy laws include the Family Educational Rights and Privacy Act (FERPA), the Gramm-Leach-Bliley Act (GLBA), and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Additionally, it is also possible that unauthorized access to sensitive customer and business data may be obtained through inadequate use of security controls by our customers, suppliers or other vendors. While we are still not currently</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aware of any impact that the SolarWinds supply chain attack had on our business, the scope of the attack is still undetermined. Therefore, there is residual risk that we could experience a security breach arising from the SolarWinds supply chain attack.</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r>
        <w:rPr>
          <w:rFonts w:ascii="Times New Roman" w:hAnsi="Times New Roman"/>
          <w:sz w:val="20"/>
        </w:rPr>
        <w:t xml:space="preserve"> </w:t>
      </w:r>
    </w:p>
    <w:p>
      <w:pPr>
        <w:pStyle w:val="TextBody"/>
        <w:spacing w:before="200" w:after="200"/>
        <w:jc w:val="left"/>
        <w:rPr>
          <w:rFonts w:ascii="Arial;sans-serif" w:hAnsi="Arial;sans-serif"/>
          <w:b/>
          <w:i/>
          <w:sz w:val="20"/>
        </w:rPr>
      </w:pPr>
      <w:r>
        <w:rPr>
          <w:rFonts w:ascii="Arial;sans-serif" w:hAnsi="Arial;sans-serif"/>
          <w:b/>
          <w:i/>
          <w:sz w:val="20"/>
        </w:rPr>
        <w:t>Cyberattacks and security vulnerabilities can disrupt our business and harm our competitive position.</w:t>
      </w:r>
    </w:p>
    <w:p>
      <w:pPr>
        <w:pStyle w:val="TextBody"/>
        <w:spacing w:before="200" w:after="200"/>
        <w:jc w:val="left"/>
        <w:rPr>
          <w:rFonts w:ascii="Times New Roman" w:hAnsi="Times New Roman"/>
          <w:sz w:val="20"/>
        </w:rPr>
      </w:pPr>
      <w:r>
        <w:rPr>
          <w:rFonts w:ascii="Arial;sans-serif" w:hAnsi="Arial;sans-serif"/>
          <w:b w:val="false"/>
          <w:sz w:val="20"/>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increasingly seek to compromise our security controls or gain unauthorized access to our sensitive corporate information or our clients’ (or our clients’ customers’) data.</w:t>
      </w:r>
    </w:p>
    <w:p>
      <w:pPr>
        <w:pStyle w:val="TextBody"/>
        <w:spacing w:before="200" w:after="200"/>
        <w:jc w:val="left"/>
        <w:rPr>
          <w:rFonts w:ascii="Arial;sans-serif" w:hAnsi="Arial;sans-serif"/>
          <w:b w:val="false"/>
          <w:sz w:val="20"/>
        </w:rPr>
      </w:pPr>
      <w:r>
        <w:rPr>
          <w:rFonts w:ascii="Arial;sans-serif" w:hAnsi="Arial;sans-serif"/>
          <w:b w:val="false"/>
          <w:sz w:val="20"/>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pStyle w:val="TextBody"/>
        <w:spacing w:before="200" w:after="200"/>
        <w:jc w:val="left"/>
        <w:rPr>
          <w:rFonts w:ascii="Times New Roman" w:hAnsi="Times New Roman"/>
          <w:sz w:val="20"/>
        </w:rPr>
      </w:pPr>
      <w:r>
        <w:rPr>
          <w:rFonts w:ascii="Arial;sans-serif" w:hAnsi="Arial;sans-serif"/>
          <w:b/>
          <w:i/>
          <w:sz w:val="20"/>
        </w:rPr>
        <w:t>Our risk management efforts may not be effective to prevent fraudulent activities by our customers, FlyMates or other third parties, which could expose us to material financial losses and liability and otherwise harm our business.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pStyle w:val="TextBody"/>
        <w:spacing w:before="200" w:after="200"/>
        <w:jc w:val="left"/>
        <w:rPr>
          <w:rFonts w:ascii="Arial;sans-serif" w:hAnsi="Arial;sans-serif"/>
          <w:b w:val="false"/>
          <w:sz w:val="20"/>
        </w:rPr>
      </w:pPr>
      <w:r>
        <w:rPr>
          <w:rFonts w:ascii="Arial;sans-serif" w:hAnsi="Arial;sans-serif"/>
          <w:b w:val="false"/>
          <w:sz w:val="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pStyle w:val="TextBody"/>
        <w:spacing w:before="200" w:after="200"/>
        <w:jc w:val="left"/>
        <w:rPr>
          <w:rFonts w:ascii="Times New Roman" w:hAnsi="Times New Roman"/>
          <w:sz w:val="20"/>
        </w:rPr>
      </w:pPr>
      <w:r>
        <w:rPr>
          <w:rFonts w:ascii="Arial;sans-serif" w:hAnsi="Arial;sans-serif"/>
          <w:b w:val="false"/>
          <w:sz w:val="20"/>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success of any new product and service, or any enhancements or modifications to existing solutions, depends on several factors, including the timely completion, introduction, and market acceptance of such solutions, enhancements,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and modifications. Our engineering and software development teams operate in different locations across the globe (including teams in Valencia, Spain, Cluj, Romania, Chicago, Tel Aviv, Israel and Brisbane,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Changes to payment card networks fees or rules could harm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59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If we fail to maintain and enhance our brand, our ability to expand our client base will be impaired and our business, operating results, and financial condition may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If we lose key members of our management team or are unable to attract and retain executives and employees we need to support our operations and growth, our business may be harmed.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The failure to attract and retain additional qualified personnel could prevent us from executing our business strategy and growth plans.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If we cannot maintain our company culture as we grow, our success and our business may be harmed.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sales cycles may be long and vary.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devote significant resources to establish relationships with new clients and deepen relationships with existing clients. The sales cycles of our solutions tend to vary depending on the client industry sector which may make forecasting more complex and uncertain.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Although more customers and partners have relaxed restrictions imposed in response to the COVID-19 pandemic, many enterprises continue to restrict travel, limit availability of in person meetings and maintain other restrictions that</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60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could make the sales process more lengthy and difficult. 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the COVID-19 outbreak, increased inflationary conditions, recession concern</w:t>
      </w:r>
      <w:r>
        <w:rPr>
          <w:rFonts w:ascii="Arial;sans-serif" w:hAnsi="Arial;sans-serif"/>
          <w:b w:val="false"/>
          <w:sz w:val="20"/>
          <w:u w:val="single"/>
        </w:rPr>
        <w:t>s</w:t>
      </w:r>
      <w:r>
        <w:rPr>
          <w:rFonts w:ascii="Times New Roman" w:hAnsi="Times New Roman"/>
          <w:sz w:val="20"/>
        </w:rPr>
        <w:t xml:space="preserve"> </w:t>
      </w:r>
      <w:r>
        <w:rPr>
          <w:rFonts w:ascii="Arial;sans-serif" w:hAnsi="Arial;sans-serif"/>
          <w:b w:val="false"/>
          <w:sz w:val="20"/>
        </w:rPr>
        <w:t>and the escalation of hostilities between Russia and Ukraine),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typically incur significant upfront costs in our client relationships, and if we are unable to develop or grow these relationships over time, we are unlikely to recover these costs and our operating results may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If we fail to offer high-quality client support, or if our support is more expensive than anticipated, our business and reputation could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61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failure to scale our client service organization adequately may adversely impact our business results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may require additional capital to support the growth of our business, and this capital might not be available on acceptable terms, if at all.</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business could be harmed as a result of the risks associated with our acquisitions.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Any acquisitions we undertake or have recently completed, including the acquisitions of Cohort Go in July 2022 and WPM in December 2021, will likely be accompanied by business risks which may include, among other things:</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effect of the acquisition on our financial and strategic position and reputation;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failure of an acquisition to result in expected benefits, which may include benefits relating to enhanced revenues, technology, human resources, costs savings, operating efficiencies, goodwill and other synergies;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difficulty, cost and management effort required to integrate the acquired businesses, including costs and delays in implementing common systems and procedures and costs and delays caused by communication difficulties;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assumption of certain known or unknown liabilities of the acquired business, including litigation-related liabilities;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reduction of our cash available for operations and other uses, the increase in amortization expense related to identifiable assets acquired, potentially dilutive issuances of equity securities or the incurrence of debt;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 lack of experience in new markets, new business culture, products or technologies or an initial dependence on unfamiliar distribution partners;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possibility that we will pay more than the value we derive from the acquisition; </w:t>
      </w:r>
    </w:p>
    <w:p>
      <w:pPr>
        <w:pStyle w:val="TextBody"/>
        <w:spacing w:before="0" w:after="0"/>
        <w:jc w:val="center"/>
        <w:rPr>
          <w:rFonts w:ascii="Arial;sans-serif" w:hAnsi="Arial;sans-serif"/>
          <w:b w:val="false"/>
          <w:sz w:val="20"/>
        </w:rPr>
      </w:pPr>
      <w:r>
        <w:rPr>
          <w:rFonts w:ascii="Arial;sans-serif" w:hAnsi="Arial;sans-serif"/>
          <w:b w:val="false"/>
          <w:sz w:val="20"/>
        </w:rPr>
        <w:t>62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impairment of relationships with our clients, clients' customers, partners or suppliers or those of the acquired business; and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potential loss of key employees of the acquired business. </w:t>
      </w:r>
    </w:p>
    <w:p>
      <w:pPr>
        <w:pStyle w:val="TextBody"/>
        <w:spacing w:before="200" w:after="200"/>
        <w:jc w:val="left"/>
        <w:rPr>
          <w:rFonts w:ascii="Times New Roman" w:hAnsi="Times New Roman"/>
          <w:sz w:val="20"/>
        </w:rPr>
      </w:pPr>
      <w:r>
        <w:rPr>
          <w:rFonts w:ascii="Arial;sans-serif" w:hAnsi="Arial;sans-serif"/>
          <w:b w:val="false"/>
          <w:sz w:val="20"/>
        </w:rPr>
        <w:t>These factors could harm our business, results of operations or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Systems failures and resulting interruptions in the availability of our solutions could harm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 between Russia and Ukraine,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pStyle w:val="TextBody"/>
        <w:spacing w:before="200" w:after="200"/>
        <w:jc w:val="left"/>
        <w:rPr>
          <w:rFonts w:ascii="Times New Roman" w:hAnsi="Times New Roman"/>
          <w:sz w:val="20"/>
        </w:rPr>
      </w:pPr>
      <w:r>
        <w:rPr>
          <w:rFonts w:ascii="Arial;sans-serif" w:hAnsi="Arial;sans-serif"/>
          <w:b w:val="false"/>
          <w:sz w:val="20"/>
        </w:rPr>
        <w:t>In addition, we may experience financial losses due to a number of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 xml:space="preserve">third party disruptions, including potential outages at network providers and other suppliers; </w:t>
      </w:r>
    </w:p>
    <w:p>
      <w:pPr>
        <w:pStyle w:val="TextBody"/>
        <w:spacing w:before="0" w:after="0"/>
        <w:jc w:val="center"/>
        <w:rPr>
          <w:rFonts w:ascii="Arial;sans-serif" w:hAnsi="Arial;sans-serif"/>
          <w:b w:val="false"/>
          <w:sz w:val="20"/>
        </w:rPr>
      </w:pPr>
      <w:r>
        <w:rPr>
          <w:rFonts w:ascii="Arial;sans-serif" w:hAnsi="Arial;sans-serif"/>
          <w:b w:val="false"/>
          <w:sz w:val="20"/>
        </w:rPr>
        <w:t>63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supply chain impacts, including shortages of goods, raw materials, increased prices or delays in shipment;</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 xml:space="preserve">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 </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increased cyber and payment fraud risk related to the COVID-19 pandemic, as cybercriminals attempt DDoS related attacks, phishing scams and other disruptive actions, given the shift to online banking, e-commerce and other online activity, as well as more FlyMates working remotely as a result of the pandemic; and</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 xml:space="preserve">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 </w:t>
      </w:r>
    </w:p>
    <w:p>
      <w:pPr>
        <w:pStyle w:val="TextBody"/>
        <w:spacing w:before="200" w:after="200"/>
        <w:jc w:val="left"/>
        <w:rPr>
          <w:rFonts w:ascii="Times New Roman" w:hAnsi="Times New Roman"/>
          <w:sz w:val="20"/>
        </w:rPr>
      </w:pPr>
      <w:r>
        <w:rPr>
          <w:rFonts w:ascii="Arial;sans-serif" w:hAnsi="Arial;sans-serif"/>
          <w:b w:val="false"/>
          <w:sz w:val="20"/>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sz w:val="20"/>
        </w:rPr>
        <w:t>Risks Related to Our Legal, Regulatory and Compliance Landscape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diplomatic and trade friction, heightened tensions between China and Taiwan and the escalation of the conflict between Russia and Ukraine,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foreign currency exchange rate volatility;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adverse economic conditions in the United States and globally, including economic slowdown, inflation, recession concerns and the disruption, volatility and tightening of credit and capital markets;</w:t>
      </w:r>
    </w:p>
    <w:p>
      <w:pPr>
        <w:pStyle w:val="TextBody"/>
        <w:spacing w:before="0" w:after="0"/>
        <w:jc w:val="center"/>
        <w:rPr>
          <w:rFonts w:ascii="Arial;sans-serif" w:hAnsi="Arial;sans-serif"/>
          <w:b w:val="false"/>
          <w:sz w:val="20"/>
        </w:rPr>
      </w:pPr>
      <w:r>
        <w:rPr>
          <w:rFonts w:ascii="Arial;sans-serif" w:hAnsi="Arial;sans-serif"/>
          <w:b w:val="false"/>
          <w:sz w:val="20"/>
        </w:rPr>
        <w:t>64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risks related to government regulation or required compliance with local laws;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local licensing and reporting obligations or the imposition of currency controls which make it impossible or increasingly difficult for our clients to collect payments from international customers;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local regulatory and legal obligations related to privacy, data protection, data localization, and user protections;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need to localize our solutions, including offering clients and their customers the ability to transact business in the local currency and adapting our solutions to local preferences, in markets in which we may have limited or no experience;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trade barriers and changes in trade regulations;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the impact of government sanctions on our ability to offer services in a region, such as the sanctions recently announced by the U.S. and other countries against Russia;</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difficulties in developing, staffing, and managing a large number of varying foreign operations as a result of distance, language, and cultural differences;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stringent local labor laws and regulations;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limitations on the repatriation of cash, including imposition or increase of withholding and other taxes on remittances and other payments by foreign subsidiaries;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diplomatic friction, political or social unrest, war or other military conflict, including an escalation of the conflict between Russia and Ukraine, economic instability, repression, or human rights issues;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natural disasters, global pandemics such as COVID-19 or other public health emergencies, acts of war, and terrorism;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compliance with U.S. laws and foreign laws prohibiting corrupt payments to government officials, such as the Foreign Corrupt Practices Act (FCPA) and the U.K. Bribery Act, and other local anti-corruption laws;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compliance with U.S. and foreign laws designed to combat money laundering and the financing of terrorist activities;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retaliatory tariffs and restrictions limiting free movement of currency and an unfavorable trade environment, including as a result of political conditions and changes in the laws in the United States and elsewhere and as described in more detail below;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antitrust and competition regulations;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recently enacted Inflation Reduction Act of 2022, which includes a minimum corporate tax which could result in an additional tax liability in a given year;</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expected or actual extended federal government shutdowns, partisan gridlock that results in the inability of Congress to take action or changes to government policy;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national or regional differences in macroeconomic growth rates; and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increased difficulties in collecting accounts receivable. </w:t>
      </w:r>
    </w:p>
    <w:p>
      <w:pPr>
        <w:pStyle w:val="TextBody"/>
        <w:spacing w:before="200" w:after="200"/>
        <w:jc w:val="left"/>
        <w:rPr>
          <w:rFonts w:ascii="Times New Roman" w:hAnsi="Times New Roman"/>
          <w:sz w:val="20"/>
        </w:rPr>
      </w:pPr>
      <w:r>
        <w:rPr>
          <w:rFonts w:ascii="Arial;sans-serif" w:hAnsi="Arial;sans-serif"/>
          <w:b w:val="false"/>
          <w:sz w:val="20"/>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65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entitled to under U.S. law. Financial accounting standards and practices may differ, and there may be less publicly available information in respect of such companies.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Payments and other financial services-related regulations and oversight are material to our business. Our failure to comply could materially harm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in our Annual Report on Form 10-K for the year ended December 31, 2022.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Certain of our subsidiaries are registered with the U.S. Department of the Treasury’s Financial Crimes Enforcement Network (FinCEN). Our subsidiary Flywire Global Corp. has obtained licenses to operate as a money transmitter (or the statutory equivalent) in 42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66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see "Business – Regulation and Industry Standards" in our Annual Report on Form 10-K for the year ended December 31, 2022.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The regulatory environment in which we operate is subject to constant change, and new regulations could make aspects of our business as currently conducted no longer possible.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Government agencies may impose new or additional rules on money transmission, which may increase our costs of doing business, including, but not limited to regulations that:</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prohibit, restrict, and/or impose taxes or fees on money transmission transactions in, to or from certain countries or with certain governments, individuals, and entities;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impose additional client identification and client due diligence requirements;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impose additional reporting or recordkeeping requirements, or require enhanced transaction monitoring;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limit the types of entities capable of providing money transmission services, or impose additional licensing or registration requirements;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impose minimum capital or other financial requirements;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limit or restrict the revenue that may be generated from money transmission, including revenue from the transaction value associated with the payment method used by our clients’ customers and platform-related fees for access to our solutions and invoice and payment plan fees;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require enhanced disclosures to our money transmission clients or their customers; </w:t>
      </w:r>
    </w:p>
    <w:p>
      <w:pPr>
        <w:pStyle w:val="TextBody"/>
        <w:spacing w:before="0" w:after="0"/>
        <w:jc w:val="center"/>
        <w:rPr>
          <w:rFonts w:ascii="Arial;sans-serif" w:hAnsi="Arial;sans-serif"/>
          <w:b w:val="false"/>
          <w:sz w:val="20"/>
        </w:rPr>
      </w:pPr>
      <w:r>
        <w:rPr>
          <w:rFonts w:ascii="Arial;sans-serif" w:hAnsi="Arial;sans-serif"/>
          <w:b w:val="false"/>
          <w:sz w:val="20"/>
        </w:rPr>
        <w:t>67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require the principal amount of money transmission transactions originated in a country to be invested in that country or held in trust until paid;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limit the number or principal amount of money transmission transactions that may be sent to or from a jurisdiction, whether by an individual or in the aggregate; and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restrict or limit our ability to process transactions using centralized databases, for example, by requiring that transactions be processed using a database maintained in a particular country or region. </w:t>
      </w:r>
    </w:p>
    <w:p>
      <w:pPr>
        <w:pStyle w:val="TextBody"/>
        <w:spacing w:before="200" w:after="200"/>
        <w:jc w:val="left"/>
        <w:rPr>
          <w:rFonts w:ascii="Times New Roman" w:hAnsi="Times New Roman"/>
          <w:sz w:val="20"/>
        </w:rPr>
      </w:pPr>
      <w:r>
        <w:rPr>
          <w:rFonts w:ascii="Arial;sans-serif" w:hAnsi="Arial;sans-serif"/>
          <w:b/>
          <w:i/>
          <w:sz w:val="20"/>
        </w:rPr>
        <w:t>We are subject to governmental laws and requirements regarding economic and trade sanctions, AML and CFT that could impair our ability to compete in international markets or subject us to criminal or civil liability if we violate them.</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are currently required to comply with U.S. economic and trade sanctions administered by the U.S. Department of the Treasury’s Office of Foreign Assets Controls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Our business operations in other parts of the world such as the U.K., Lithuania, Canada, Australia,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pStyle w:val="TextBody"/>
        <w:spacing w:before="200" w:after="200"/>
        <w:jc w:val="left"/>
        <w:rPr>
          <w:rFonts w:ascii="Times New Roman" w:hAnsi="Times New Roman"/>
          <w:sz w:val="20"/>
        </w:rPr>
      </w:pPr>
      <w:r>
        <w:rPr>
          <w:rFonts w:ascii="Arial;sans-serif" w:hAnsi="Arial;sans-serif"/>
          <w:b/>
          <w:i/>
          <w:sz w:val="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68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pStyle w:val="TextBody"/>
        <w:spacing w:before="200" w:after="200"/>
        <w:jc w:val="left"/>
        <w:rPr>
          <w:rFonts w:ascii="Times New Roman" w:hAnsi="Times New Roman"/>
          <w:sz w:val="20"/>
        </w:rPr>
      </w:pPr>
      <w:r>
        <w:rPr>
          <w:rFonts w:ascii="Arial;sans-serif" w:hAnsi="Arial;sans-serif"/>
          <w:b w:val="false"/>
          <w:sz w:val="20"/>
        </w:rPr>
        <w:t>Additionally, a new California ballot initiative, the California Privacy Rights Act (CPRA) was passed in November 2020. Effective starting on January 1, 2023, the CPRA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took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For example, the Utah Consumer Privacy Act became law on March 24, 2022. The Utah legislation most closely mirrors Virginia’s CDPA and will go into effect on December 31, 2023.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69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regulations may be modified or subject to new or different interpretations, and new laws and regulations may be enacted in the future.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sans-serif" w:hAnsi="Arial;sans-serif"/>
          <w:b w:val="false"/>
          <w:i/>
          <w:sz w:val="20"/>
        </w:rPr>
        <w:t>Schrems II</w:t>
      </w:r>
      <w:r>
        <w:rPr>
          <w:rFonts w:ascii="Times New Roman" w:hAnsi="Times New Roman"/>
          <w:sz w:val="20"/>
        </w:rPr>
        <w:t xml:space="preserve">” </w:t>
      </w:r>
      <w:r>
        <w:rPr>
          <w:rFonts w:ascii="Arial;sans-serif" w:hAnsi="Arial;sans-serif"/>
          <w:b w:val="false"/>
          <w:sz w:val="20"/>
        </w:rPr>
        <w:t xml:space="preserve">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sans-serif" w:hAnsi="Arial;sans-serif"/>
          <w:b w:val="false"/>
          <w:i/>
          <w:sz w:val="20"/>
        </w:rPr>
        <w:t>Schrems II</w:t>
      </w:r>
      <w:r>
        <w:rPr>
          <w:rFonts w:ascii="Times New Roman" w:hAnsi="Times New Roman"/>
          <w:sz w:val="20"/>
        </w:rPr>
        <w:t xml:space="preserve"> </w:t>
      </w:r>
      <w:r>
        <w:rPr>
          <w:rFonts w:ascii="Arial;sans-serif" w:hAnsi="Arial;sans-serif"/>
          <w:b w:val="false"/>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sans-serif" w:hAnsi="Arial;sans-serif"/>
          <w:b w:val="false"/>
          <w:i/>
          <w:sz w:val="20"/>
        </w:rPr>
        <w:t>Schrems II</w:t>
      </w:r>
      <w:r>
        <w:rPr>
          <w:rFonts w:ascii="Times New Roman" w:hAnsi="Times New Roman"/>
          <w:sz w:val="20"/>
        </w:rPr>
        <w:t xml:space="preserve"> </w:t>
      </w:r>
      <w:r>
        <w:rPr>
          <w:rFonts w:ascii="Arial;sans-serif" w:hAnsi="Arial;sans-serif"/>
          <w:b w:val="false"/>
          <w:sz w:val="20"/>
        </w:rPr>
        <w:t xml:space="preserve">decision), and may be further challenged, suspended or invalidated for transfers to some or all countries. For example, guidance regarding </w:t>
      </w:r>
      <w:r>
        <w:rPr>
          <w:rFonts w:ascii="Arial;sans-serif" w:hAnsi="Arial;sans-serif"/>
          <w:b w:val="false"/>
          <w:i/>
          <w:sz w:val="20"/>
        </w:rPr>
        <w:t>Schrems II</w:t>
      </w:r>
      <w:r>
        <w:rPr>
          <w:rFonts w:ascii="Times New Roman" w:hAnsi="Times New Roman"/>
          <w:sz w:val="20"/>
        </w:rPr>
        <w:t xml:space="preserve"> </w:t>
      </w:r>
      <w:r>
        <w:rPr>
          <w:rFonts w:ascii="Arial;sans-serif" w:hAnsi="Arial;sans-serif"/>
          <w:b w:val="false"/>
          <w:sz w:val="20"/>
        </w:rPr>
        <w:t>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its duration to four years, at which point the European Commission will need to once again review the safeguards in place in the U.K.’s post-Brexit legal system and decide if the adequacy decision may be renewed.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pStyle w:val="TextBody"/>
        <w:spacing w:before="200" w:after="200"/>
        <w:jc w:val="left"/>
        <w:rPr>
          <w:rFonts w:ascii="Arial;sans-serif" w:hAnsi="Arial;sans-serif"/>
          <w:b w:val="false"/>
          <w:sz w:val="20"/>
        </w:rPr>
      </w:pPr>
      <w:r>
        <w:rPr>
          <w:rFonts w:ascii="Arial;sans-serif" w:hAnsi="Arial;sans-serif"/>
          <w:b w:val="false"/>
          <w:sz w:val="20"/>
        </w:rPr>
        <w:t>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recent enforcement actions against Alibaba Group Holding Ltd and Didi Global Inc. in 2022.</w:t>
      </w:r>
    </w:p>
    <w:p>
      <w:pPr>
        <w:pStyle w:val="TextBody"/>
        <w:spacing w:before="200" w:after="200"/>
        <w:jc w:val="left"/>
        <w:rPr>
          <w:rFonts w:ascii="Arial;sans-serif" w:hAnsi="Arial;sans-serif"/>
          <w:b w:val="false"/>
          <w:sz w:val="20"/>
        </w:rPr>
      </w:pPr>
      <w:r>
        <w:rPr>
          <w:rFonts w:ascii="Arial;sans-serif" w:hAnsi="Arial;sans-serif"/>
          <w:b w:val="false"/>
          <w:sz w:val="20"/>
        </w:rPr>
        <w:t>As a reaction to data security concerns, the Australian parliament recently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will have new regulatory tools and flexibility that should, together with an ongoing focus on funding, see a more proactive regulator with capacity and capability to investigate and litigate more privacy incidents in Australia.</w:t>
      </w:r>
    </w:p>
    <w:p>
      <w:pPr>
        <w:pStyle w:val="TextBody"/>
        <w:spacing w:before="200" w:after="200"/>
        <w:jc w:val="left"/>
        <w:rPr>
          <w:rFonts w:ascii="Arial;sans-serif" w:hAnsi="Arial;sans-serif"/>
          <w:b w:val="false"/>
          <w:sz w:val="20"/>
        </w:rPr>
      </w:pPr>
      <w:r>
        <w:rPr>
          <w:rFonts w:ascii="Arial;sans-serif" w:hAnsi="Arial;sans-serif"/>
          <w:b w:val="false"/>
          <w:sz w:val="20"/>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pStyle w:val="TextBody"/>
        <w:spacing w:before="200" w:after="200"/>
        <w:jc w:val="left"/>
        <w:rPr>
          <w:rFonts w:ascii="Times New Roman" w:hAnsi="Times New Roman"/>
          <w:sz w:val="20"/>
        </w:rPr>
      </w:pPr>
      <w:r>
        <w:rPr>
          <w:rFonts w:ascii="Arial;sans-serif" w:hAnsi="Arial;sans-serif"/>
          <w:b w:val="false"/>
          <w:sz w:val="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are subject to anti-corruption, anti-bribery, and similar laws, and non-compliance with such laws can subject us to criminal or civil liability and harm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pStyle w:val="TextBody"/>
        <w:spacing w:before="200" w:after="200"/>
        <w:jc w:val="left"/>
        <w:rPr>
          <w:rFonts w:ascii="Times New Roman" w:hAnsi="Times New Roman"/>
          <w:sz w:val="20"/>
        </w:rPr>
      </w:pPr>
      <w:r>
        <w:rPr>
          <w:rFonts w:ascii="Arial;sans-serif" w:hAnsi="Arial;sans-serif"/>
          <w:b/>
          <w:i/>
          <w:sz w:val="20"/>
        </w:rPr>
        <w:t>If we fail to adequately protect our proprietary rights, our competitive position could be impaired and we may lose valuable assets, generate less revenue and incur costly litigation to protect our rights.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may in the future be subject to intellectual property disputes, which are costly and may subject us to significant liability and increased costs of doing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Our use of “open source” software could negatively affect our ability to offer and sell access to our solutions and subject us to possible litigation.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Indemnity and liability provisions in various agreements potentially expose us to substantial liability for intellectual property infringement, data protection, and other losses.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The U.K.’s departure from the E.U. could adversely affect us.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U.K. formally exited the E.U. on January 31, 2020 and a transition period was in place until December 31, 2020 during which time the U.K. remained in both the E.U. customs union and single market and was subject to E.U. rules. There continues to be a significant lack of clarity over the terms of the U.K.’s future relationship with the E.U. in the future.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74</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we could be required to comply with legal and regulatory requirements in the U.K. that are in addition to, or inconsistent with, those of the E.U., leading to increased complexity and costs for our European and U.K. operations; and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ability to attract and retain the necessary human resources in appropriate locations to support our U.K. and European business could be adversely impacted. </w:t>
      </w:r>
    </w:p>
    <w:p>
      <w:pPr>
        <w:pStyle w:val="TextBody"/>
        <w:spacing w:before="200" w:after="200"/>
        <w:jc w:val="left"/>
        <w:rPr>
          <w:rFonts w:ascii="Times New Roman" w:hAnsi="Times New Roman"/>
          <w:sz w:val="20"/>
        </w:rPr>
      </w:pPr>
      <w:r>
        <w:rPr>
          <w:rFonts w:ascii="Arial;sans-serif" w:hAnsi="Arial;sans-serif"/>
          <w:b w:val="false"/>
          <w:sz w:val="20"/>
        </w:rPr>
        <w:t>These and other factors related to Brexit could, individually or in the aggregate, have a material adverse impact on our business, financial condition, and 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New or revised tax regulations, unfavorable resolution of tax contingencies or changes to enacted tax rates could adversely affect our tax expense.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For example, the recently enacted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spacing w:before="0" w:after="0"/>
        <w:jc w:val="center"/>
        <w:rPr>
          <w:rFonts w:ascii="Arial;sans-serif" w:hAnsi="Arial;sans-serif"/>
          <w:b w:val="false"/>
          <w:sz w:val="20"/>
        </w:rPr>
      </w:pPr>
      <w:r>
        <w:rPr>
          <w:rFonts w:ascii="Arial;sans-serif" w:hAnsi="Arial;sans-serif"/>
          <w:b w:val="false"/>
          <w:sz w:val="20"/>
        </w:rPr>
        <w:t>75</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ability to use our net operating losses (NOL) to offset future taxable income may be subject to certain limitations.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of March 31, 2023, we had U.S. federal NOL carryforwards of approximately $71.2 million and state NOL carryforwards of approximately $92.5 million. The federal and material state NOL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including, but not limited to, as a result of our initial public offering, or if we undergo one or more ownership changes as a result of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During 2022, we completed a Section 382 study from January 1, 2010, the first day of the first taxable year that we had NOL carryforwards, through June 30, 2021. During this period, we underwent two ownership changes for Section 382 purposes. The ownership changes occurred on June 29, 2011 (the June 2011 Change) and July 12, 2013 (the July 2013 Change) as result of our issuance and sale of preferred stock. Approximately $14.9 million of NOLs were generated through December 31, 2013. As a result of the ownership changes, all of Flywire's NOLs as of the June 2011 Change and the July 2013 Change are subject to limitation under Section 382, of which $1.6 million NOLs will expire unutilized, assuming sufficient taxable income is generated in the future. Additionally, we completed a Section 382 study for Simplificare (Simplee) which we acquired in February 2020. The study was completed for the periods from August 26, 2010, the inception of Simplee, through February 13, 2020, the date that we acquired Simplee. During this period, Simplee underwent four ownership changes. The ownership changes occurred on October 27, 2010, April 13, 2011, May 10, 2012 (the May 2012 Change), all in connection with the issuance and sale of preferred stock, and February 13, 2020 (the February 2020 Change), in connection with its complete acquisition by Flywire. Approximately $35.7 million of NOLs were generated through February 13, 2020. As a result of the ownership changes, all of Simplee’s NOLs as of the May 2012 Change and the February 2020 Change are subject to limitation under Section 382, of which $0.2 million NOLs will expire unutilized, assuming sufficient taxable income is generated in the future.</w:t>
      </w:r>
    </w:p>
    <w:p>
      <w:pPr>
        <w:pStyle w:val="TextBody"/>
        <w:spacing w:before="200" w:after="200"/>
        <w:jc w:val="left"/>
        <w:rPr>
          <w:rFonts w:ascii="Times New Roman" w:hAnsi="Times New Roman"/>
          <w:sz w:val="20"/>
        </w:rPr>
      </w:pPr>
      <w:r>
        <w:rPr>
          <w:rFonts w:ascii="Arial;sans-serif" w:hAnsi="Arial;sans-serif"/>
          <w:b w:val="false"/>
          <w:sz w:val="20"/>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sz w:val="20"/>
        </w:rPr>
        <w:t>Risks Related to Being a Public Company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As a public company, we are obligated to develop and maintain proper and effective internal control over financial reporting, and if we fail to develop and maintain an effective system of disclosure controls and internal</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76</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i/>
          <w:sz w:val="20"/>
        </w:rPr>
        <w:t>control over financial reporting, our ability to produce timely and accurate financial statements or comply with applicable laws and regulations could be impaired.</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pStyle w:val="TextBody"/>
        <w:spacing w:before="200" w:after="200"/>
        <w:jc w:val="left"/>
        <w:rPr>
          <w:rFonts w:ascii="Times New Roman" w:hAnsi="Times New Roman"/>
          <w:sz w:val="20"/>
        </w:rPr>
      </w:pPr>
      <w:r>
        <w:rPr>
          <w:rFonts w:ascii="Arial;sans-serif" w:hAnsi="Arial;sans-serif"/>
          <w:b w:val="false"/>
          <w:sz w:val="20"/>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are actively engaged in the costly and challenging process of performing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r>
        <w:rPr>
          <w:rFonts w:ascii="Times New Roman" w:hAnsi="Times New Roman"/>
          <w:sz w:val="20"/>
        </w:rPr>
        <w:t xml:space="preserve"> </w:t>
      </w:r>
    </w:p>
    <w:p>
      <w:pPr>
        <w:pStyle w:val="TextBody"/>
        <w:spacing w:before="200" w:after="200"/>
        <w:jc w:val="left"/>
        <w:rPr>
          <w:rFonts w:ascii="Arial;sans-serif" w:hAnsi="Arial;sans-serif"/>
          <w:b/>
          <w:i/>
          <w:sz w:val="20"/>
        </w:rPr>
      </w:pPr>
      <w:r>
        <w:rPr>
          <w:rFonts w:ascii="Arial;sans-serif" w:hAnsi="Arial;sans-serif"/>
          <w:b/>
          <w:i/>
          <w:sz w:val="20"/>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pStyle w:val="TextBody"/>
        <w:spacing w:before="200" w:after="200"/>
        <w:jc w:val="left"/>
        <w:rPr>
          <w:rFonts w:ascii="Times New Roman" w:hAnsi="Times New Roman"/>
          <w:sz w:val="20"/>
        </w:rPr>
      </w:pPr>
      <w:r>
        <w:rPr>
          <w:rFonts w:ascii="Arial;sans-serif" w:hAnsi="Arial;sans-serif"/>
          <w:b w:val="false"/>
          <w:sz w:val="20"/>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77</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Arial;sans-serif" w:hAnsi="Arial;sans-serif"/>
          <w:b w:val="false"/>
          <w:sz w:val="20"/>
        </w:rPr>
      </w:pPr>
      <w:r>
        <w:rPr>
          <w:rFonts w:ascii="Arial;sans-serif" w:hAnsi="Arial;sans-serif"/>
          <w:b w:val="false"/>
          <w:sz w:val="20"/>
        </w:rPr>
        <w:t>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pStyle w:val="TextBody"/>
        <w:spacing w:before="200" w:after="200"/>
        <w:jc w:val="left"/>
        <w:rPr>
          <w:rFonts w:ascii="Arial;sans-serif" w:hAnsi="Arial;sans-serif"/>
          <w:b w:val="false"/>
          <w:sz w:val="20"/>
        </w:rPr>
      </w:pPr>
      <w:r>
        <w:rPr>
          <w:rFonts w:ascii="Arial;sans-serif" w:hAnsi="Arial;sans-serif"/>
          <w:b w:val="false"/>
          <w:sz w:val="20"/>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pStyle w:val="TextBody"/>
        <w:spacing w:before="200" w:after="200"/>
        <w:jc w:val="left"/>
        <w:rPr>
          <w:rFonts w:ascii="Times New Roman" w:hAnsi="Times New Roman"/>
          <w:sz w:val="20"/>
        </w:rPr>
      </w:pPr>
      <w:r>
        <w:rPr>
          <w:rFonts w:ascii="Arial;sans-serif" w:hAnsi="Arial;sans-serif"/>
          <w:b/>
          <w:i/>
          <w:sz w:val="20"/>
        </w:rPr>
        <w:t>We will continue to incur increased costs as a result of operating as a public company, and our management will be required to devote substantial time to compliance with our public company responsibilities and corporate governance practices.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As a public company, we will continue to incur significant legal, accounting, and other expenses as a result of operating as a public company, which we expect to further increase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sz w:val="20"/>
        </w:rPr>
        <w:t>Risks Related to Ownership of Our Common Stock</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The price of our common stock may be volatile or may decline regardless of our operating performance and you may not be able to resell your shares at or above the price you paid for them.</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An active or liquid market in our common stock may not be sustainable. The market price of our common stock may fluctuate significantly in response to numerous factors, many of which are beyond our control, including:</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overall performance of the equity markets;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our operating performance and the performance of other similar companies;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delays in the roll out of new solutions;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changes in our projected operating results that we provide to the public, our failure to meet these projections or changes in recommendations by securities analysts that elect to follow our common stock; </w:t>
      </w:r>
    </w:p>
    <w:p>
      <w:pPr>
        <w:pStyle w:val="TextBody"/>
        <w:spacing w:before="0" w:after="0"/>
        <w:jc w:val="center"/>
        <w:rPr>
          <w:rFonts w:ascii="Arial;sans-serif" w:hAnsi="Arial;sans-serif"/>
          <w:b w:val="false"/>
          <w:sz w:val="20"/>
        </w:rPr>
      </w:pPr>
      <w:r>
        <w:rPr>
          <w:rFonts w:ascii="Arial;sans-serif" w:hAnsi="Arial;sans-serif"/>
          <w:b w:val="false"/>
          <w:sz w:val="20"/>
        </w:rPr>
        <w:t>78</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regulatory actions with respect to our payment solutions;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regulatory or legal developments in the United States and other countries;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level of expenses related to our solutions;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announcements of acquisitions, strategic alliances or significant agreements by us or by our competitors;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developments or disputes concerning patent applications, issued patents or other intellectual property or proprietary rights;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recruitment or departure of key personnel;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economy as a whole and market conditions in our industry, including conditions resulting from the effects of the COVID-19 pandemic;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political or social unrest, war or other military conflict, including an escalation of the conflict between Russia and Ukraine, economic instability, repression, or human rights issues;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variations in our financial results or the financial results of companies that are perceived to be similar to us;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financing or other corporate transactions, or inability to obtain additional funding;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changes in the structure of payment systems;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effects of ongoing United States-China diplomatic and trade friction;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trading activity by a limited number of stockholders who together beneficially own a majority of our outstanding common stock;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expiration of market standoff or contractual lock-up agreements;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size of our market float; and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any other factors discussed in this Quarterly Report on Form 10-Q and our other SEC filings. </w:t>
      </w:r>
    </w:p>
    <w:p>
      <w:pPr>
        <w:pStyle w:val="TextBody"/>
        <w:spacing w:before="200" w:after="200"/>
        <w:jc w:val="left"/>
        <w:rPr>
          <w:rFonts w:ascii="Times New Roman" w:hAnsi="Times New Roman"/>
          <w:sz w:val="20"/>
        </w:rPr>
      </w:pPr>
      <w:r>
        <w:rPr>
          <w:rFonts w:ascii="Arial;sans-serif" w:hAnsi="Arial;sans-serif"/>
          <w:b w:val="false"/>
          <w:sz w:val="20"/>
        </w:rPr>
        <w:t>In addition, the stock markets have experienced extreme price and volume fluctuations that have affected and continue to affect the market prices of equity securities of many companies.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Concerns over economic recession, the ongoing effects of the COVID-19 pandemic,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pStyle w:val="TextBody"/>
        <w:spacing w:before="200" w:after="200"/>
        <w:jc w:val="left"/>
        <w:rPr>
          <w:rFonts w:ascii="Times New Roman" w:hAnsi="Times New Roman"/>
          <w:sz w:val="20"/>
        </w:rPr>
      </w:pPr>
      <w:r>
        <w:rPr>
          <w:rFonts w:ascii="Arial;sans-serif" w:hAnsi="Arial;sans-serif"/>
          <w:b w:val="false"/>
          <w:sz w:val="20"/>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Raising additional capital may cause dilution to our existing stockholders, restrict our operations or require us to relinquish rights to our intellectual property on unfavorable terms to us.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79</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If we are unable to raise additional funds through equity or debt financing or through collaborations or strategic partnerships when needed, we may be required to delay, limit, reduce or terminate the development of our solutions or commercialization efforts.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may allocate our cash and cash equivalents in ways that you and other stockholders may not approve.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If securities or industry analysts do not publish research or publish inaccurate or unfavorable research about our business, our stock price and trading volume could decline.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Sales of substantial amounts of our common stock in the public markets could cause the market price of our common stock to decline.</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108,725,275 shares of our voting common stock and 1,873,320 shares of our non-voting common stock outstanding as of March 31, 2023.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The concentration of our stock ownership will likely limit your ability to influence corporate matters, including the ability to influence the outcome of director elections and other matters requiring stockholder approval.</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80</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As of March 31, 2023,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We do not intend to pay dividends on our common stock and, consequently, your ability to achieve a return on your investment will depend on appreciation in the price of our common stock.</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Delaware law and provisions in our amended and restated certificate of incorporation and amended and restated bylaws could make a merger, tender offer or proxy contest difficult, thereby depressing the trading price of our common stock.</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r>
        <w:rPr>
          <w:rFonts w:ascii="Times New Roman" w:hAnsi="Times New Roman"/>
          <w:sz w:val="20"/>
        </w:rPr>
        <w:t xml:space="preserve">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 classified board of directors with three-year staggered terms, which could delay the ability of stockholders to change the membership of a majority of our board of directors;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 prohibition on stockholder action by written consent, which forces stockholder action to be taken at an annual or special meeting of our stockholders;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spacing w:before="0" w:after="0"/>
        <w:jc w:val="center"/>
        <w:rPr>
          <w:rFonts w:ascii="Arial;sans-serif" w:hAnsi="Arial;sans-serif"/>
          <w:b w:val="false"/>
          <w:sz w:val="20"/>
        </w:rPr>
      </w:pPr>
      <w:r>
        <w:rPr>
          <w:rFonts w:ascii="Arial;sans-serif" w:hAnsi="Arial;sans-serif"/>
          <w:b w:val="false"/>
          <w:sz w:val="20"/>
        </w:rPr>
        <w:t>81</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i/>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r>
        <w:rPr>
          <w:rFonts w:ascii="Times New Roman" w:hAnsi="Times New Roman"/>
          <w:sz w:val="20"/>
        </w:rPr>
        <w:t xml:space="preserve"> </w:t>
      </w:r>
    </w:p>
    <w:p>
      <w:pPr>
        <w:pStyle w:val="TextBody"/>
        <w:spacing w:before="360" w:after="0"/>
        <w:jc w:val="left"/>
        <w:rPr>
          <w:rFonts w:ascii="Times New Roman" w:hAnsi="Times New Roman"/>
          <w:sz w:val="20"/>
        </w:rPr>
      </w:pPr>
      <w:bookmarkStart w:id="39" w:name="item_2"/>
      <w:bookmarkEnd w:id="39"/>
      <w:r>
        <w:rPr>
          <w:rFonts w:ascii="Arial;sans-serif" w:hAnsi="Arial;sans-serif"/>
          <w:b/>
          <w:sz w:val="20"/>
        </w:rPr>
        <w:t>Item 2. Unregistered Sales of Equity Securities and Use of Proceeds</w:t>
      </w:r>
      <w:r>
        <w:rPr>
          <w:rFonts w:ascii="Times New Roman" w:hAnsi="Times New Roman"/>
          <w:sz w:val="20"/>
        </w:rPr>
        <w:t xml:space="preserve"> </w:t>
      </w:r>
    </w:p>
    <w:p>
      <w:pPr>
        <w:pStyle w:val="TextBody"/>
        <w:spacing w:before="200" w:after="200"/>
        <w:jc w:val="left"/>
        <w:rPr>
          <w:rFonts w:ascii="Arial;sans-serif" w:hAnsi="Arial;sans-serif"/>
          <w:b w:val="false"/>
          <w:sz w:val="20"/>
        </w:rPr>
      </w:pPr>
      <w:r>
        <w:rPr>
          <w:rFonts w:ascii="Arial;sans-serif" w:hAnsi="Arial;sans-serif"/>
          <w:b w:val="false"/>
          <w:sz w:val="20"/>
        </w:rPr>
        <w:t>During the quarter ended March 31, 2023, we issued an aggregate of 28,332 shares of common stock (the Shares) as a retention bonus to a former stockholder of WPM. The Shares were issued to a former stockholder of WPM that was not a “U.S. person”, as defined in Rule 902 of Regulation S under the Securities Act, or were an “accredited investor,” and the issuances are exempt from the registration requirements of the Securities Act under Regulation S and Rule 506 of Regulation D, respectively. The certificates evidencing the Shares are endorsed with a restrictive Securities Act legend.</w:t>
      </w:r>
    </w:p>
    <w:p>
      <w:pPr>
        <w:pStyle w:val="TextBody"/>
        <w:spacing w:before="360" w:after="0"/>
        <w:jc w:val="left"/>
        <w:rPr>
          <w:rFonts w:ascii="Arial;sans-serif" w:hAnsi="Arial;sans-serif"/>
          <w:b/>
          <w:sz w:val="20"/>
        </w:rPr>
      </w:pPr>
      <w:bookmarkStart w:id="40" w:name="item_3"/>
      <w:bookmarkEnd w:id="40"/>
      <w:r>
        <w:rPr>
          <w:rFonts w:ascii="Arial;sans-serif" w:hAnsi="Arial;sans-serif"/>
          <w:b/>
          <w:sz w:val="20"/>
        </w:rPr>
        <w:t>Item 3. Defaults Upon Senior Securities</w:t>
      </w:r>
    </w:p>
    <w:p>
      <w:pPr>
        <w:pStyle w:val="TextBody"/>
        <w:spacing w:before="200" w:after="200"/>
        <w:jc w:val="left"/>
        <w:rPr>
          <w:rFonts w:ascii="Times New Roman" w:hAnsi="Times New Roman"/>
          <w:sz w:val="20"/>
        </w:rPr>
      </w:pPr>
      <w:r>
        <w:rPr>
          <w:rFonts w:ascii="Arial;sans-serif" w:hAnsi="Arial;sans-serif"/>
          <w:b w:val="false"/>
          <w:sz w:val="20"/>
        </w:rPr>
        <w:t>Not applicable.</w:t>
      </w:r>
      <w:r>
        <w:rPr>
          <w:rFonts w:ascii="Times New Roman" w:hAnsi="Times New Roman"/>
          <w:sz w:val="20"/>
        </w:rPr>
        <w:t xml:space="preserve"> </w:t>
      </w:r>
    </w:p>
    <w:p>
      <w:pPr>
        <w:pStyle w:val="TextBody"/>
        <w:spacing w:before="360" w:after="0"/>
        <w:jc w:val="left"/>
        <w:rPr>
          <w:rFonts w:ascii="Arial;sans-serif" w:hAnsi="Arial;sans-serif"/>
          <w:b/>
          <w:sz w:val="20"/>
        </w:rPr>
      </w:pPr>
      <w:bookmarkStart w:id="41" w:name="item_4_mine"/>
      <w:bookmarkEnd w:id="41"/>
      <w:r>
        <w:rPr>
          <w:rFonts w:ascii="Arial;sans-serif" w:hAnsi="Arial;sans-serif"/>
          <w:b/>
          <w:sz w:val="20"/>
        </w:rPr>
        <w:t>Item 4. Mine Safety Disclosures</w:t>
      </w:r>
    </w:p>
    <w:p>
      <w:pPr>
        <w:pStyle w:val="TextBody"/>
        <w:spacing w:before="200" w:after="200"/>
        <w:jc w:val="left"/>
        <w:rPr>
          <w:rFonts w:ascii="Times New Roman" w:hAnsi="Times New Roman"/>
          <w:sz w:val="20"/>
        </w:rPr>
      </w:pPr>
      <w:r>
        <w:rPr>
          <w:rFonts w:ascii="Arial;sans-serif" w:hAnsi="Arial;sans-serif"/>
          <w:b w:val="false"/>
          <w:sz w:val="20"/>
        </w:rPr>
        <w:t>Not applicable.</w:t>
      </w:r>
      <w:r>
        <w:rPr>
          <w:rFonts w:ascii="Times New Roman" w:hAnsi="Times New Roman"/>
          <w:sz w:val="20"/>
        </w:rPr>
        <w:t xml:space="preserve"> </w:t>
      </w:r>
    </w:p>
    <w:p>
      <w:pPr>
        <w:pStyle w:val="TextBody"/>
        <w:spacing w:before="360" w:after="0"/>
        <w:jc w:val="left"/>
        <w:rPr>
          <w:rFonts w:ascii="Arial;sans-serif" w:hAnsi="Arial;sans-serif"/>
          <w:b/>
          <w:sz w:val="20"/>
        </w:rPr>
      </w:pPr>
      <w:bookmarkStart w:id="42" w:name="item_5"/>
      <w:bookmarkEnd w:id="42"/>
      <w:r>
        <w:rPr>
          <w:rFonts w:ascii="Arial;sans-serif" w:hAnsi="Arial;sans-serif"/>
          <w:b/>
          <w:sz w:val="20"/>
        </w:rPr>
        <w:t>Item 5. Other Information</w:t>
      </w:r>
    </w:p>
    <w:p>
      <w:pPr>
        <w:pStyle w:val="TextBody"/>
        <w:spacing w:before="200" w:after="200"/>
        <w:jc w:val="left"/>
        <w:rPr>
          <w:rFonts w:ascii="Times New Roman" w:hAnsi="Times New Roman"/>
          <w:sz w:val="20"/>
        </w:rPr>
      </w:pPr>
      <w:r>
        <w:rPr>
          <w:rFonts w:ascii="Arial;sans-serif" w:hAnsi="Arial;sans-serif"/>
          <w:b w:val="false"/>
          <w:sz w:val="20"/>
        </w:rPr>
        <w:t>Not applicable.</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82</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360" w:after="0"/>
        <w:jc w:val="left"/>
        <w:rPr>
          <w:rFonts w:ascii="Arial;sans-serif" w:hAnsi="Arial;sans-serif"/>
          <w:b/>
          <w:sz w:val="20"/>
        </w:rPr>
      </w:pPr>
      <w:bookmarkStart w:id="43" w:name="exhibits"/>
      <w:bookmarkEnd w:id="43"/>
      <w:r>
        <w:rPr>
          <w:rFonts w:ascii="Arial;sans-serif" w:hAnsi="Arial;sans-serif"/>
          <w:b/>
          <w:sz w:val="20"/>
        </w:rPr>
        <w:t>Item 6. Exhibits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855"/>
        <w:gridCol w:w="146"/>
        <w:gridCol w:w="9538"/>
      </w:tblGrid>
      <w:tr>
        <w:trPr/>
        <w:tc>
          <w:tcPr>
            <w:tcW w:w="8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855"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Exhibit</w:t>
            </w:r>
          </w:p>
          <w:p>
            <w:pPr>
              <w:pStyle w:val="TableContents"/>
              <w:spacing w:before="0" w:after="0"/>
              <w:ind w:left="0" w:right="0" w:hanging="0"/>
              <w:jc w:val="center"/>
              <w:rPr>
                <w:rFonts w:ascii="Arial;sans-serif" w:hAnsi="Arial;sans-serif"/>
                <w:b/>
                <w:sz w:val="18"/>
              </w:rPr>
            </w:pPr>
            <w:r>
              <w:rPr>
                <w:rFonts w:ascii="Arial;sans-serif" w:hAnsi="Arial;sans-serif"/>
                <w:b/>
                <w:sz w:val="18"/>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Description</w:t>
            </w:r>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Arial;sans-serif" w:hAnsi="Arial;sans-serif"/>
                  <w:b w:val="false"/>
                  <w:sz w:val="20"/>
                  <w:u w:val="single"/>
                </w:rPr>
                <w:t>Amended and Restated Certificate of Incorporation of Flywire Corporation, incorporated by reference to Exhibit 3.1 to the Registrant’s Current Report on Form 8-K filed on June 1, 2021.</w:t>
              </w:r>
            </w:hyperlink>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Arial;sans-serif" w:hAnsi="Arial;sans-serif"/>
                  <w:b w:val="false"/>
                  <w:sz w:val="20"/>
                  <w:u w:val="single"/>
                </w:rPr>
                <w:t>Amended and Restated Bylaws of Flywire Corporation, incorporated by reference to Exhibit 3.2 to the Registrant’s Current Report on Form 8-K filed on June 1, 2021.</w:t>
              </w:r>
            </w:hyperlink>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lyw-ex31_1.htm">
              <w:r>
                <w:rPr>
                  <w:rStyle w:val="InternetLink"/>
                  <w:rFonts w:ascii="Arial;sans-serif" w:hAnsi="Arial;sans-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lyw-ex31_2.htm">
              <w:r>
                <w:rPr>
                  <w:rStyle w:val="InternetLink"/>
                  <w:rFonts w:ascii="Arial;sans-serif" w:hAnsi="Arial;sans-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lyw-ex32_1.htm">
              <w:r>
                <w:rPr>
                  <w:rStyle w:val="InternetLink"/>
                  <w:rFonts w:ascii="Arial;sans-serif" w:hAnsi="Arial;sans-serif"/>
                  <w:b w:val="false"/>
                  <w:sz w:val="20"/>
                  <w:u w:val="single"/>
                </w:rPr>
                <w:t>Certification of Principal Executive Officer Pursuant to 18 U.S.C. Section 1350, as Adopted Pursuant to Section 906 of the Sarbanes-Oxley Act of 2002.</w:t>
              </w:r>
            </w:hyperlink>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lyw-ex32_2.htm">
              <w:r>
                <w:rPr>
                  <w:rStyle w:val="InternetLink"/>
                  <w:rFonts w:ascii="Arial;sans-serif" w:hAnsi="Arial;sans-serif"/>
                  <w:b w:val="false"/>
                  <w:sz w:val="20"/>
                  <w:u w:val="single"/>
                </w:rPr>
                <w:t>Certification of Principal Financial Officer Pursuant to 18 U.S.C. Section 1350, as Adopted Pursuant to Section 906 of the Sarbanes-Oxley Act of 2002.</w:t>
              </w:r>
            </w:hyperlink>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Instance Document – the instance document does not appear in the Interactive Data File because XBRL tags are embedded within the Inline XBRL document.</w:t>
            </w:r>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Schema Document</w:t>
            </w:r>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Calculation Linkbase Document</w:t>
            </w:r>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Definition Linkbase Document</w:t>
            </w:r>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Label Linkbase Document</w:t>
            </w:r>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Presentation Linkbase Document</w:t>
            </w:r>
          </w:p>
        </w:tc>
      </w:tr>
      <w:tr>
        <w:trPr/>
        <w:tc>
          <w:tcPr>
            <w:tcW w:w="8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3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(embedded within the Inline XBRL document)</w:t>
            </w:r>
          </w:p>
        </w:tc>
      </w:tr>
    </w:tbl>
    <w:p>
      <w:pPr>
        <w:pStyle w:val="TextBody"/>
        <w:spacing w:before="120" w:after="0"/>
        <w:jc w:val="left"/>
        <w:rPr>
          <w:rFonts w:ascii="Arial;sans-serif" w:hAnsi="Arial;sans-serif"/>
          <w:b w:val="false"/>
          <w:sz w:val="16"/>
        </w:rPr>
      </w:pPr>
      <w:r>
        <w:rPr>
          <w:rFonts w:ascii="Arial;sans-serif" w:hAnsi="Arial;sans-serif"/>
          <w:b w:val="false"/>
          <w:sz w:val="16"/>
        </w:rPr>
        <w:t>* Filed herewith.</w:t>
      </w:r>
    </w:p>
    <w:p>
      <w:pPr>
        <w:pStyle w:val="TextBody"/>
        <w:spacing w:before="0" w:after="0"/>
        <w:jc w:val="center"/>
        <w:rPr>
          <w:rFonts w:ascii="Arial;sans-serif" w:hAnsi="Arial;sans-serif"/>
          <w:b w:val="false"/>
          <w:sz w:val="20"/>
        </w:rPr>
      </w:pPr>
      <w:r>
        <w:rPr>
          <w:rFonts w:ascii="Arial;sans-serif" w:hAnsi="Arial;sans-serif"/>
          <w:b w:val="false"/>
          <w:sz w:val="20"/>
        </w:rPr>
        <w:t>83</w:t>
      </w:r>
    </w:p>
    <w:p>
      <w:pPr>
        <w:pStyle w:val="HorizontalLine"/>
        <w:rPr/>
      </w:pPr>
      <w:r>
        <w:rPr/>
      </w:r>
    </w:p>
    <w:p>
      <w:pPr>
        <w:pStyle w:val="TextBody"/>
        <w:spacing w:before="0" w:after="0"/>
        <w:jc w:val="left"/>
        <w:rPr/>
      </w:pPr>
      <w:hyperlink w:anchor="toc_page">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360" w:after="0"/>
        <w:jc w:val="center"/>
        <w:rPr>
          <w:rFonts w:ascii="Times New Roman" w:hAnsi="Times New Roman"/>
          <w:sz w:val="20"/>
        </w:rPr>
      </w:pPr>
      <w:bookmarkStart w:id="44" w:name="signatures"/>
      <w:bookmarkEnd w:id="44"/>
      <w:r>
        <w:rPr>
          <w:rFonts w:ascii="Arial;sans-serif" w:hAnsi="Arial;sans-serif"/>
          <w:b/>
          <w:sz w:val="20"/>
        </w:rPr>
        <w:t>SIGNATURES</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tbl>
      <w:tblPr>
        <w:tblW w:w="6509" w:type="dxa"/>
        <w:jc w:val="left"/>
        <w:tblInd w:w="0" w:type="dxa"/>
        <w:tblCellMar>
          <w:top w:w="28" w:type="dxa"/>
          <w:left w:w="28" w:type="dxa"/>
          <w:bottom w:w="28" w:type="dxa"/>
          <w:right w:w="28" w:type="dxa"/>
        </w:tblCellMar>
      </w:tblPr>
      <w:tblGrid>
        <w:gridCol w:w="1726"/>
        <w:gridCol w:w="146"/>
        <w:gridCol w:w="406"/>
        <w:gridCol w:w="4231"/>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37" w:type="dxa"/>
            <w:gridSpan w:val="2"/>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FLYWIRE CORPORATION</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4231" w:type="dxa"/>
            <w:tcBorders/>
            <w:shd w:fill="auto" w:val="clear"/>
            <w:vAlign w:val="center"/>
          </w:tcPr>
          <w:p>
            <w:pPr>
              <w:pStyle w:val="TableContents"/>
              <w:spacing w:before="0" w:after="283"/>
              <w:ind w:left="0" w:right="0" w:hanging="0"/>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423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Michael Massaro</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Michael Massaro</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Chief Executive Officer and Director</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4231" w:type="dxa"/>
            <w:tcBorders/>
            <w:shd w:fill="auto" w:val="clear"/>
            <w:vAlign w:val="center"/>
          </w:tcPr>
          <w:p>
            <w:pPr>
              <w:pStyle w:val="TableContents"/>
              <w:spacing w:before="0" w:after="0"/>
              <w:ind w:left="0" w:right="0" w:hanging="0"/>
              <w:jc w:val="center"/>
              <w:rPr/>
            </w:pPr>
            <w:r>
              <w:rPr/>
              <w:t> </w:t>
            </w:r>
            <w:r>
              <w:rPr>
                <w:rFonts w:ascii="Arial;sans-serif" w:hAnsi="Arial;sans-serif"/>
                <w:b/>
                <w:sz w:val="20"/>
              </w:rPr>
              <w:t>(Principal Executive Officer)</w:t>
            </w:r>
          </w:p>
        </w:tc>
      </w:tr>
      <w:tr>
        <w:trPr/>
        <w:tc>
          <w:tcPr>
            <w:tcW w:w="1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4231" w:type="dxa"/>
            <w:tcBorders/>
            <w:shd w:fill="auto" w:val="clear"/>
            <w:vAlign w:val="center"/>
          </w:tcPr>
          <w:p>
            <w:pPr>
              <w:pStyle w:val="TableContents"/>
              <w:spacing w:before="0" w:after="0"/>
              <w:ind w:left="0" w:right="0" w:hanging="0"/>
              <w:jc w:val="left"/>
              <w:rPr/>
            </w:pPr>
            <w:r>
              <w:rPr/>
              <w:t> </w:t>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423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Michael Ellis</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Michael Ellis</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Chief Financial Officer</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(Principal Financial and Accounting Officer)</w:t>
            </w:r>
          </w:p>
        </w:tc>
      </w:tr>
    </w:tbl>
    <w:p>
      <w:pPr>
        <w:pStyle w:val="TextBody"/>
        <w:spacing w:before="0" w:after="0"/>
        <w:jc w:val="center"/>
        <w:rPr/>
      </w:pPr>
      <w:r>
        <w:rPr/>
        <w:t> </w:t>
      </w:r>
    </w:p>
    <w:p>
      <w:pPr>
        <w:pStyle w:val="TextBody"/>
        <w:spacing w:before="0" w:after="0"/>
        <w:jc w:val="center"/>
        <w:rPr>
          <w:rFonts w:ascii="Arial;sans-serif" w:hAnsi="Arial;sans-serif"/>
          <w:b w:val="false"/>
          <w:sz w:val="20"/>
        </w:rPr>
      </w:pPr>
      <w:r>
        <w:rPr>
          <w:rFonts w:ascii="Arial;sans-serif" w:hAnsi="Arial;sans-serif"/>
          <w:b w:val="false"/>
          <w:sz w:val="20"/>
        </w:rPr>
        <w:t>84</w:t>
      </w:r>
    </w:p>
    <w:p>
      <w:pPr>
        <w:pStyle w:val="HorizontalLine"/>
        <w:rPr/>
      </w:pPr>
      <w:r>
        <w:rPr/>
      </w:r>
      <w:r>
        <w:br w:type="page"/>
      </w:r>
    </w:p>
    <w:p>
      <w:pPr>
        <w:pStyle w:val="TextBody"/>
        <w:spacing w:before="0" w:after="0"/>
        <w:jc w:val="right"/>
        <w:rPr>
          <w:rFonts w:ascii="Arial;sans-serif" w:hAnsi="Arial;sans-serif"/>
          <w:b/>
          <w:sz w:val="20"/>
        </w:rPr>
      </w:pPr>
      <w:bookmarkStart w:id="45" w:name="flyw-ex31_1.htm"/>
      <w:bookmarkStart w:id="46" w:name="ksflywex31_1"/>
      <w:bookmarkEnd w:id="45"/>
      <w:bookmarkEnd w:id="46"/>
      <w:r>
        <w:rPr>
          <w:rFonts w:ascii="Arial;sans-serif" w:hAnsi="Arial;sans-serif"/>
          <w:b/>
          <w:sz w:val="20"/>
        </w:rPr>
        <w:t>Exhibit 31.1</w:t>
      </w:r>
    </w:p>
    <w:p>
      <w:pPr>
        <w:pStyle w:val="TextBody"/>
        <w:spacing w:before="480" w:after="0"/>
        <w:jc w:val="center"/>
        <w:rPr>
          <w:rFonts w:ascii="Times New Roman" w:hAnsi="Times New Roman"/>
          <w:sz w:val="20"/>
        </w:rPr>
      </w:pPr>
      <w:r>
        <w:rPr>
          <w:rFonts w:ascii="Arial;sans-serif" w:hAnsi="Arial;sans-serif"/>
          <w:b/>
          <w:sz w:val="20"/>
        </w:rPr>
        <w:t>CERTIFICATION OF PRINCIPAL EXECUTIVE OFFICER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RULES 13a-14(a) AND 15d-14(a) UNDER THE 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AS ADOPTED PURSUANT TO SECTION 302 OF THE SARBANES-OXLEY ACT OF 2002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 Michael Massaro, certify that: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1. I have reviewed this quarterly report on Form 10-Q for the quarter ended March 31, 2023 of Flywire Corporation;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sz w:val="20"/>
        </w:rPr>
      </w:pPr>
      <w:r>
        <w:rPr>
          <w:rFonts w:ascii="Arial;sans-serif" w:hAnsi="Arial;sans-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5884" w:type="dxa"/>
        <w:jc w:val="left"/>
        <w:tblInd w:w="0" w:type="dxa"/>
        <w:tblCellMar>
          <w:top w:w="28" w:type="dxa"/>
          <w:left w:w="28" w:type="dxa"/>
          <w:bottom w:w="28" w:type="dxa"/>
          <w:right w:w="28" w:type="dxa"/>
        </w:tblCellMar>
      </w:tblPr>
      <w:tblGrid>
        <w:gridCol w:w="1726"/>
        <w:gridCol w:w="146"/>
        <w:gridCol w:w="466"/>
        <w:gridCol w:w="3546"/>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54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0"/>
              <w:ind w:left="0" w:right="0" w:hanging="0"/>
              <w:jc w:val="right"/>
              <w:rPr/>
            </w:pPr>
            <w:r>
              <w:rPr/>
              <w:t> </w:t>
            </w:r>
            <w:r>
              <w:rPr>
                <w:rFonts w:ascii="Arial;sans-serif" w:hAnsi="Arial;sans-serif"/>
                <w:b w:val="false"/>
                <w:sz w:val="20"/>
              </w:rPr>
              <w:t>By:</w:t>
            </w:r>
          </w:p>
        </w:tc>
        <w:tc>
          <w:tcPr>
            <w:tcW w:w="3546"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val="false"/>
                <w:sz w:val="20"/>
              </w:rPr>
            </w:pPr>
            <w:r>
              <w:rPr>
                <w:rFonts w:ascii="Arial;sans-serif" w:hAnsi="Arial;sans-serif"/>
                <w:b w:val="false"/>
                <w:sz w:val="20"/>
              </w:rPr>
              <w:t>/s/ Michael Massaro</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3546"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Michael Massaro</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3546"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Chief Executive Officer and Director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Arial;sans-serif" w:hAnsi="Arial;sans-serif"/>
          <w:b/>
          <w:sz w:val="20"/>
        </w:rPr>
      </w:pPr>
      <w:bookmarkStart w:id="47" w:name="flyw-ex31_2.htm"/>
      <w:bookmarkStart w:id="48" w:name="ksflywex31_2"/>
      <w:bookmarkEnd w:id="47"/>
      <w:bookmarkEnd w:id="48"/>
      <w:r>
        <w:rPr>
          <w:rFonts w:ascii="Arial;sans-serif" w:hAnsi="Arial;sans-serif"/>
          <w:b/>
          <w:sz w:val="20"/>
        </w:rPr>
        <w:t>Exhibit 31.2</w:t>
      </w:r>
    </w:p>
    <w:p>
      <w:pPr>
        <w:pStyle w:val="TextBody"/>
        <w:spacing w:before="480" w:after="0"/>
        <w:jc w:val="center"/>
        <w:rPr>
          <w:rFonts w:ascii="Times New Roman" w:hAnsi="Times New Roman"/>
          <w:sz w:val="20"/>
        </w:rPr>
      </w:pPr>
      <w:r>
        <w:rPr>
          <w:rFonts w:ascii="Arial;sans-serif" w:hAnsi="Arial;sans-serif"/>
          <w:b/>
          <w:sz w:val="20"/>
        </w:rPr>
        <w:t>CERTIFICATION OF PRINCIPAL FINANCIAL OFFICER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RULES 13a-14(a) AND 15d-14(a) UNDER THE 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AS ADOPTED PURSUANT TO SECTION 302 OF THE SARBANES-OXLEY ACT OF 2002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 Michael Ellis, certify that: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1. I have reviewed this quarterly report on Form 10-Q for the quarter ended March 31, 2023 of Flywire Corporation;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sz w:val="20"/>
        </w:rPr>
      </w:pPr>
      <w:r>
        <w:rPr>
          <w:rFonts w:ascii="Arial;sans-serif" w:hAnsi="Arial;sans-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6569" w:type="dxa"/>
        <w:jc w:val="left"/>
        <w:tblInd w:w="0" w:type="dxa"/>
        <w:tblCellMar>
          <w:top w:w="28" w:type="dxa"/>
          <w:left w:w="28" w:type="dxa"/>
          <w:bottom w:w="28" w:type="dxa"/>
          <w:right w:w="28" w:type="dxa"/>
        </w:tblCellMar>
      </w:tblPr>
      <w:tblGrid>
        <w:gridCol w:w="1726"/>
        <w:gridCol w:w="146"/>
        <w:gridCol w:w="466"/>
        <w:gridCol w:w="4231"/>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0"/>
              <w:ind w:left="0" w:right="0" w:hanging="0"/>
              <w:jc w:val="right"/>
              <w:rPr/>
            </w:pPr>
            <w:r>
              <w:rPr/>
              <w:t> </w:t>
            </w:r>
            <w:r>
              <w:rPr>
                <w:rFonts w:ascii="Arial;sans-serif" w:hAnsi="Arial;sans-serif"/>
                <w:b w:val="false"/>
                <w:sz w:val="20"/>
              </w:rPr>
              <w:t>By:</w:t>
            </w:r>
          </w:p>
        </w:tc>
        <w:tc>
          <w:tcPr>
            <w:tcW w:w="4231"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val="false"/>
                <w:sz w:val="20"/>
              </w:rPr>
            </w:pPr>
            <w:r>
              <w:rPr>
                <w:rFonts w:ascii="Arial;sans-serif" w:hAnsi="Arial;sans-serif"/>
                <w:b w:val="false"/>
                <w:sz w:val="20"/>
              </w:rPr>
              <w:t>/s/ Michael Ellis</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Michael Ellis</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Chief Financial Officer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(Principal Financial and Accounting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49" w:name="flyw-ex32_1.htm"/>
      <w:bookmarkStart w:id="50" w:name="ksflywex32_1"/>
      <w:bookmarkEnd w:id="49"/>
      <w:bookmarkEnd w:id="50"/>
      <w:r>
        <w:rPr>
          <w:rFonts w:ascii="Arial;sans-serif" w:hAnsi="Arial;sans-serif"/>
          <w:b/>
          <w:sz w:val="20"/>
        </w:rPr>
        <w:t>Exhibit 32.1</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Arial;sans-serif" w:hAnsi="Arial;sans-serif"/>
          <w:b/>
          <w:sz w:val="20"/>
        </w:rPr>
        <w:t>CERTIFICATION OF PRINCIPAL EXECUTIVE OFFICER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18 U.S.C. SECTION 1350, 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SECTION 906 OF THE SARBANES-OXLEY ACT OF 2002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In connection with the Quarterly Report of Flywire Corporation (the “Company”) on Form 10-Q for the quarter ended March 31, 2023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(2) The information contained in the Report fairly presents, in all material respects, the financial condition and result of operations of the Company.</w:t>
      </w:r>
      <w:r>
        <w:rPr>
          <w:rFonts w:ascii="Times New Roman" w:hAnsi="Times New Roman"/>
          <w:sz w:val="20"/>
        </w:rPr>
        <w:t xml:space="preserve"> </w:t>
      </w:r>
    </w:p>
    <w:tbl>
      <w:tblPr>
        <w:tblW w:w="5738" w:type="dxa"/>
        <w:jc w:val="left"/>
        <w:tblInd w:w="0" w:type="dxa"/>
        <w:tblCellMar>
          <w:top w:w="28" w:type="dxa"/>
          <w:left w:w="28" w:type="dxa"/>
          <w:bottom w:w="28" w:type="dxa"/>
          <w:right w:w="28" w:type="dxa"/>
        </w:tblCellMar>
      </w:tblPr>
      <w:tblGrid>
        <w:gridCol w:w="1726"/>
        <w:gridCol w:w="466"/>
        <w:gridCol w:w="3546"/>
      </w:tblGrid>
      <w:tr>
        <w:trPr/>
        <w:tc>
          <w:tcPr>
            <w:tcW w:w="172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54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9, 2023</w:t>
            </w:r>
          </w:p>
        </w:tc>
        <w:tc>
          <w:tcPr>
            <w:tcW w:w="466" w:type="dxa"/>
            <w:tcBorders/>
            <w:shd w:fill="auto" w:val="clear"/>
            <w:tcMar>
              <w:top w:w="0" w:type="dxa"/>
              <w:left w:w="0" w:type="dxa"/>
              <w:bottom w:w="0" w:type="dxa"/>
              <w:right w:w="0" w:type="dxa"/>
            </w:tcMar>
            <w:vAlign w:val="center"/>
          </w:tcPr>
          <w:p>
            <w:pPr>
              <w:pStyle w:val="TableContents"/>
              <w:spacing w:before="0" w:after="20"/>
              <w:ind w:left="0" w:right="0" w:hanging="0"/>
              <w:jc w:val="right"/>
              <w:rPr/>
            </w:pPr>
            <w:r>
              <w:rPr/>
              <w:t> </w:t>
            </w:r>
            <w:r>
              <w:rPr>
                <w:rFonts w:ascii="Arial;sans-serif" w:hAnsi="Arial;sans-serif"/>
                <w:b w:val="false"/>
                <w:sz w:val="20"/>
              </w:rPr>
              <w:t>By:</w:t>
            </w:r>
          </w:p>
        </w:tc>
        <w:tc>
          <w:tcPr>
            <w:tcW w:w="3546"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val="false"/>
                <w:sz w:val="20"/>
              </w:rPr>
            </w:pPr>
            <w:r>
              <w:rPr>
                <w:rFonts w:ascii="Arial;sans-serif" w:hAnsi="Arial;sans-serif"/>
                <w:b w:val="false"/>
                <w:sz w:val="20"/>
              </w:rPr>
              <w:t>/s/ Michael Massaro</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3546"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Michael Massaro</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3546"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Chief Executive Officer and Director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(Principal Executive Officer)</w:t>
            </w:r>
          </w:p>
        </w:tc>
      </w:tr>
    </w:tbl>
    <w:p>
      <w:pPr>
        <w:pStyle w:val="HorizontalLine"/>
        <w:rPr/>
      </w:pPr>
      <w:r>
        <w:rPr/>
      </w:r>
      <w:r>
        <w:br w:type="page"/>
      </w:r>
    </w:p>
    <w:p>
      <w:pPr>
        <w:pStyle w:val="TextBody"/>
        <w:spacing w:before="0" w:after="0"/>
        <w:jc w:val="right"/>
        <w:rPr>
          <w:rFonts w:ascii="Times New Roman" w:hAnsi="Times New Roman"/>
          <w:sz w:val="20"/>
        </w:rPr>
      </w:pPr>
      <w:bookmarkStart w:id="51" w:name="flyw-ex32_2.htm"/>
      <w:bookmarkStart w:id="52" w:name="ksflywex32_2"/>
      <w:bookmarkEnd w:id="51"/>
      <w:bookmarkEnd w:id="52"/>
      <w:r>
        <w:rPr>
          <w:rFonts w:ascii="Arial;sans-serif" w:hAnsi="Arial;sans-serif"/>
          <w:b/>
          <w:sz w:val="20"/>
        </w:rPr>
        <w:t>Exhibit 32.2</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Arial;sans-serif" w:hAnsi="Arial;sans-serif"/>
          <w:b/>
          <w:sz w:val="20"/>
        </w:rPr>
        <w:t>CERTIFICATION OF PRINCIPAL FINANCIAL OFFICER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18 U.S.C. SECTION 1350, 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SECTION 906 OF THE SARBANES-OXLEY ACT OF 2002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In connection with the Quarterly Report of Flywire Corporation (the “Company”) on Form 10-Q for the quarter ended March 31, 2023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(2) The information contained in the Report fairly presents, in all material respects, the financial condition and result of operations of the Company.</w:t>
      </w:r>
      <w:r>
        <w:rPr>
          <w:rFonts w:ascii="Times New Roman" w:hAnsi="Times New Roman"/>
          <w:sz w:val="20"/>
        </w:rPr>
        <w:t xml:space="preserve"> </w:t>
      </w:r>
    </w:p>
    <w:tbl>
      <w:tblPr>
        <w:tblW w:w="6423" w:type="dxa"/>
        <w:jc w:val="left"/>
        <w:tblInd w:w="0" w:type="dxa"/>
        <w:tblCellMar>
          <w:top w:w="28" w:type="dxa"/>
          <w:left w:w="28" w:type="dxa"/>
          <w:bottom w:w="28" w:type="dxa"/>
          <w:right w:w="28" w:type="dxa"/>
        </w:tblCellMar>
      </w:tblPr>
      <w:tblGrid>
        <w:gridCol w:w="1726"/>
        <w:gridCol w:w="466"/>
        <w:gridCol w:w="4231"/>
      </w:tblGrid>
      <w:tr>
        <w:trPr/>
        <w:tc>
          <w:tcPr>
            <w:tcW w:w="172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9, 2023</w:t>
            </w:r>
          </w:p>
        </w:tc>
        <w:tc>
          <w:tcPr>
            <w:tcW w:w="466" w:type="dxa"/>
            <w:tcBorders/>
            <w:shd w:fill="auto" w:val="clear"/>
            <w:tcMar>
              <w:top w:w="0" w:type="dxa"/>
              <w:left w:w="0" w:type="dxa"/>
              <w:bottom w:w="0" w:type="dxa"/>
              <w:right w:w="0" w:type="dxa"/>
            </w:tcMar>
            <w:vAlign w:val="center"/>
          </w:tcPr>
          <w:p>
            <w:pPr>
              <w:pStyle w:val="TableContents"/>
              <w:spacing w:before="0" w:after="20"/>
              <w:ind w:left="0" w:right="0" w:hanging="0"/>
              <w:jc w:val="right"/>
              <w:rPr/>
            </w:pPr>
            <w:r>
              <w:rPr/>
              <w:t> </w:t>
            </w:r>
            <w:r>
              <w:rPr>
                <w:rFonts w:ascii="Arial;sans-serif" w:hAnsi="Arial;sans-serif"/>
                <w:b w:val="false"/>
                <w:sz w:val="20"/>
              </w:rPr>
              <w:t>By:</w:t>
            </w:r>
          </w:p>
        </w:tc>
        <w:tc>
          <w:tcPr>
            <w:tcW w:w="4231"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val="false"/>
                <w:sz w:val="20"/>
              </w:rPr>
            </w:pPr>
            <w:r>
              <w:rPr>
                <w:rFonts w:ascii="Arial;sans-serif" w:hAnsi="Arial;sans-serif"/>
                <w:b w:val="false"/>
                <w:sz w:val="20"/>
              </w:rPr>
              <w:t>/s/ Michael Ellis</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Michael Ellis</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before="0" w:after="283"/>
              <w:ind w:left="0" w:right="80" w:hanging="0"/>
              <w:rPr>
                <w:sz w:val="4"/>
                <w:szCs w:val="4"/>
              </w:rPr>
            </w:pPr>
            <w:r>
              <w:rPr>
                <w:sz w:val="4"/>
                <w:szCs w:val="4"/>
              </w:rPr>
            </w:r>
          </w:p>
        </w:tc>
        <w:tc>
          <w:tcPr>
            <w:tcW w:w="4231" w:type="dxa"/>
            <w:tcBorders/>
            <w:shd w:fill="auto" w:val="clear"/>
            <w:tcMar>
              <w:top w:w="0" w:type="dxa"/>
              <w:left w:w="0" w:type="dxa"/>
              <w:bottom w:w="0" w:type="dxa"/>
              <w:right w:w="0" w:type="dxa"/>
            </w:tcMar>
            <w:vAlign w:val="center"/>
          </w:tcPr>
          <w:p>
            <w:pPr>
              <w:pStyle w:val="TableContents"/>
              <w:spacing w:before="0" w:after="0"/>
              <w:ind w:left="0" w:right="80" w:hanging="0"/>
              <w:jc w:val="center"/>
              <w:rPr>
                <w:rFonts w:ascii="Arial;sans-serif" w:hAnsi="Arial;sans-serif"/>
                <w:b/>
                <w:sz w:val="20"/>
              </w:rPr>
            </w:pPr>
            <w:r>
              <w:rPr>
                <w:rFonts w:ascii="Arial;sans-serif" w:hAnsi="Arial;sans-serif"/>
                <w:b/>
                <w:sz w:val="20"/>
              </w:rPr>
              <w:t>Chief Financial Officer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(Principal Financial and Accounting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0560/000119312521178711/d109060dex31.htm" TargetMode="External"/><Relationship Id="rId4" Type="http://schemas.openxmlformats.org/officeDocument/2006/relationships/hyperlink" Target="https://www.sec.gov/Archives/edgar/data/1580560/000119312521178711/d109060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58203</Words>
  <CharactersWithSpaces>379209</CharactersWithSpaces>
  <Paragraphs>6142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