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523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52399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Finkelstein Alex</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5"/>
                <w:szCs w:val="15"/>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3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08/11/2022</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320" w:type="dxa"/>
            <w:vAlign w:val="bottom"/>
          </w:tcPr>
          <w:p>
            <w:pPr>
              <w:spacing w:after="0"/>
              <w:rPr>
                <w:sz w:val="7"/>
                <w:szCs w:val="7"/>
                <w:color w:val="auto"/>
              </w:rPr>
            </w:pPr>
          </w:p>
        </w:tc>
        <w:tc>
          <w:tcPr>
            <w:tcW w:w="342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vMerge w:val="restart"/>
          </w:tcPr>
          <w:p>
            <w:pPr>
              <w:spacing w:after="0"/>
              <w:rPr>
                <w:sz w:val="6"/>
                <w:szCs w:val="6"/>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line="146"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5"/>
          </w:tcPr>
          <w:p>
            <w:pPr>
              <w:jc w:val="center"/>
              <w:ind w:left="54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gridSpan w:val="5"/>
            <w:vMerge w:val="restart"/>
          </w:tcPr>
          <w:p>
            <w:pPr>
              <w:jc w:val="center"/>
              <w:ind w:left="545"/>
              <w:spacing w:after="0"/>
              <w:rPr>
                <w:sz w:val="20"/>
                <w:szCs w:val="20"/>
                <w:color w:val="auto"/>
              </w:rPr>
            </w:pPr>
            <w:r>
              <w:rPr>
                <w:rFonts w:ascii="Times New Roman" w:cs="Times New Roman" w:eastAsia="Times New Roman" w:hAnsi="Times New Roman"/>
                <w:sz w:val="17"/>
                <w:szCs w:val="17"/>
                <w:color w:val="0000FF"/>
              </w:rPr>
              <w:t>08/11/2022</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2,987,197</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vMerge w:val="restart"/>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0" w:type="dxa"/>
            <w:vAlign w:val="bottom"/>
          </w:tcPr>
          <w:p>
            <w:pPr>
              <w:spacing w:after="0"/>
              <w:rPr>
                <w:sz w:val="21"/>
                <w:szCs w:val="21"/>
                <w:color w:val="auto"/>
              </w:rPr>
            </w:pPr>
          </w:p>
        </w:tc>
        <w:tc>
          <w:tcPr>
            <w:tcW w:w="11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w w:val="99"/>
              </w:rPr>
              <w:t>2,987,196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gridSpan w:val="5"/>
            <w:vMerge w:val="restart"/>
          </w:tcPr>
          <w:p>
            <w:pPr>
              <w:jc w:val="center"/>
              <w:ind w:left="545"/>
              <w:spacing w:after="0"/>
              <w:rPr>
                <w:sz w:val="20"/>
                <w:szCs w:val="20"/>
                <w:color w:val="auto"/>
              </w:rPr>
            </w:pPr>
            <w:r>
              <w:rPr>
                <w:rFonts w:ascii="Times New Roman" w:cs="Times New Roman" w:eastAsia="Times New Roman" w:hAnsi="Times New Roman"/>
                <w:sz w:val="17"/>
                <w:szCs w:val="17"/>
                <w:color w:val="0000FF"/>
              </w:rPr>
              <w:t>08/11/2022</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722,256</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4"/>
            <w:vMerge w:val="restart"/>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0" w:type="dxa"/>
            <w:vAlign w:val="bottom"/>
          </w:tcPr>
          <w:p>
            <w:pPr>
              <w:spacing w:after="0"/>
              <w:rPr>
                <w:sz w:val="21"/>
                <w:szCs w:val="21"/>
                <w:color w:val="auto"/>
              </w:rPr>
            </w:pPr>
          </w:p>
        </w:tc>
        <w:tc>
          <w:tcPr>
            <w:tcW w:w="11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722,256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gridSpan w:val="5"/>
            <w:vMerge w:val="restart"/>
          </w:tcPr>
          <w:p>
            <w:pPr>
              <w:jc w:val="center"/>
              <w:ind w:left="545"/>
              <w:spacing w:after="0"/>
              <w:rPr>
                <w:sz w:val="20"/>
                <w:szCs w:val="20"/>
                <w:color w:val="auto"/>
              </w:rPr>
            </w:pPr>
            <w:r>
              <w:rPr>
                <w:rFonts w:ascii="Times New Roman" w:cs="Times New Roman" w:eastAsia="Times New Roman" w:hAnsi="Times New Roman"/>
                <w:sz w:val="17"/>
                <w:szCs w:val="17"/>
                <w:color w:val="0000FF"/>
              </w:rPr>
              <w:t>08/11/2022</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(5)</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722,256</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vMerge w:val="restart"/>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vMerge w:val="restart"/>
          </w:tcPr>
          <w:p>
            <w:pPr>
              <w:jc w:val="center"/>
              <w:ind w:right="477"/>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gridSpan w:val="5"/>
            <w:vMerge w:val="restart"/>
          </w:tcPr>
          <w:p>
            <w:pPr>
              <w:jc w:val="center"/>
              <w:ind w:left="545"/>
              <w:spacing w:after="0"/>
              <w:rPr>
                <w:sz w:val="20"/>
                <w:szCs w:val="20"/>
                <w:color w:val="auto"/>
              </w:rPr>
            </w:pPr>
            <w:r>
              <w:rPr>
                <w:rFonts w:ascii="Times New Roman" w:cs="Times New Roman" w:eastAsia="Times New Roman" w:hAnsi="Times New Roman"/>
                <w:sz w:val="17"/>
                <w:szCs w:val="17"/>
                <w:color w:val="0000FF"/>
              </w:rPr>
              <w:t>08/11/2022</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(6)</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19,542</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vMerge w:val="restart"/>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0" w:type="dxa"/>
            <w:vAlign w:val="bottom"/>
          </w:tcPr>
          <w:p>
            <w:pPr>
              <w:spacing w:after="0"/>
              <w:rPr>
                <w:sz w:val="21"/>
                <w:szCs w:val="21"/>
                <w:color w:val="auto"/>
              </w:rPr>
            </w:pPr>
          </w:p>
        </w:tc>
        <w:tc>
          <w:tcPr>
            <w:tcW w:w="11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19,541</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gridSpan w:val="5"/>
            <w:vMerge w:val="restart"/>
          </w:tcPr>
          <w:p>
            <w:pPr>
              <w:jc w:val="center"/>
              <w:ind w:left="545"/>
              <w:spacing w:after="0"/>
              <w:rPr>
                <w:sz w:val="20"/>
                <w:szCs w:val="20"/>
                <w:color w:val="auto"/>
              </w:rPr>
            </w:pPr>
            <w:r>
              <w:rPr>
                <w:rFonts w:ascii="Times New Roman" w:cs="Times New Roman" w:eastAsia="Times New Roman" w:hAnsi="Times New Roman"/>
                <w:sz w:val="17"/>
                <w:szCs w:val="17"/>
                <w:color w:val="0000FF"/>
              </w:rPr>
              <w:t>08/11/2022</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(8)</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4,695</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4"/>
            <w:vMerge w:val="restart"/>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0" w:type="dxa"/>
            <w:vAlign w:val="bottom"/>
          </w:tcPr>
          <w:p>
            <w:pPr>
              <w:spacing w:after="0"/>
              <w:rPr>
                <w:sz w:val="21"/>
                <w:szCs w:val="21"/>
                <w:color w:val="auto"/>
              </w:rPr>
            </w:pPr>
          </w:p>
        </w:tc>
        <w:tc>
          <w:tcPr>
            <w:tcW w:w="11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22,311</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tcBorders>
              <w:top w:val="single" w:sz="8" w:color="2C2C2C"/>
              <w:bottom w:val="single" w:sz="8" w:color="2C2C2C"/>
            </w:tcBorders>
            <w:gridSpan w:val="5"/>
          </w:tcPr>
          <w:p>
            <w:pPr>
              <w:jc w:val="center"/>
              <w:ind w:left="545"/>
              <w:spacing w:after="0"/>
              <w:rPr>
                <w:sz w:val="20"/>
                <w:szCs w:val="20"/>
                <w:color w:val="auto"/>
              </w:rPr>
            </w:pPr>
            <w:r>
              <w:rPr>
                <w:rFonts w:ascii="Times New Roman" w:cs="Times New Roman" w:eastAsia="Times New Roman" w:hAnsi="Times New Roman"/>
                <w:sz w:val="17"/>
                <w:szCs w:val="17"/>
                <w:color w:val="0000FF"/>
              </w:rPr>
              <w:t>08/11/2022</w:t>
            </w:r>
          </w:p>
        </w:tc>
        <w:tc>
          <w:tcPr>
            <w:tcW w:w="4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(10)</w:t>
            </w:r>
          </w:p>
        </w:tc>
        <w:tc>
          <w:tcPr>
            <w:tcW w:w="8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54,169</w:t>
            </w:r>
          </w:p>
        </w:tc>
        <w:tc>
          <w:tcPr>
            <w:tcW w:w="440" w:type="dxa"/>
            <w:vAlign w:val="bottom"/>
            <w:tcBorders>
              <w:top w:val="single" w:sz="8" w:color="2C2C2C"/>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top w:val="single" w:sz="8" w:color="2C2C2C"/>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236,506</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Spark Capital II, L.P. ("Spark Capital II") to its partners.</w:t>
      </w:r>
    </w:p>
    <w:p>
      <w:pPr>
        <w:spacing w:after="0" w:line="50" w:lineRule="exact"/>
        <w:rPr>
          <w:rFonts w:ascii="Times New Roman" w:cs="Times New Roman" w:eastAsia="Times New Roman" w:hAnsi="Times New Roman"/>
          <w:sz w:val="13"/>
          <w:szCs w:val="13"/>
          <w:color w:val="008000"/>
        </w:rPr>
      </w:pPr>
    </w:p>
    <w:p>
      <w:pPr>
        <w:ind w:left="40" w:right="2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Spark Capital II. Spark Management Partners II, LLC ("SMP II") is the general partner of Spark Capital II. The Reporting Person is a managing member of SMP II. The Reporting Person may be deemed to share investment, voting and dispositive power over these shares. Each of SMP II and the Reporting Person disclaims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SMP II by virtue of the receipt of shares in the pro-rata in-kind distribution of voting common stock of the Issuer for no consideration by Spark Capital</w:t>
      </w:r>
    </w:p>
    <w:p>
      <w:pPr>
        <w:spacing w:after="0" w:line="11" w:lineRule="exact"/>
        <w:rPr>
          <w:rFonts w:ascii="Times New Roman" w:cs="Times New Roman" w:eastAsia="Times New Roman" w:hAnsi="Times New Roman"/>
          <w:sz w:val="13"/>
          <w:szCs w:val="13"/>
          <w:color w:val="008000"/>
        </w:rPr>
      </w:pPr>
    </w:p>
    <w:p>
      <w:pPr>
        <w:ind w:left="4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II.</w:t>
      </w:r>
    </w:p>
    <w:p>
      <w:pPr>
        <w:spacing w:after="0" w:line="36"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SMP II. The Reporting Person is a managing member of SMP II. The Reporting Person may be deemed to share investment, voting and dispositive power over these shares. The Reporting Person disclaims beneficial ownership of these shares and this report shall not be deemed an admission that he is the beneficial owner of such securities for purposes of Section 16 or for any other purpose,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SMP II to its members.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Spark Capital Founders' Fund II, L.P. ("Spark Capital FF II") to its partners.</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Spark Capital FF II. SMP II is the general partner of Spark Capital FF II. The Reporting Person is a managing member of SMP II. The Reporting Person may be deemed to share investment, voting and dispositive power over these shares. Each of SMP II and the Reporting Person disclaims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Spark Capital Partners, LLC ("SCP") by virtue of the receipt of shares in the pro-rata in-kind distribution of voting common stock of the Issuer for no consideration by SMP II.</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SCP. The Reporting Person is a managing member of SCP and may be deemed to share investment, voting and dispositive power over these shares. The Reporting Person disclaims beneficial ownership of these shares and this report shall not be deemed an admission that he is the beneficial owner of such securities for purposes of Section 16 or for any other purpose,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the Reporting Person by virtue of the receipt of shares in the pro-rata in-kind distributions of voting common stock of the Issuer for no consideration by SMP II.</w:t>
      </w:r>
    </w:p>
    <w:p>
      <w:pPr>
        <w:sectPr>
          <w:pgSz w:w="11900" w:h="16838" w:orient="portrait"/>
          <w:cols w:equalWidth="0" w:num="1">
            <w:col w:w="11080"/>
          </w:cols>
          <w:pgMar w:left="460" w:top="219" w:right="359" w:bottom="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Alex Finkelstein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08/12/2022</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015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2022-08-13T13:17:16Z</dcterms:created>
  <dcterms:modified xsi:type="dcterms:W3CDTF">2022-08-13T13:17:16Z</dcterms:modified>
</cp:coreProperties>
</file>