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5"/>
        <w:gridCol w:w="785"/>
        <w:gridCol w:w="608"/>
        <w:gridCol w:w="344"/>
        <w:gridCol w:w="825"/>
        <w:gridCol w:w="434"/>
        <w:gridCol w:w="845"/>
        <w:gridCol w:w="1169"/>
        <w:gridCol w:w="979"/>
        <w:gridCol w:w="11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430,723</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328,654</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settlement of certain time-based restricted stock unit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is being reported late due to inadvertent administrative error. The amount in Column 5 of this Form 4 reflects the number of shares beneficially owned by the Reporting Person as of the date of this report after giving effect to the reported transaction and previously reported transactions that occurred after June 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3940</Characters>
  <CharactersWithSpaces>4606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