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19315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0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80"/>
        <w:spacing w:after="0" w:line="369" w:lineRule="auto"/>
        <w:rPr>
          <w:sz w:val="20"/>
          <w:szCs w:val="20"/>
          <w:color w:val="auto"/>
        </w:rPr>
      </w:pPr>
      <w:r>
        <w:rPr>
          <w:rFonts w:ascii="Times New Roman" w:cs="Times New Roman" w:eastAsia="Times New Roman" w:hAnsi="Times New Roman"/>
          <w:sz w:val="16"/>
          <w:szCs w:val="16"/>
          <w:color w:val="0000FF"/>
        </w:rPr>
        <w:t>C/O GOLDMAN SACHS GROUP INC., 200 WEST STREET</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11/15/2022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57" w:lineRule="exact"/>
        <w:rPr>
          <w:sz w:val="24"/>
          <w:szCs w:val="24"/>
          <w:color w:val="auto"/>
        </w:rPr>
      </w:pPr>
    </w:p>
    <w:p>
      <w:pPr>
        <w:sectPr>
          <w:pgSz w:w="11900" w:h="16838" w:orient="portrait"/>
          <w:cols w:equalWidth="0" w:num="2">
            <w:col w:w="3120" w:space="720"/>
            <w:col w:w="7240"/>
          </w:cols>
          <w:pgMar w:left="460" w:top="215" w:right="359" w:bottom="10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5"/>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11/15/2022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236,105</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735,976</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11/15/2022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236,105</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23.85</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499,871</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11/16/2022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84,024</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578,624</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11/16/2022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84,024</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22.53</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494,600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continue"/>
          </w:tcPr>
          <w:p>
            <w:pPr>
              <w:spacing w:after="0"/>
              <w:rPr>
                <w:sz w:val="5"/>
                <w:szCs w:val="5"/>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236,105</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11/15/2022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236,105</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2,126,243</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tcPr>
          <w:p>
            <w:pPr>
              <w:ind w:left="8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Stock(1)</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continue"/>
          </w:tcPr>
          <w:p>
            <w:pPr>
              <w:spacing w:after="0"/>
              <w:rPr>
                <w:sz w:val="5"/>
                <w:szCs w:val="5"/>
                <w:color w:val="auto"/>
              </w:rPr>
            </w:pP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color w:val="0000FF"/>
              </w:rPr>
              <w:t>84,024</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11/16/2022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02"/>
              <w:spacing w:after="0" w:line="139" w:lineRule="exact"/>
              <w:rPr>
                <w:sz w:val="20"/>
                <w:szCs w:val="20"/>
                <w:color w:val="auto"/>
              </w:rPr>
            </w:pPr>
            <w:r>
              <w:rPr>
                <w:rFonts w:ascii="Times New Roman" w:cs="Times New Roman" w:eastAsia="Times New Roman" w:hAnsi="Times New Roman"/>
                <w:sz w:val="13"/>
                <w:szCs w:val="13"/>
                <w:color w:val="0000FF"/>
              </w:rPr>
              <w:t>84,024</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2,042,219</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-2252980</wp:posOffset>
            </wp:positionV>
            <wp:extent cx="28575" cy="2258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580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4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15, 2022, the reporting person consummated the sale of all 236,105 shares of Non-Voting Common Stock, resulting in the automatic conversion of such shares into Voting Common Stock upon the execution of the sale of such shares as reported in Table I.</w:t>
      </w:r>
    </w:p>
    <w:p>
      <w:pPr>
        <w:spacing w:after="0" w:line="25"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Times New Roman" w:cs="Times New Roman" w:eastAsia="Times New Roman" w:hAnsi="Times New Roman"/>
          <w:sz w:val="13"/>
          <w:szCs w:val="13"/>
          <w:color w:val="008000"/>
        </w:rPr>
      </w:pPr>
    </w:p>
    <w:p>
      <w:pPr>
        <w:ind w:left="40" w:right="2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16, 2022, the reporting person consummated the sale of all 84,024 shares of Non-Voting Common Stock, resulting in the automatic conversion of such shares into Voting Common Stock upon the execution of the sale of such shares as reported in Table I.</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11/17/2022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2022-11-17T16:17:09Z</dcterms:created>
  <dcterms:modified xsi:type="dcterms:W3CDTF">2022-11-17T16:17:09Z</dcterms:modified>
</cp:coreProperties>
</file>