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14"/>
          <w:szCs w:val="14"/>
          <w:b w:val="1"/>
          <w:bCs w:val="1"/>
          <w:color w:val="auto"/>
        </w:rPr>
        <w:t>As filed with the Securities and Exchange Commission on May 25, 2021.</w:t>
      </w:r>
    </w:p>
    <w:p>
      <w:pPr>
        <w:spacing w:after="0" w:line="55" w:lineRule="exact"/>
        <w:rPr>
          <w:sz w:val="24"/>
          <w:szCs w:val="24"/>
          <w:color w:val="auto"/>
        </w:rPr>
      </w:pPr>
    </w:p>
    <w:p>
      <w:pPr>
        <w:ind w:left="9144"/>
        <w:spacing w:after="0"/>
        <w:rPr>
          <w:sz w:val="20"/>
          <w:szCs w:val="20"/>
          <w:color w:val="auto"/>
        </w:rPr>
      </w:pPr>
      <w:r>
        <w:rPr>
          <w:rFonts w:ascii="Arial" w:cs="Arial" w:eastAsia="Arial" w:hAnsi="Arial"/>
          <w:sz w:val="14"/>
          <w:szCs w:val="14"/>
          <w:b w:val="1"/>
          <w:bCs w:val="1"/>
          <w:color w:val="auto"/>
        </w:rPr>
        <w:t>Registration No. 333-</w:t>
      </w:r>
    </w:p>
    <w:p>
      <w:pPr>
        <w:spacing w:after="0" w:line="25" w:lineRule="exact"/>
        <w:rPr>
          <w:sz w:val="24"/>
          <w:szCs w:val="24"/>
          <w:color w:val="auto"/>
        </w:rPr>
      </w:pPr>
    </w:p>
    <w:p>
      <w:pPr>
        <w:jc w:val="center"/>
        <w:ind w:right="16"/>
        <w:spacing w:after="0"/>
        <w:rPr>
          <w:sz w:val="20"/>
          <w:szCs w:val="20"/>
          <w:color w:val="auto"/>
        </w:rPr>
      </w:pPr>
      <w:r>
        <w:rPr>
          <w:rFonts w:ascii="Arial" w:cs="Arial" w:eastAsia="Arial" w:hAnsi="Arial"/>
          <w:sz w:val="27"/>
          <w:szCs w:val="27"/>
          <w:b w:val="1"/>
          <w:bCs w:val="1"/>
          <w:color w:val="auto"/>
        </w:rPr>
        <w:t>UNITED STATES</w:t>
      </w:r>
    </w:p>
    <w:p>
      <w:pPr>
        <w:spacing w:after="0" w:line="22" w:lineRule="exact"/>
        <w:rPr>
          <w:sz w:val="24"/>
          <w:szCs w:val="24"/>
          <w:color w:val="auto"/>
        </w:rPr>
      </w:pPr>
    </w:p>
    <w:p>
      <w:pPr>
        <w:jc w:val="center"/>
        <w:ind w:right="16"/>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73025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1" w:lineRule="exact"/>
        <w:rPr>
          <w:sz w:val="24"/>
          <w:szCs w:val="24"/>
          <w:color w:val="auto"/>
        </w:rPr>
      </w:pPr>
    </w:p>
    <w:p>
      <w:pPr>
        <w:jc w:val="center"/>
        <w:ind w:right="16"/>
        <w:spacing w:after="0"/>
        <w:rPr>
          <w:sz w:val="20"/>
          <w:szCs w:val="20"/>
          <w:color w:val="auto"/>
        </w:rPr>
      </w:pPr>
      <w:r>
        <w:rPr>
          <w:rFonts w:ascii="Arial" w:cs="Arial" w:eastAsia="Arial" w:hAnsi="Arial"/>
          <w:sz w:val="27"/>
          <w:szCs w:val="27"/>
          <w:b w:val="1"/>
          <w:bCs w:val="1"/>
          <w:color w:val="auto"/>
        </w:rPr>
        <w:t>FORM S-1</w:t>
      </w:r>
    </w:p>
    <w:p>
      <w:pPr>
        <w:spacing w:after="0" w:line="30" w:lineRule="exact"/>
        <w:rPr>
          <w:sz w:val="24"/>
          <w:szCs w:val="24"/>
          <w:color w:val="auto"/>
        </w:rPr>
      </w:pPr>
    </w:p>
    <w:p>
      <w:pPr>
        <w:jc w:val="center"/>
        <w:ind w:right="16"/>
        <w:spacing w:after="0"/>
        <w:rPr>
          <w:sz w:val="20"/>
          <w:szCs w:val="20"/>
          <w:color w:val="auto"/>
        </w:rPr>
      </w:pPr>
      <w:r>
        <w:rPr>
          <w:rFonts w:ascii="Arial" w:cs="Arial" w:eastAsia="Arial" w:hAnsi="Arial"/>
          <w:sz w:val="27"/>
          <w:szCs w:val="27"/>
          <w:b w:val="1"/>
          <w:bCs w:val="1"/>
          <w:color w:val="auto"/>
        </w:rPr>
        <w:t>REGISTRATION STATEMENT</w:t>
      </w:r>
    </w:p>
    <w:p>
      <w:pPr>
        <w:jc w:val="center"/>
        <w:ind w:right="16"/>
        <w:spacing w:after="0" w:line="237"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73025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1" w:lineRule="exact"/>
        <w:rPr>
          <w:sz w:val="24"/>
          <w:szCs w:val="24"/>
          <w:color w:val="auto"/>
        </w:rPr>
      </w:pPr>
    </w:p>
    <w:p>
      <w:pPr>
        <w:jc w:val="center"/>
        <w:ind w:right="16"/>
        <w:spacing w:after="0"/>
        <w:rPr>
          <w:sz w:val="20"/>
          <w:szCs w:val="20"/>
          <w:color w:val="auto"/>
        </w:rPr>
      </w:pPr>
      <w:r>
        <w:rPr>
          <w:rFonts w:ascii="Arial" w:cs="Arial" w:eastAsia="Arial" w:hAnsi="Arial"/>
          <w:sz w:val="40"/>
          <w:szCs w:val="40"/>
          <w:b w:val="1"/>
          <w:bCs w:val="1"/>
          <w:color w:val="auto"/>
        </w:rPr>
        <w:t>FLYWIRE CORPORATION</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1584"/>
        <w:spacing w:after="0"/>
        <w:tabs>
          <w:tab w:leader="none" w:pos="5464" w:val="left"/>
          <w:tab w:leader="none" w:pos="8884"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7372</w:t>
      </w:r>
      <w:r>
        <w:rPr>
          <w:sz w:val="20"/>
          <w:szCs w:val="20"/>
          <w:color w:val="auto"/>
        </w:rPr>
        <w:tab/>
      </w:r>
      <w:r>
        <w:rPr>
          <w:rFonts w:ascii="Arial" w:cs="Arial" w:eastAsia="Arial" w:hAnsi="Arial"/>
          <w:sz w:val="13"/>
          <w:szCs w:val="13"/>
          <w:b w:val="1"/>
          <w:bCs w:val="1"/>
          <w:color w:val="auto"/>
        </w:rPr>
        <w:t>27-0690799</w:t>
      </w:r>
    </w:p>
    <w:p>
      <w:pPr>
        <w:ind w:left="1024"/>
        <w:spacing w:after="0"/>
        <w:tabs>
          <w:tab w:leader="none" w:pos="4764" w:val="left"/>
          <w:tab w:leader="none" w:pos="8084" w:val="left"/>
        </w:tabs>
        <w:rPr>
          <w:sz w:val="20"/>
          <w:szCs w:val="20"/>
          <w:color w:val="auto"/>
        </w:rPr>
      </w:pPr>
      <w:r>
        <w:rPr>
          <w:rFonts w:ascii="Arial" w:cs="Arial" w:eastAsia="Arial" w:hAnsi="Arial"/>
          <w:sz w:val="14"/>
          <w:szCs w:val="14"/>
          <w:i w:val="1"/>
          <w:iCs w:val="1"/>
          <w:color w:val="auto"/>
        </w:rPr>
        <w:t>(State or other jurisdiction of</w:t>
      </w:r>
      <w:r>
        <w:rPr>
          <w:sz w:val="20"/>
          <w:szCs w:val="20"/>
          <w:color w:val="auto"/>
        </w:rPr>
        <w:tab/>
      </w:r>
      <w:r>
        <w:rPr>
          <w:rFonts w:ascii="Arial" w:cs="Arial" w:eastAsia="Arial" w:hAnsi="Arial"/>
          <w:sz w:val="14"/>
          <w:szCs w:val="14"/>
          <w:i w:val="1"/>
          <w:iCs w:val="1"/>
          <w:color w:val="auto"/>
        </w:rPr>
        <w:t>(Primary Standard Industrial</w:t>
      </w:r>
      <w:r>
        <w:rPr>
          <w:sz w:val="20"/>
          <w:szCs w:val="20"/>
          <w:color w:val="auto"/>
        </w:rPr>
        <w:tab/>
      </w:r>
      <w:r>
        <w:rPr>
          <w:rFonts w:ascii="Arial" w:cs="Arial" w:eastAsia="Arial" w:hAnsi="Arial"/>
          <w:sz w:val="13"/>
          <w:szCs w:val="13"/>
          <w:i w:val="1"/>
          <w:iCs w:val="1"/>
          <w:color w:val="auto"/>
        </w:rPr>
        <w:t>(I.R.S. Employer Identification Number)</w:t>
      </w:r>
    </w:p>
    <w:p>
      <w:pPr>
        <w:ind w:left="984"/>
        <w:spacing w:after="0"/>
        <w:tabs>
          <w:tab w:leader="none" w:pos="4764" w:val="left"/>
        </w:tabs>
        <w:rPr>
          <w:sz w:val="20"/>
          <w:szCs w:val="20"/>
          <w:color w:val="auto"/>
        </w:rPr>
      </w:pPr>
      <w:r>
        <w:rPr>
          <w:rFonts w:ascii="Arial" w:cs="Arial" w:eastAsia="Arial" w:hAnsi="Arial"/>
          <w:sz w:val="14"/>
          <w:szCs w:val="14"/>
          <w:i w:val="1"/>
          <w:iCs w:val="1"/>
          <w:color w:val="auto"/>
        </w:rPr>
        <w:t>incorporation or organization)</w:t>
      </w:r>
      <w:r>
        <w:rPr>
          <w:sz w:val="20"/>
          <w:szCs w:val="20"/>
          <w:color w:val="auto"/>
        </w:rPr>
        <w:tab/>
      </w:r>
      <w:r>
        <w:rPr>
          <w:rFonts w:ascii="Arial" w:cs="Arial" w:eastAsia="Arial" w:hAnsi="Arial"/>
          <w:sz w:val="13"/>
          <w:szCs w:val="13"/>
          <w:i w:val="1"/>
          <w:i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73660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6"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141 Tremont St #10</w:t>
      </w:r>
    </w:p>
    <w:p>
      <w:pPr>
        <w:spacing w:after="0" w:line="26"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Boston, MA 02111</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(617) 329-4524</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80645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Michael Massaro</w:t>
      </w:r>
    </w:p>
    <w:p>
      <w:pPr>
        <w:spacing w:after="0" w:line="26"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Flywire Corporation</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141 Tremont St #10</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Boston, MA 02111</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(617) 329-4524</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80645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2" w:lineRule="exact"/>
        <w:rPr>
          <w:sz w:val="24"/>
          <w:szCs w:val="24"/>
          <w:color w:val="auto"/>
        </w:rPr>
      </w:pPr>
    </w:p>
    <w:tbl>
      <w:tblPr>
        <w:tblLayout w:type="fixed"/>
        <w:tblInd w:w="524"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Arial" w:cs="Arial" w:eastAsia="Arial" w:hAnsi="Arial"/>
                <w:sz w:val="14"/>
                <w:szCs w:val="14"/>
                <w:b w:val="1"/>
                <w:bCs w:val="1"/>
                <w:i w:val="1"/>
                <w:iCs w:val="1"/>
                <w:color w:val="auto"/>
              </w:rPr>
              <w:t>Copies to:</w:t>
            </w:r>
          </w:p>
        </w:tc>
        <w:tc>
          <w:tcPr>
            <w:tcW w:w="2540" w:type="dxa"/>
            <w:vAlign w:val="bottom"/>
          </w:tcPr>
          <w:p>
            <w:pPr>
              <w:spacing w:after="0"/>
              <w:rPr>
                <w:sz w:val="14"/>
                <w:szCs w:val="14"/>
                <w:color w:val="auto"/>
              </w:rPr>
            </w:pPr>
          </w:p>
        </w:tc>
      </w:tr>
      <w:tr>
        <w:trPr>
          <w:trHeight w:val="203"/>
        </w:trPr>
        <w:tc>
          <w:tcPr>
            <w:tcW w:w="3460" w:type="dxa"/>
            <w:vAlign w:val="bottom"/>
          </w:tcPr>
          <w:p>
            <w:pPr>
              <w:jc w:val="center"/>
              <w:ind w:right="679"/>
              <w:spacing w:after="0"/>
              <w:rPr>
                <w:sz w:val="20"/>
                <w:szCs w:val="20"/>
                <w:color w:val="auto"/>
              </w:rPr>
            </w:pPr>
            <w:r>
              <w:rPr>
                <w:rFonts w:ascii="Arial" w:cs="Arial" w:eastAsia="Arial" w:hAnsi="Arial"/>
                <w:sz w:val="16"/>
                <w:szCs w:val="16"/>
                <w:b w:val="1"/>
                <w:bCs w:val="1"/>
                <w:color w:val="auto"/>
                <w:w w:val="95"/>
              </w:rPr>
              <w:t>David D. Gammell</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93"/>
              </w:rPr>
              <w:t>Peter Butterfield</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97"/>
              </w:rPr>
              <w:t>John J. Egan III</w:t>
            </w:r>
          </w:p>
        </w:tc>
      </w:tr>
      <w:tr>
        <w:trPr>
          <w:trHeight w:val="203"/>
        </w:trPr>
        <w:tc>
          <w:tcPr>
            <w:tcW w:w="3460" w:type="dxa"/>
            <w:vAlign w:val="bottom"/>
          </w:tcPr>
          <w:p>
            <w:pPr>
              <w:jc w:val="center"/>
              <w:ind w:right="679"/>
              <w:spacing w:after="0"/>
              <w:rPr>
                <w:sz w:val="20"/>
                <w:szCs w:val="20"/>
                <w:color w:val="auto"/>
              </w:rPr>
            </w:pPr>
            <w:r>
              <w:rPr>
                <w:rFonts w:ascii="Arial" w:cs="Arial" w:eastAsia="Arial" w:hAnsi="Arial"/>
                <w:sz w:val="16"/>
                <w:szCs w:val="16"/>
                <w:b w:val="1"/>
                <w:bCs w:val="1"/>
                <w:color w:val="auto"/>
                <w:w w:val="92"/>
              </w:rPr>
              <w:t>Jeffrey R. Vetter</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93"/>
              </w:rPr>
              <w:t>General Counsel &amp; Chief</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88"/>
              </w:rPr>
              <w:t>Joseph C. Theis, Jr.</w:t>
            </w:r>
          </w:p>
        </w:tc>
      </w:tr>
      <w:tr>
        <w:trPr>
          <w:trHeight w:val="203"/>
        </w:trPr>
        <w:tc>
          <w:tcPr>
            <w:tcW w:w="346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Jay K. Hachigian</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92"/>
              </w:rPr>
              <w:t>Compliance Officer</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Jared J. Fine</w:t>
            </w:r>
          </w:p>
        </w:tc>
      </w:tr>
      <w:tr>
        <w:trPr>
          <w:trHeight w:val="203"/>
        </w:trPr>
        <w:tc>
          <w:tcPr>
            <w:tcW w:w="3460" w:type="dxa"/>
            <w:vAlign w:val="bottom"/>
          </w:tcPr>
          <w:p>
            <w:pPr>
              <w:jc w:val="center"/>
              <w:ind w:right="699"/>
              <w:spacing w:after="0"/>
              <w:rPr>
                <w:sz w:val="20"/>
                <w:szCs w:val="20"/>
                <w:color w:val="auto"/>
              </w:rPr>
            </w:pPr>
            <w:r>
              <w:rPr>
                <w:rFonts w:ascii="Arial" w:cs="Arial" w:eastAsia="Arial" w:hAnsi="Arial"/>
                <w:sz w:val="16"/>
                <w:szCs w:val="16"/>
                <w:b w:val="1"/>
                <w:bCs w:val="1"/>
                <w:color w:val="auto"/>
                <w:w w:val="91"/>
              </w:rPr>
              <w:t>Keith J. Scherer</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95"/>
              </w:rPr>
              <w:t>Flywire Corporation</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3460" w:type="dxa"/>
            <w:vAlign w:val="bottom"/>
          </w:tcPr>
          <w:p>
            <w:pPr>
              <w:jc w:val="center"/>
              <w:ind w:right="699"/>
              <w:spacing w:after="0"/>
              <w:rPr>
                <w:sz w:val="20"/>
                <w:szCs w:val="20"/>
                <w:color w:val="auto"/>
              </w:rPr>
            </w:pPr>
            <w:r>
              <w:rPr>
                <w:rFonts w:ascii="Arial" w:cs="Arial" w:eastAsia="Arial" w:hAnsi="Arial"/>
                <w:sz w:val="16"/>
                <w:szCs w:val="16"/>
                <w:b w:val="1"/>
                <w:bCs w:val="1"/>
                <w:color w:val="auto"/>
                <w:w w:val="91"/>
              </w:rPr>
              <w:t>Gunderson Dettmer Stough Villeneuve</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92"/>
              </w:rPr>
              <w:t>141 Tremont St #10</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100 Northern Avenue</w:t>
            </w:r>
          </w:p>
        </w:tc>
      </w:tr>
      <w:tr>
        <w:trPr>
          <w:trHeight w:val="203"/>
        </w:trPr>
        <w:tc>
          <w:tcPr>
            <w:tcW w:w="3460" w:type="dxa"/>
            <w:vAlign w:val="bottom"/>
          </w:tcPr>
          <w:p>
            <w:pPr>
              <w:jc w:val="center"/>
              <w:ind w:right="679"/>
              <w:spacing w:after="0"/>
              <w:rPr>
                <w:sz w:val="20"/>
                <w:szCs w:val="20"/>
                <w:color w:val="auto"/>
              </w:rPr>
            </w:pPr>
            <w:r>
              <w:rPr>
                <w:rFonts w:ascii="Arial" w:cs="Arial" w:eastAsia="Arial" w:hAnsi="Arial"/>
                <w:sz w:val="16"/>
                <w:szCs w:val="16"/>
                <w:b w:val="1"/>
                <w:bCs w:val="1"/>
                <w:color w:val="auto"/>
                <w:w w:val="97"/>
              </w:rPr>
              <w:t>Franklin &amp; Hachigian, LLP</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89"/>
              </w:rPr>
              <w:t>Boston, MA 02111</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91"/>
              </w:rPr>
              <w:t>Boston, MA 02210</w:t>
            </w:r>
          </w:p>
        </w:tc>
      </w:tr>
      <w:tr>
        <w:trPr>
          <w:trHeight w:val="203"/>
        </w:trPr>
        <w:tc>
          <w:tcPr>
            <w:tcW w:w="3460" w:type="dxa"/>
            <w:vAlign w:val="bottom"/>
          </w:tcPr>
          <w:p>
            <w:pPr>
              <w:jc w:val="center"/>
              <w:ind w:right="679"/>
              <w:spacing w:after="0"/>
              <w:rPr>
                <w:sz w:val="20"/>
                <w:szCs w:val="20"/>
                <w:color w:val="auto"/>
              </w:rPr>
            </w:pPr>
            <w:r>
              <w:rPr>
                <w:rFonts w:ascii="Arial" w:cs="Arial" w:eastAsia="Arial" w:hAnsi="Arial"/>
                <w:sz w:val="16"/>
                <w:szCs w:val="16"/>
                <w:b w:val="1"/>
                <w:bCs w:val="1"/>
                <w:color w:val="auto"/>
                <w:w w:val="95"/>
              </w:rPr>
              <w:t>One Marina Park Drive, Suite 900</w:t>
            </w:r>
          </w:p>
        </w:tc>
        <w:tc>
          <w:tcPr>
            <w:tcW w:w="350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(617) 329-4524</w:t>
            </w:r>
          </w:p>
        </w:tc>
        <w:tc>
          <w:tcPr>
            <w:tcW w:w="2540" w:type="dxa"/>
            <w:vAlign w:val="bottom"/>
          </w:tcPr>
          <w:p>
            <w:pPr>
              <w:jc w:val="center"/>
              <w:ind w:left="919"/>
              <w:spacing w:after="0"/>
              <w:rPr>
                <w:sz w:val="20"/>
                <w:szCs w:val="20"/>
                <w:color w:val="auto"/>
              </w:rPr>
            </w:pPr>
            <w:r>
              <w:rPr>
                <w:rFonts w:ascii="Arial" w:cs="Arial" w:eastAsia="Arial" w:hAnsi="Arial"/>
                <w:sz w:val="16"/>
                <w:szCs w:val="16"/>
                <w:b w:val="1"/>
                <w:bCs w:val="1"/>
                <w:color w:val="auto"/>
                <w:w w:val="93"/>
              </w:rPr>
              <w:t>(617) 570-1000</w:t>
            </w:r>
          </w:p>
        </w:tc>
      </w:tr>
      <w:tr>
        <w:trPr>
          <w:trHeight w:val="203"/>
        </w:trPr>
        <w:tc>
          <w:tcPr>
            <w:tcW w:w="3460" w:type="dxa"/>
            <w:vAlign w:val="bottom"/>
          </w:tcPr>
          <w:p>
            <w:pPr>
              <w:jc w:val="center"/>
              <w:ind w:right="699"/>
              <w:spacing w:after="0"/>
              <w:rPr>
                <w:sz w:val="20"/>
                <w:szCs w:val="20"/>
                <w:color w:val="auto"/>
              </w:rPr>
            </w:pPr>
            <w:r>
              <w:rPr>
                <w:rFonts w:ascii="Arial" w:cs="Arial" w:eastAsia="Arial" w:hAnsi="Arial"/>
                <w:sz w:val="16"/>
                <w:szCs w:val="16"/>
                <w:b w:val="1"/>
                <w:bCs w:val="1"/>
                <w:color w:val="auto"/>
                <w:w w:val="92"/>
              </w:rPr>
              <w:t>Boston, MA 02210</w:t>
            </w:r>
          </w:p>
        </w:tc>
        <w:tc>
          <w:tcPr>
            <w:tcW w:w="35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10"/>
        </w:trPr>
        <w:tc>
          <w:tcPr>
            <w:tcW w:w="3460" w:type="dxa"/>
            <w:vAlign w:val="bottom"/>
          </w:tcPr>
          <w:p>
            <w:pPr>
              <w:jc w:val="center"/>
              <w:ind w:right="679"/>
              <w:spacing w:after="0"/>
              <w:rPr>
                <w:sz w:val="20"/>
                <w:szCs w:val="20"/>
                <w:color w:val="auto"/>
              </w:rPr>
            </w:pPr>
            <w:r>
              <w:rPr>
                <w:rFonts w:ascii="Arial" w:cs="Arial" w:eastAsia="Arial" w:hAnsi="Arial"/>
                <w:sz w:val="16"/>
                <w:szCs w:val="16"/>
                <w:b w:val="1"/>
                <w:bCs w:val="1"/>
                <w:color w:val="auto"/>
                <w:w w:val="93"/>
              </w:rPr>
              <w:t>(617) 648-9100</w:t>
            </w:r>
          </w:p>
        </w:tc>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63500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2" w:lineRule="exact"/>
        <w:rPr>
          <w:sz w:val="24"/>
          <w:szCs w:val="24"/>
          <w:color w:val="auto"/>
        </w:rPr>
      </w:pPr>
    </w:p>
    <w:p>
      <w:pPr>
        <w:ind w:left="444"/>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17" w:lineRule="exact"/>
        <w:rPr>
          <w:sz w:val="24"/>
          <w:szCs w:val="24"/>
          <w:color w:val="auto"/>
        </w:rPr>
      </w:pPr>
    </w:p>
    <w:p>
      <w:pPr>
        <w:ind w:left="4" w:right="600" w:firstLine="440"/>
        <w:spacing w:after="0" w:line="17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4" w:right="280" w:firstLine="440"/>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Arial" w:cs="Arial" w:eastAsia="Arial" w:hAnsi="Arial"/>
          <w:sz w:val="14"/>
          <w:szCs w:val="14"/>
          <w:color w:val="auto"/>
        </w:rPr>
        <w:t xml:space="preserve"> (Registration No. 333- 255706)</w:t>
      </w:r>
    </w:p>
    <w:p>
      <w:pPr>
        <w:spacing w:after="0" w:line="1" w:lineRule="exact"/>
        <w:rPr>
          <w:sz w:val="24"/>
          <w:szCs w:val="24"/>
          <w:color w:val="auto"/>
        </w:rPr>
      </w:pPr>
    </w:p>
    <w:p>
      <w:pPr>
        <w:ind w:left="4" w:right="120" w:firstLine="44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 w:right="120" w:firstLine="44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024"/>
          </w:cols>
          <w:pgMar w:left="436" w:top="225" w:right="439" w:bottom="1440" w:gutter="0" w:footer="0" w:header="0"/>
        </w:sectPr>
      </w:pPr>
    </w:p>
    <w:p>
      <w:pPr>
        <w:spacing w:after="0" w:line="1" w:lineRule="exact"/>
        <w:rPr>
          <w:sz w:val="24"/>
          <w:szCs w:val="24"/>
          <w:color w:val="auto"/>
        </w:rPr>
      </w:pPr>
    </w:p>
    <w:p>
      <w:pPr>
        <w:jc w:val="both"/>
        <w:ind w:left="4" w:firstLine="440"/>
        <w:spacing w:after="0" w:line="2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 w:lineRule="exact"/>
        <w:rPr>
          <w:sz w:val="24"/>
          <w:szCs w:val="24"/>
          <w:color w:val="auto"/>
        </w:rPr>
      </w:pPr>
    </w:p>
    <w:p>
      <w:pPr>
        <w:ind w:left="4"/>
        <w:spacing w:after="0" w:line="161" w:lineRule="exact"/>
        <w:tabs>
          <w:tab w:leader="none" w:pos="1524" w:val="left"/>
          <w:tab w:leader="none" w:pos="8884"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28" w:lineRule="exact"/>
        <w:rPr>
          <w:sz w:val="24"/>
          <w:szCs w:val="24"/>
          <w:color w:val="auto"/>
        </w:rPr>
      </w:pPr>
    </w:p>
    <w:p>
      <w:pPr>
        <w:ind w:left="4"/>
        <w:spacing w:after="0" w:line="161" w:lineRule="exact"/>
        <w:tabs>
          <w:tab w:leader="none" w:pos="1524" w:val="left"/>
          <w:tab w:leader="none" w:pos="8884"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5" w:lineRule="exact"/>
        <w:rPr>
          <w:sz w:val="24"/>
          <w:szCs w:val="24"/>
          <w:color w:val="auto"/>
        </w:rPr>
      </w:pPr>
    </w:p>
    <w:p>
      <w:pPr>
        <w:ind w:left="8904"/>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9" w:lineRule="exact"/>
        <w:rPr>
          <w:sz w:val="24"/>
          <w:szCs w:val="24"/>
          <w:color w:val="auto"/>
        </w:rPr>
      </w:pPr>
    </w:p>
    <w:p>
      <w:pPr>
        <w:sectPr>
          <w:pgSz w:w="11900" w:h="16838" w:orient="portrait"/>
          <w:cols w:equalWidth="0" w:num="2">
            <w:col w:w="10784" w:space="100"/>
            <w:col w:w="140"/>
          </w:cols>
          <w:pgMar w:left="436" w:top="225" w:right="439" w:bottom="1440" w:gutter="0" w:footer="0" w:header="0"/>
          <w:type w:val="continuous"/>
        </w:sectPr>
      </w:pPr>
    </w:p>
    <w:p>
      <w:pPr>
        <w:ind w:left="4"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564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5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120" w:type="dxa"/>
            <w:vAlign w:val="bottom"/>
            <w:tcBorders>
              <w:right w:val="single" w:sz="8" w:color="auto"/>
            </w:tcBorders>
          </w:tcPr>
          <w:p>
            <w:pPr>
              <w:jc w:val="center"/>
              <w:ind w:left="9"/>
              <w:spacing w:after="0" w:line="116" w:lineRule="exact"/>
              <w:rPr>
                <w:sz w:val="20"/>
                <w:szCs w:val="20"/>
                <w:color w:val="auto"/>
              </w:rPr>
            </w:pPr>
            <w:r>
              <w:rPr>
                <w:rFonts w:ascii="Arial" w:cs="Arial" w:eastAsia="Arial" w:hAnsi="Arial"/>
                <w:sz w:val="13"/>
                <w:szCs w:val="13"/>
                <w:b w:val="1"/>
                <w:bCs w:val="1"/>
                <w:color w:val="auto"/>
              </w:rPr>
              <w:t>Amount</w:t>
            </w:r>
          </w:p>
        </w:tc>
        <w:tc>
          <w:tcPr>
            <w:tcW w:w="1540" w:type="dxa"/>
            <w:vAlign w:val="bottom"/>
            <w:tcBorders>
              <w:right w:val="single" w:sz="8" w:color="auto"/>
            </w:tcBorders>
          </w:tcPr>
          <w:p>
            <w:pPr>
              <w:jc w:val="center"/>
              <w:ind w:left="9"/>
              <w:spacing w:after="0" w:line="116" w:lineRule="exact"/>
              <w:rPr>
                <w:sz w:val="20"/>
                <w:szCs w:val="20"/>
                <w:color w:val="auto"/>
              </w:rPr>
            </w:pPr>
            <w:r>
              <w:rPr>
                <w:rFonts w:ascii="Arial" w:cs="Arial" w:eastAsia="Arial" w:hAnsi="Arial"/>
                <w:sz w:val="13"/>
                <w:szCs w:val="13"/>
                <w:b w:val="1"/>
                <w:bCs w:val="1"/>
                <w:color w:val="auto"/>
              </w:rPr>
              <w:t>Proposed Maximum</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9"/>
              </w:rPr>
              <w:t>Proposed maximum</w:t>
            </w:r>
          </w:p>
        </w:tc>
        <w:tc>
          <w:tcPr>
            <w:tcW w:w="11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64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3"/>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12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price(1)(2)</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155"/>
        </w:trPr>
        <w:tc>
          <w:tcPr>
            <w:tcW w:w="56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Voting common stock, $0.0001 par value per share</w:t>
            </w:r>
          </w:p>
        </w:tc>
        <w:tc>
          <w:tcPr>
            <w:tcW w:w="1120" w:type="dxa"/>
            <w:vAlign w:val="bottom"/>
            <w:tcBorders>
              <w:bottom w:val="single" w:sz="8" w:color="auto"/>
              <w:right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2,001,000</w:t>
            </w:r>
          </w:p>
        </w:tc>
        <w:tc>
          <w:tcPr>
            <w:tcW w:w="15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$24.00</w:t>
            </w:r>
          </w:p>
        </w:tc>
        <w:tc>
          <w:tcPr>
            <w:tcW w:w="15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$48,024,000</w:t>
            </w:r>
          </w:p>
        </w:tc>
        <w:tc>
          <w:tcPr>
            <w:tcW w:w="11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$5,239.42</w:t>
            </w: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60" w:hanging="424"/>
        <w:spacing w:after="0" w:line="241" w:lineRule="auto"/>
        <w:tabs>
          <w:tab w:leader="none" w:pos="424"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 462(b) promulgated under the Securities Act of 1933, as amended, an additional amount of securities having a proposed maximum aggregate offering price of no more than 20% of the maximum aggregate offering price of the securities eligible to be sold under the related Registration Statement on Form S-1, as amended (Registration No. 333- 255706), is hereby being registered. Represents only the additional number of shares being registered and includes 261,000 additional shares the underwriters have the option to purchase. Does not include the securities that the registrant previously registered on the Registration Statement on Form S-1 (Registration No. 333- 255706).</w:t>
      </w:r>
    </w:p>
    <w:p>
      <w:pPr>
        <w:ind w:left="424" w:hanging="424"/>
        <w:spacing w:after="0"/>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457(a) promulgated under the Securities Act of 1933, as amended, based on the initial public offering price.</w:t>
      </w:r>
    </w:p>
    <w:p>
      <w:pPr>
        <w:spacing w:after="0" w:line="25" w:lineRule="exact"/>
        <w:rPr>
          <w:rFonts w:ascii="Arial" w:cs="Arial" w:eastAsia="Arial" w:hAnsi="Arial"/>
          <w:sz w:val="14"/>
          <w:szCs w:val="14"/>
          <w:color w:val="auto"/>
        </w:rPr>
      </w:pPr>
    </w:p>
    <w:p>
      <w:pPr>
        <w:ind w:left="444"/>
        <w:spacing w:after="0"/>
        <w:rPr>
          <w:rFonts w:ascii="Arial" w:cs="Arial" w:eastAsia="Arial" w:hAnsi="Arial"/>
          <w:sz w:val="14"/>
          <w:szCs w:val="14"/>
          <w:color w:val="auto"/>
        </w:rPr>
      </w:pPr>
      <w:r>
        <w:rPr>
          <w:rFonts w:ascii="Arial" w:cs="Arial" w:eastAsia="Arial" w:hAnsi="Arial"/>
          <w:sz w:val="14"/>
          <w:szCs w:val="14"/>
          <w:b w:val="1"/>
          <w:bCs w:val="1"/>
          <w:color w:val="auto"/>
        </w:rPr>
        <w:t>The Registration Statement shall become effective upon filing in accordance with Rule 462(b) promulgated under the Securities Act of 1933, as amended.</w:t>
      </w:r>
    </w:p>
    <w:p>
      <w:pPr>
        <w:sectPr>
          <w:pgSz w:w="11900" w:h="16838" w:orient="portrait"/>
          <w:cols w:equalWidth="0" w:num="1">
            <w:col w:w="11024"/>
          </w:cols>
          <w:pgMar w:left="436" w:top="225" w:right="439" w:bottom="1440" w:gutter="0" w:footer="0" w:header="0"/>
          <w:type w:val="continuous"/>
        </w:sectPr>
      </w:pPr>
    </w:p>
    <w:bookmarkStart w:id="1" w:name="page2"/>
    <w:bookmarkEnd w:id="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AND INCORPORATION OF</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CERTAIN INFORMATION BY REFERENCE</w:t>
      </w:r>
    </w:p>
    <w:p>
      <w:pPr>
        <w:spacing w:after="0" w:line="189" w:lineRule="exact"/>
        <w:rPr>
          <w:sz w:val="20"/>
          <w:szCs w:val="20"/>
          <w:color w:val="auto"/>
        </w:rPr>
      </w:pPr>
    </w:p>
    <w:p>
      <w:pPr>
        <w:ind w:left="4" w:right="120"/>
        <w:spacing w:after="0" w:line="257" w:lineRule="auto"/>
        <w:rPr>
          <w:rFonts w:ascii="Arial" w:cs="Arial" w:eastAsia="Arial" w:hAnsi="Arial"/>
          <w:sz w:val="18"/>
          <w:szCs w:val="18"/>
          <w:color w:val="0000EE"/>
        </w:rPr>
      </w:pPr>
      <w:r>
        <w:rPr>
          <w:rFonts w:ascii="Arial" w:cs="Arial" w:eastAsia="Arial" w:hAnsi="Arial"/>
          <w:sz w:val="18"/>
          <w:szCs w:val="18"/>
          <w:color w:val="auto"/>
        </w:rPr>
        <w:t xml:space="preserve">Pursuant to Rule 462(b) under the Securities Act of 1933, as amended (“Securities Act”), Flywire Corporation (the “Registrant”) is filing this Registration Statement on Form S-1 (this “Registration Statement”) with the Securities and Exchange Commission (“Commission”). This Registration Statement relates to the public offering of securities contemplated by the Registration Statement on Form S-1, as amended (File No. 333-255706) (the </w:t>
      </w:r>
      <w:hyperlink r:id="rId15">
        <w:r>
          <w:rPr>
            <w:rFonts w:ascii="Arial" w:cs="Arial" w:eastAsia="Arial" w:hAnsi="Arial"/>
            <w:sz w:val="18"/>
            <w:szCs w:val="18"/>
            <w:color w:val="auto"/>
          </w:rPr>
          <w:t xml:space="preserve">“Prior Registration Statement”), which the Registrant originally filed with the Commission on </w:t>
        </w:r>
        <w:r>
          <w:rPr>
            <w:rFonts w:ascii="Arial" w:cs="Arial" w:eastAsia="Arial" w:hAnsi="Arial"/>
            <w:sz w:val="18"/>
            <w:szCs w:val="18"/>
            <w:u w:val="single" w:color="auto"/>
            <w:color w:val="0000EE"/>
          </w:rPr>
          <w:t>May 3, 2021</w:t>
        </w:r>
        <w:r>
          <w:rPr>
            <w:rFonts w:ascii="Arial" w:cs="Arial" w:eastAsia="Arial" w:hAnsi="Arial"/>
            <w:sz w:val="18"/>
            <w:szCs w:val="18"/>
            <w:color w:val="auto"/>
          </w:rPr>
          <w:t xml:space="preserve">, and subsequently amended on </w:t>
        </w:r>
        <w:r>
          <w:rPr>
            <w:rFonts w:ascii="Arial" w:cs="Arial" w:eastAsia="Arial" w:hAnsi="Arial"/>
            <w:sz w:val="18"/>
            <w:szCs w:val="18"/>
            <w:u w:val="single" w:color="auto"/>
            <w:color w:val="0000EE"/>
          </w:rPr>
          <w:t>May 18,</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2021</w:t>
        </w:r>
        <w:r>
          <w:rPr>
            <w:rFonts w:ascii="Arial" w:cs="Arial" w:eastAsia="Arial" w:hAnsi="Arial"/>
            <w:sz w:val="18"/>
            <w:szCs w:val="18"/>
            <w:color w:val="000000"/>
          </w:rPr>
          <w:t>, and which the Commission declared effective on May 25, 2021.</w:t>
        </w:r>
      </w:hyperlink>
    </w:p>
    <w:p>
      <w:pPr>
        <w:spacing w:after="0" w:line="161"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The Registrant is filing this Registration Statement for the sole purpose of increasing the aggregate number of shares of voting common stock, par value $0.0001 per share, offered by the Registrant by 2,001,000 shares, 261,000 of which are subject to purchase upon exercise of the underwriters’ option to purchase additional shares of the Registrant’s voting common stock. The additional shares that are being registered for issuance and sale are in an amount and at a price that together represent no more than 20% of the maximum aggregate offering price set forth in the Calculation of Registration Fee table contained in the Prior Registration Statement. The information set forth in the Prior Registration Statement, including all amendments and exhibits thereto, are incorporated by reference herein.</w:t>
      </w:r>
    </w:p>
    <w:p>
      <w:pPr>
        <w:spacing w:after="0" w:line="28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4"/>
        <w:spacing w:after="0"/>
        <w:tabs>
          <w:tab w:leader="none" w:pos="7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8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
        <w:r>
          <w:rPr>
            <w:rFonts w:ascii="Arial" w:cs="Arial" w:eastAsia="Arial" w:hAnsi="Arial"/>
            <w:sz w:val="16"/>
            <w:szCs w:val="16"/>
            <w:u w:val="single" w:color="auto"/>
            <w:color w:val="0000EE"/>
          </w:rPr>
          <w:t>Opinion of Gunderson Dettmer Stough Villeneuve Franklin &amp; Hachigian, LLP</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6">
        <w:r>
          <w:rPr>
            <w:rFonts w:ascii="Arial" w:cs="Arial" w:eastAsia="Arial" w:hAnsi="Arial"/>
            <w:sz w:val="16"/>
            <w:szCs w:val="16"/>
            <w:u w:val="single" w:color="auto"/>
            <w:color w:val="0000EE"/>
          </w:rPr>
          <w:t>Consent of PricewaterhouseCoopers LLP, independent registered public accounting firm</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4">
        <w:r>
          <w:rPr>
            <w:rFonts w:ascii="Arial" w:cs="Arial" w:eastAsia="Arial" w:hAnsi="Arial"/>
            <w:sz w:val="16"/>
            <w:szCs w:val="16"/>
            <w:u w:val="single" w:color="auto"/>
            <w:color w:val="0000EE"/>
          </w:rPr>
          <w:t>Consent of Gunderson Dettmer Stough Villeneuve Franklin &amp; Hachigian, LLP (included in Exhibit 5.1)</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7">
        <w:r>
          <w:rPr>
            <w:rFonts w:ascii="Arial" w:cs="Arial" w:eastAsia="Arial" w:hAnsi="Arial"/>
            <w:sz w:val="16"/>
            <w:szCs w:val="16"/>
            <w:u w:val="single" w:color="auto"/>
            <w:color w:val="0000EE"/>
          </w:rPr>
          <w:t>Consent of Kost Forer Gabbay &amp; Kasierer, independent auditors</w:t>
        </w:r>
      </w:hyperlink>
    </w:p>
    <w:p>
      <w:pPr>
        <w:spacing w:after="0" w:line="117" w:lineRule="exact"/>
        <w:rPr>
          <w:sz w:val="20"/>
          <w:szCs w:val="20"/>
          <w:color w:val="auto"/>
        </w:rPr>
      </w:pPr>
    </w:p>
    <w:p>
      <w:pPr>
        <w:ind w:left="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16">
        <w:r>
          <w:rPr>
            <w:rFonts w:ascii="Arial" w:cs="Arial" w:eastAsia="Arial" w:hAnsi="Arial"/>
            <w:sz w:val="16"/>
            <w:szCs w:val="16"/>
            <w:u w:val="single" w:color="auto"/>
            <w:color w:val="0000EE"/>
          </w:rPr>
          <w:t>Power of Attorney</w:t>
        </w:r>
      </w:hyperlink>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24.1 to the Registrant’s Registration Statement on Form S-1 (File No. 333-255706) filed on May 3, 2021.</w:t>
      </w:r>
    </w:p>
    <w:p>
      <w:pPr>
        <w:sectPr>
          <w:pgSz w:w="11900" w:h="16838" w:orient="portrait"/>
          <w:cols w:equalWidth="0" w:num="1">
            <w:col w:w="10964"/>
          </w:cols>
          <w:pgMar w:left="436" w:top="27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8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on Form S-1 to be signed on its behalf by the undersigned, thereunto duly authorized, in Boston, Massachusetts, on the 25th day of May, 2021.</w:t>
      </w:r>
    </w:p>
    <w:p>
      <w:pPr>
        <w:spacing w:after="0" w:line="16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FLYWIRE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Massaro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19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Title</w:t>
            </w:r>
          </w:p>
        </w:tc>
        <w:tc>
          <w:tcPr>
            <w:tcW w:w="2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Date</w:t>
            </w: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5"/>
        </w:trPr>
        <w:tc>
          <w:tcPr>
            <w:tcW w:w="31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1"/>
              </w:rPr>
              <w:t>/s/ Michael Massaro</w:t>
            </w: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Chief Executive Officer and Director</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Michael Massaro</w:t>
            </w:r>
          </w:p>
        </w:tc>
        <w:tc>
          <w:tcPr>
            <w:tcW w:w="5540" w:type="dxa"/>
            <w:vAlign w:val="bottom"/>
            <w:gridSpan w:val="3"/>
          </w:tcPr>
          <w:p>
            <w:pPr>
              <w:jc w:val="center"/>
              <w:ind w:left="550"/>
              <w:spacing w:after="0"/>
              <w:rPr>
                <w:sz w:val="20"/>
                <w:szCs w:val="20"/>
                <w:color w:val="auto"/>
              </w:rPr>
            </w:pPr>
            <w:r>
              <w:rPr>
                <w:rFonts w:ascii="Arial" w:cs="Arial" w:eastAsia="Arial" w:hAnsi="Arial"/>
                <w:sz w:val="18"/>
                <w:szCs w:val="18"/>
                <w:color w:val="auto"/>
                <w:w w:val="96"/>
              </w:rPr>
              <w:t>(Principal Executive Officer)</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5"/>
              </w:rPr>
              <w:t>/s/ Michael Ellis</w:t>
            </w: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4"/>
              </w:rPr>
              <w:t>Chief Financial Officer</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Michael Ellis</w:t>
            </w:r>
          </w:p>
        </w:tc>
        <w:tc>
          <w:tcPr>
            <w:tcW w:w="5540" w:type="dxa"/>
            <w:vAlign w:val="bottom"/>
            <w:gridSpan w:val="3"/>
          </w:tcPr>
          <w:p>
            <w:pPr>
              <w:jc w:val="center"/>
              <w:ind w:left="550"/>
              <w:spacing w:after="0"/>
              <w:rPr>
                <w:sz w:val="20"/>
                <w:szCs w:val="20"/>
                <w:color w:val="auto"/>
              </w:rPr>
            </w:pPr>
            <w:r>
              <w:rPr>
                <w:rFonts w:ascii="Arial" w:cs="Arial" w:eastAsia="Arial" w:hAnsi="Arial"/>
                <w:sz w:val="18"/>
                <w:szCs w:val="18"/>
                <w:color w:val="auto"/>
                <w:w w:val="93"/>
              </w:rPr>
              <w:t>(Principal Financial and Accounting Officer)</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2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24"/>
                <w:szCs w:val="24"/>
                <w:color w:val="auto"/>
              </w:rPr>
            </w:pP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Chairman of the Board of Directors</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Phillip Riese</w:t>
            </w: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2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24"/>
                <w:szCs w:val="24"/>
                <w:color w:val="auto"/>
              </w:rPr>
            </w:pP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Jo Natauri</w:t>
            </w: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2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24"/>
                <w:szCs w:val="24"/>
                <w:color w:val="auto"/>
              </w:rPr>
            </w:pP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Alex Finkelstein</w:t>
            </w: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2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24"/>
                <w:szCs w:val="24"/>
                <w:color w:val="auto"/>
              </w:rPr>
            </w:pP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Matt Harris</w:t>
            </w: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1820" w:type="dxa"/>
            <w:vAlign w:val="bottom"/>
            <w:tcBorders>
              <w:bottom w:val="single" w:sz="8" w:color="auto"/>
            </w:tcBorders>
            <w:gridSpan w:val="2"/>
          </w:tcPr>
          <w:p>
            <w:pPr>
              <w:jc w:val="center"/>
              <w:ind w:left="10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24"/>
                <w:szCs w:val="24"/>
                <w:color w:val="auto"/>
              </w:rPr>
            </w:pPr>
          </w:p>
        </w:tc>
        <w:tc>
          <w:tcPr>
            <w:tcW w:w="5540" w:type="dxa"/>
            <w:vAlign w:val="bottom"/>
            <w:gridSpan w:val="3"/>
          </w:tcPr>
          <w:p>
            <w:pPr>
              <w:jc w:val="center"/>
              <w:ind w:left="3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May 25, 2021</w:t>
            </w:r>
          </w:p>
        </w:tc>
      </w:tr>
      <w:tr>
        <w:trPr>
          <w:trHeight w:val="224"/>
        </w:trPr>
        <w:tc>
          <w:tcPr>
            <w:tcW w:w="31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Edwin Santos</w:t>
            </w:r>
          </w:p>
        </w:tc>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Massaro</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00"/>
          </w:cols>
          <w:pgMar w:left="4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171450</wp:posOffset>
            </wp:positionV>
            <wp:extent cx="6677660" cy="1183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67766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 Tremont St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You have requested our opinion with respect to certain matters in connection with the sale by Flywire Corporation, a Delaware corporation (the “Company”), of up to an aggregate of 2,001,000 shares of the Company’s voting common stock, par value $0.0001 per share (the “Shares”), (including up to 261,000 shares that may be sold pursuant to the exercise of an option granted by the Company to the underwriters), pursuant to the Registration Statement on Form S-1 (the “Registration Statement”) filed with the Securities and Exchange Commission (the “Commission”) pursuant to Rule 462(b) of Regulation C promulgated under the Securities Act of 1933, as amended (the “Act”). The Registration Statement incorporates by reference the Registration Statement on Form S-1 (No. 333-255706), which was declared effective on May 25, 2021 (the “Prior Registration Statement”), including the prospectus which forms a part of the Prior Registration Statement (the “Prospectus”). We understand that the Shares are to be sold to the underwriters for resale to the public as described in the Registration Statement and pursuant to an underwriting agreement, substantially in the form filed as an exhibit to the Prior Registration Statement, to be entered into by and among the Company and the underwriters (the “Underwriting Agreement”).</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“DGCL”).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94" w:lineRule="exact"/>
        <w:rPr>
          <w:sz w:val="20"/>
          <w:szCs w:val="20"/>
          <w:color w:val="auto"/>
        </w:rPr>
      </w:pPr>
    </w:p>
    <w:p>
      <w:pPr>
        <w:jc w:val="center"/>
        <w:ind w:right="20"/>
        <w:spacing w:after="0"/>
        <w:tabs>
          <w:tab w:leader="none" w:pos="120" w:val="left"/>
          <w:tab w:leader="none" w:pos="120" w:val="left"/>
          <w:tab w:leader="none" w:pos="120" w:val="left"/>
          <w:tab w:leader="none" w:pos="140" w:val="left"/>
        </w:tabs>
        <w:rPr>
          <w:sz w:val="20"/>
          <w:szCs w:val="20"/>
          <w:color w:val="auto"/>
        </w:rPr>
      </w:pPr>
      <w:r>
        <w:rPr>
          <w:rFonts w:ascii="Arial" w:cs="Arial" w:eastAsia="Arial" w:hAnsi="Arial"/>
          <w:sz w:val="14"/>
          <w:szCs w:val="14"/>
          <w:color w:val="auto"/>
        </w:rPr>
        <w:t>GUNDERSON</w:t>
        <w:tab/>
        <w:t>DETTMER</w:t>
        <w:tab/>
        <w:t>STOUGH</w:t>
        <w:tab/>
        <w:t>VILLENEUVE</w:t>
        <w:tab/>
        <w:t>FRANKLIN &amp; HACHIGIAN, LLP</w:t>
      </w:r>
    </w:p>
    <w:p>
      <w:pPr>
        <w:jc w:val="center"/>
        <w:spacing w:after="0"/>
        <w:rPr>
          <w:sz w:val="20"/>
          <w:szCs w:val="20"/>
          <w:color w:val="auto"/>
        </w:rPr>
      </w:pPr>
      <w:r>
        <w:rPr>
          <w:rFonts w:ascii="Arial" w:cs="Arial" w:eastAsia="Arial" w:hAnsi="Arial"/>
          <w:sz w:val="14"/>
          <w:szCs w:val="14"/>
          <w:color w:val="auto"/>
        </w:rPr>
        <w:t>ONE MARINA PARK DRIVE, SUITE 900, BOSTON, MA 02210 / PHONE: 617.648.9100 / FAX: 617.648.9199</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Gunderson Dettmer Stough</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Villeneuve Franklin &amp; Hachigian, LLP</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VILLENEUVE FRANKLIN &amp; HACHIGIAN, LLP</w:t>
      </w:r>
    </w:p>
    <w:p>
      <w:pPr>
        <w:sectPr>
          <w:pgSz w:w="11900" w:h="16838" w:orient="portrait"/>
          <w:cols w:equalWidth="0" w:num="1">
            <w:col w:w="10760"/>
          </w:cols>
          <w:pgMar w:left="440" w:top="274" w:right="6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March 11, 2021, except for the effects of the stock split discussed in Note 20 to the consolidated financial statements, as to which the date is May 14, 2021, relating to the financial statements, which appears in Amendment No. 1 to the Registration Statement on Form S-1 (No. 333-255706) of Flywire Corporation. We also consent to the reference to us under the heading “Experts” in Amendment No. 1 to the Registration Statement on Form S-1 (No. 333-255706) incorporated by reference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2021</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March 10, 2021, with respect to the consolidated financial statements of Simplificare Inc. included in the Registration Statement (Form S-1) and related Prospectus of Flywire Corporation for the registration of its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15" Type="http://schemas.openxmlformats.org/officeDocument/2006/relationships/hyperlink" Target="http://www.sec.gov/Archives/edgar/data/1580560/000119312521164506/d469729ds1a.htm" TargetMode="External"/><Relationship Id="rId16" Type="http://schemas.openxmlformats.org/officeDocument/2006/relationships/hyperlink" Target="http://www.sec.gov/Archives/edgar/data/1580560/000119312521146481/d46972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2021-05-25T19:13:27Z</dcterms:created>
  <dcterms:modified xsi:type="dcterms:W3CDTF">2021-05-25T19:13:27Z</dcterms:modified>
</cp:coreProperties>
</file>