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333-255706</w:t>
      </w:r>
    </w:p>
    <w:p>
      <w:pPr>
        <w:jc w:val="right"/>
        <w:spacing w:after="0"/>
        <w:rPr>
          <w:sz w:val="20"/>
          <w:szCs w:val="20"/>
          <w:color w:val="auto"/>
        </w:rPr>
      </w:pPr>
      <w:r>
        <w:rPr>
          <w:rFonts w:ascii="Arial" w:cs="Arial" w:eastAsia="Arial" w:hAnsi="Arial"/>
          <w:sz w:val="18"/>
          <w:szCs w:val="18"/>
          <w:b w:val="1"/>
          <w:bCs w:val="1"/>
          <w:color w:val="auto"/>
        </w:rPr>
        <w:t>Registration No. 333-256471</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10,440,000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-1270</wp:posOffset>
            </wp:positionV>
            <wp:extent cx="109728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This is the initial public offering of shares of voting common stock of Flywire Corporation. We are selling 10,440,000 shares of our voting common</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stock.</w:t>
      </w:r>
    </w:p>
    <w:p>
      <w:pPr>
        <w:spacing w:after="0" w:line="18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shares of common stock. The initial public offering price per share is $24.00 per share.</w:t>
      </w:r>
    </w:p>
    <w:p>
      <w:pPr>
        <w:spacing w:after="0" w:line="181" w:lineRule="exact"/>
        <w:rPr>
          <w:sz w:val="24"/>
          <w:szCs w:val="24"/>
          <w:color w:val="auto"/>
        </w:rPr>
      </w:pPr>
    </w:p>
    <w:p>
      <w:pPr>
        <w:ind w:left="120" w:right="80" w:firstLine="440"/>
        <w:spacing w:after="0" w:line="249" w:lineRule="auto"/>
        <w:rPr>
          <w:sz w:val="20"/>
          <w:szCs w:val="20"/>
          <w:color w:val="auto"/>
        </w:rPr>
      </w:pPr>
      <w:r>
        <w:rPr>
          <w:rFonts w:ascii="Arial" w:cs="Arial" w:eastAsia="Arial" w:hAnsi="Arial"/>
          <w:sz w:val="16"/>
          <w:szCs w:val="16"/>
          <w:color w:val="auto"/>
        </w:rPr>
        <w:t>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to our “common stock” refers to our voting common stock.</w:t>
      </w:r>
    </w:p>
    <w:p>
      <w:pPr>
        <w:spacing w:after="0" w:line="17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We have been approved to list our common stock on The Nasdaq Global Select Market under the symbol “FLYW.”</w:t>
      </w:r>
    </w:p>
    <w:p>
      <w:pPr>
        <w:spacing w:after="0" w:line="181" w:lineRule="exact"/>
        <w:rPr>
          <w:sz w:val="24"/>
          <w:szCs w:val="24"/>
          <w:color w:val="auto"/>
        </w:rPr>
      </w:pPr>
    </w:p>
    <w:p>
      <w:pPr>
        <w:jc w:val="both"/>
        <w:ind w:left="120" w:right="440" w:firstLine="440"/>
        <w:spacing w:after="0" w:line="25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 for this filing and may elect to do so in future reports after the completion of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3" w:lineRule="exact"/>
        <w:rPr>
          <w:sz w:val="24"/>
          <w:szCs w:val="24"/>
          <w:color w:val="auto"/>
        </w:rPr>
      </w:pPr>
    </w:p>
    <w:p>
      <w:pPr>
        <w:ind w:left="56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See the section titled “</w:t>
      </w:r>
      <w:hyperlink w:anchor="page24">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beginning on page 17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9" w:lineRule="exact"/>
        <w:rPr>
          <w:sz w:val="24"/>
          <w:szCs w:val="24"/>
          <w:color w:val="auto"/>
        </w:rPr>
      </w:pPr>
    </w:p>
    <w:p>
      <w:pPr>
        <w:jc w:val="both"/>
        <w:ind w:left="120" w:right="420" w:firstLine="44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250,560,000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740" w:type="dxa"/>
            <w:vAlign w:val="bottom"/>
            <w:gridSpan w:val="2"/>
          </w:tcPr>
          <w:p>
            <w:pPr>
              <w:ind w:left="25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16,912,800</w:t>
            </w: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w:t>
            </w:r>
          </w:p>
        </w:tc>
        <w:tc>
          <w:tcPr>
            <w:tcW w:w="2740" w:type="dxa"/>
            <w:vAlign w:val="bottom"/>
            <w:gridSpan w:val="2"/>
            <w:shd w:val="clear" w:color="auto" w:fill="CCEEFF"/>
          </w:tcPr>
          <w:p>
            <w:pPr>
              <w:ind w:left="25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22.38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233,647,200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4"/>
          <w:szCs w:val="24"/>
          <w:color w:val="auto"/>
        </w:rPr>
      </w:pPr>
    </w:p>
    <w:p>
      <w:pPr>
        <w:ind w:left="660" w:right="1080" w:hanging="544"/>
        <w:spacing w:after="0" w:line="26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the section titled “Underwriting” beginning on page 181 of this prospectus for additional information regarding total underwriting compensation.</w:t>
      </w:r>
    </w:p>
    <w:p>
      <w:pPr>
        <w:spacing w:after="0" w:line="155" w:lineRule="exact"/>
        <w:rPr>
          <w:sz w:val="24"/>
          <w:szCs w:val="24"/>
          <w:color w:val="auto"/>
        </w:rPr>
      </w:pPr>
    </w:p>
    <w:p>
      <w:pPr>
        <w:ind w:left="120" w:right="320" w:firstLine="440"/>
        <w:spacing w:after="0" w:line="260" w:lineRule="auto"/>
        <w:rPr>
          <w:sz w:val="20"/>
          <w:szCs w:val="20"/>
          <w:color w:val="auto"/>
        </w:rPr>
      </w:pPr>
      <w:r>
        <w:rPr>
          <w:rFonts w:ascii="Arial" w:cs="Arial" w:eastAsia="Arial" w:hAnsi="Arial"/>
          <w:sz w:val="16"/>
          <w:szCs w:val="16"/>
          <w:color w:val="auto"/>
        </w:rPr>
        <w:t>We have granted the underwriters an option to purchase up to an additional 1,566,000 shares of common stock from us within 30 days from the date of this prospectus, at the initial public offering price, less the underwriting discounts and commissions.</w:t>
      </w:r>
    </w:p>
    <w:p>
      <w:pPr>
        <w:spacing w:after="0" w:line="16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underwriters expect to deliver the shares against payment in New York, New York, on or about May 28, 2021.</w:t>
      </w:r>
    </w:p>
    <w:p>
      <w:pPr>
        <w:sectPr>
          <w:pgSz w:w="11900" w:h="16838" w:orient="portrait"/>
          <w:cols w:equalWidth="0" w:num="1">
            <w:col w:w="11140"/>
          </w:cols>
          <w:pgMar w:left="320" w:top="230" w:right="439" w:bottom="1440" w:gutter="0" w:footer="0" w:header="0"/>
        </w:sectPr>
      </w:pPr>
    </w:p>
    <w:p>
      <w:pPr>
        <w:spacing w:after="0" w:line="94" w:lineRule="exact"/>
        <w:rPr>
          <w:sz w:val="24"/>
          <w:szCs w:val="24"/>
          <w:color w:val="auto"/>
        </w:rPr>
      </w:pPr>
    </w:p>
    <w:p>
      <w:pPr>
        <w:ind w:left="120"/>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J.P. Morgan</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Citigroup</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BofA Securities</w:t>
      </w:r>
    </w:p>
    <w:p>
      <w:pPr>
        <w:spacing w:after="0" w:line="80" w:lineRule="exact"/>
        <w:rPr>
          <w:sz w:val="24"/>
          <w:szCs w:val="24"/>
          <w:color w:val="auto"/>
        </w:rPr>
      </w:pPr>
    </w:p>
    <w:p>
      <w:pPr>
        <w:sectPr>
          <w:pgSz w:w="11900" w:h="16838" w:orient="portrait"/>
          <w:cols w:equalWidth="0" w:num="4">
            <w:col w:w="4140" w:space="720"/>
            <w:col w:w="1700" w:space="720"/>
            <w:col w:w="1260" w:space="720"/>
            <w:col w:w="188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RBC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William Blair</w:t>
      </w:r>
    </w:p>
    <w:p>
      <w:pPr>
        <w:spacing w:after="0" w:line="65" w:lineRule="exact"/>
        <w:rPr>
          <w:sz w:val="24"/>
          <w:szCs w:val="24"/>
          <w:color w:val="auto"/>
        </w:rPr>
      </w:pPr>
    </w:p>
    <w:p>
      <w:pPr>
        <w:sectPr>
          <w:pgSz w:w="11900" w:h="16838" w:orient="portrait"/>
          <w:cols w:equalWidth="0" w:num="3">
            <w:col w:w="4400" w:space="720"/>
            <w:col w:w="4020" w:space="720"/>
            <w:col w:w="1280"/>
          </w:cols>
          <w:pgMar w:left="320" w:top="230" w:right="439" w:bottom="1440" w:gutter="0" w:footer="0" w:header="0"/>
          <w:type w:val="continuous"/>
        </w:sectPr>
      </w:pPr>
    </w:p>
    <w:p>
      <w:pPr>
        <w:ind w:left="2200"/>
        <w:spacing w:after="0"/>
        <w:rPr>
          <w:sz w:val="20"/>
          <w:szCs w:val="20"/>
          <w:color w:val="auto"/>
        </w:rPr>
      </w:pPr>
      <w:r>
        <w:rPr>
          <w:rFonts w:ascii="Arial" w:cs="Arial" w:eastAsia="Arial" w:hAnsi="Arial"/>
          <w:sz w:val="19"/>
          <w:szCs w:val="19"/>
          <w:b w:val="1"/>
          <w:bCs w:val="1"/>
          <w:color w:val="auto"/>
        </w:rPr>
        <w:t>Guggenheim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b w:val="1"/>
          <w:bCs w:val="1"/>
          <w:color w:val="auto"/>
        </w:rPr>
        <w:t>Nomura</w:t>
      </w:r>
    </w:p>
    <w:p>
      <w:pPr>
        <w:spacing w:after="0" w:line="63" w:lineRule="exact"/>
        <w:rPr>
          <w:sz w:val="24"/>
          <w:szCs w:val="24"/>
          <w:color w:val="auto"/>
        </w:rPr>
      </w:pPr>
    </w:p>
    <w:p>
      <w:pPr>
        <w:sectPr>
          <w:pgSz w:w="11900" w:h="16838" w:orient="portrait"/>
          <w:cols w:equalWidth="0" w:num="2">
            <w:col w:w="7540" w:space="720"/>
            <w:col w:w="288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AmeriVet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Ramirez &amp; Co., Inc.</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6"/>
          <w:szCs w:val="16"/>
          <w:b w:val="1"/>
          <w:bCs w:val="1"/>
          <w:color w:val="auto"/>
        </w:rPr>
        <w:t>Siebert Williams Shank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-1076960</wp:posOffset>
            </wp:positionH>
            <wp:positionV relativeFrom="paragraph">
              <wp:posOffset>220345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Telsey Advisory Group</w:t>
      </w:r>
    </w:p>
    <w:p>
      <w:pPr>
        <w:spacing w:after="0" w:line="200" w:lineRule="exact"/>
        <w:rPr>
          <w:sz w:val="24"/>
          <w:szCs w:val="24"/>
          <w:color w:val="auto"/>
        </w:rPr>
      </w:pPr>
    </w:p>
    <w:p>
      <w:pPr>
        <w:sectPr>
          <w:pgSz w:w="11900" w:h="16838" w:orient="portrait"/>
          <w:cols w:equalWidth="0" w:num="4">
            <w:col w:w="2620" w:space="720"/>
            <w:col w:w="2100" w:space="720"/>
            <w:col w:w="2420" w:space="720"/>
            <w:col w:w="1840"/>
          </w:cols>
          <w:pgMar w:left="320" w:top="230" w:right="439" w:bottom="1440" w:gutter="0" w:footer="0" w:header="0"/>
          <w:type w:val="continuous"/>
        </w:sectPr>
      </w:pP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Prospectus dated May 25,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220345</wp:posOffset>
            </wp:positionV>
            <wp:extent cx="5606415" cy="7715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220345</wp:posOffset>
            </wp:positionV>
            <wp:extent cx="5648960" cy="7706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77063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220345</wp:posOffset>
            </wp:positionV>
            <wp:extent cx="5915025" cy="8186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8186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640" w:type="dxa"/>
            <w:vAlign w:val="bottom"/>
            <w:gridSpan w:val="2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720" w:type="dxa"/>
            <w:vAlign w:val="bottom"/>
            <w:gridSpan w:val="8"/>
            <w:vMerge w:val="restart"/>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Prospectus Summary</w:t>
              </w:r>
            </w:hyperlink>
          </w:p>
        </w:tc>
        <w:tc>
          <w:tcPr>
            <w:tcW w:w="8800" w:type="dxa"/>
            <w:vAlign w:val="bottom"/>
            <w:gridSpan w:val="12"/>
            <w:vMerge w:val="restart"/>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1720" w:type="dxa"/>
            <w:vAlign w:val="bottom"/>
            <w:tcBorders>
              <w:bottom w:val="single" w:sz="8" w:color="0000EE"/>
            </w:tcBorders>
            <w:gridSpan w:val="8"/>
            <w:vMerge w:val="continue"/>
          </w:tcPr>
          <w:p>
            <w:pPr>
              <w:spacing w:after="0"/>
              <w:rPr>
                <w:sz w:val="13"/>
                <w:szCs w:val="13"/>
                <w:color w:val="auto"/>
              </w:rPr>
            </w:pPr>
          </w:p>
        </w:tc>
        <w:tc>
          <w:tcPr>
            <w:tcW w:w="8800" w:type="dxa"/>
            <w:vAlign w:val="bottom"/>
            <w:gridSpan w:val="12"/>
            <w:vMerge w:val="continue"/>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Risk Factors</w:t>
              </w:r>
            </w:hyperlink>
          </w:p>
        </w:tc>
        <w:tc>
          <w:tcPr>
            <w:tcW w:w="952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Special Note Regarding Forward-Looking Statements</w:t>
              </w:r>
            </w:hyperlink>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Industry and Market Data</w:t>
              </w:r>
            </w:hyperlink>
          </w:p>
        </w:tc>
        <w:tc>
          <w:tcPr>
            <w:tcW w:w="8500" w:type="dxa"/>
            <w:vAlign w:val="bottom"/>
            <w:gridSpan w:val="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Dividend Policy</w:t>
              </w:r>
            </w:hyperlink>
          </w:p>
        </w:tc>
        <w:tc>
          <w:tcPr>
            <w:tcW w:w="9200" w:type="dxa"/>
            <w:vAlign w:val="bottom"/>
            <w:gridSpan w:val="1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00" w:type="dxa"/>
            <w:vAlign w:val="bottom"/>
            <w:gridSpan w:val="15"/>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Dilution</w:t>
              </w:r>
            </w:hyperlink>
          </w:p>
        </w:tc>
        <w:tc>
          <w:tcPr>
            <w:tcW w:w="9920" w:type="dxa"/>
            <w:vAlign w:val="bottom"/>
            <w:gridSpan w:val="1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Selected Consolidated Financial Data</w:t>
              </w:r>
            </w:hyperlink>
          </w:p>
        </w:tc>
        <w:tc>
          <w:tcPr>
            <w:tcW w:w="7520" w:type="dxa"/>
            <w:vAlign w:val="bottom"/>
            <w:gridSpan w:val="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Management’s Discussion and Analysis of Financial Condition and Results of Operations</w:t>
              </w:r>
            </w:hyperlink>
          </w:p>
        </w:tc>
        <w:tc>
          <w:tcPr>
            <w:tcW w:w="3440" w:type="dxa"/>
            <w:vAlign w:val="bottom"/>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15">
              <w:r>
                <w:rPr>
                  <w:rFonts w:ascii="Arial" w:cs="Arial" w:eastAsia="Arial" w:hAnsi="Arial"/>
                  <w:sz w:val="18"/>
                  <w:szCs w:val="18"/>
                  <w:color w:val="0000EE"/>
                </w:rPr>
                <w:t>Business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46">
              <w:r>
                <w:rPr>
                  <w:rFonts w:ascii="Arial" w:cs="Arial" w:eastAsia="Arial" w:hAnsi="Arial"/>
                  <w:sz w:val="18"/>
                  <w:szCs w:val="18"/>
                  <w:color w:val="0000EE"/>
                </w:rPr>
                <w:t>Management</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4">
              <w:r>
                <w:rPr>
                  <w:rFonts w:ascii="Arial" w:cs="Arial" w:eastAsia="Arial" w:hAnsi="Arial"/>
                  <w:sz w:val="18"/>
                  <w:szCs w:val="18"/>
                  <w:color w:val="0000EE"/>
                </w:rPr>
                <w:t>Executive Compensation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Certain Relationships and Related Party Transactions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173">
              <w:r>
                <w:rPr>
                  <w:rFonts w:ascii="Arial" w:cs="Arial" w:eastAsia="Arial" w:hAnsi="Arial"/>
                  <w:sz w:val="18"/>
                  <w:szCs w:val="18"/>
                  <w:color w:val="0000EE"/>
                  <w:w w:val="98"/>
                </w:rPr>
                <w:t>Principal Stockholders</w:t>
              </w:r>
            </w:hyperlink>
          </w:p>
        </w:tc>
        <w:tc>
          <w:tcPr>
            <w:tcW w:w="2480" w:type="dxa"/>
            <w:vAlign w:val="bottom"/>
            <w:tcBorders>
              <w:top w:val="single" w:sz="8" w:color="0000EE"/>
            </w:tcBorders>
            <w:gridSpan w:val="8"/>
          </w:tcPr>
          <w:p>
            <w:pPr>
              <w:spacing w:after="0"/>
              <w:rPr>
                <w:sz w:val="15"/>
                <w:szCs w:val="15"/>
                <w:color w:val="auto"/>
              </w:rPr>
            </w:pPr>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Description of Capital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81">
              <w:r>
                <w:rPr>
                  <w:rFonts w:ascii="Arial" w:cs="Arial" w:eastAsia="Arial" w:hAnsi="Arial"/>
                  <w:sz w:val="18"/>
                  <w:szCs w:val="18"/>
                  <w:color w:val="0000EE"/>
                  <w:w w:val="99"/>
                </w:rPr>
                <w:t>Shares Eligible for Future Sale</w:t>
              </w:r>
            </w:hyperlink>
          </w:p>
        </w:tc>
        <w:tc>
          <w:tcPr>
            <w:tcW w:w="8080" w:type="dxa"/>
            <w:vAlign w:val="bottom"/>
            <w:gridSpan w:val="7"/>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Material U.S. Federal Tax Consequences to Non-U.S. Holders of Our Common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Underwriting</w:t>
              </w:r>
            </w:hyperlink>
          </w:p>
        </w:tc>
        <w:tc>
          <w:tcPr>
            <w:tcW w:w="3760" w:type="dxa"/>
            <w:vAlign w:val="bottom"/>
            <w:gridSpan w:val="2"/>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Experts</w:t>
              </w:r>
            </w:hyperlink>
          </w:p>
        </w:tc>
        <w:tc>
          <w:tcPr>
            <w:tcW w:w="9440" w:type="dxa"/>
            <w:vAlign w:val="bottom"/>
            <w:gridSpan w:val="1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Where You Can Find More Information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gridSpan w:val="1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Index to Consolidated Financial Statements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40" w:firstLine="440"/>
        <w:spacing w:after="0" w:line="247" w:lineRule="auto"/>
        <w:rPr>
          <w:sz w:val="20"/>
          <w:szCs w:val="20"/>
          <w:color w:val="auto"/>
        </w:rPr>
      </w:pPr>
      <w:r>
        <w:rPr>
          <w:rFonts w:ascii="Arial" w:cs="Arial" w:eastAsia="Arial" w:hAnsi="Arial"/>
          <w:sz w:val="18"/>
          <w:szCs w:val="18"/>
          <w:b w:val="1"/>
          <w:bCs w:val="1"/>
          <w:color w:val="auto"/>
        </w:rPr>
        <w:t>Through and including June 19,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14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i w:val="1"/>
          <w:iCs w:val="1"/>
          <w:color w:val="auto"/>
        </w:rPr>
        <w:t>For investors outside the United States</w:t>
      </w:r>
      <w:r>
        <w:rPr>
          <w:rFonts w:ascii="Arial" w:cs="Arial" w:eastAsia="Arial" w:hAnsi="Arial"/>
          <w:sz w:val="18"/>
          <w:szCs w:val="18"/>
          <w:color w:val="auto"/>
        </w:rPr>
        <w:t>: Neither we nor any of the underwriters have done anything that would permit this offering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080"/>
          </w:cols>
          <w:pgMar w:left="320" w:top="44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00" w:right="20" w:firstLine="426"/>
        <w:spacing w:after="0" w:line="239" w:lineRule="auto"/>
        <w:rPr>
          <w:sz w:val="20"/>
          <w:szCs w:val="20"/>
          <w:color w:val="auto"/>
        </w:rPr>
      </w:pPr>
      <w:r>
        <w:rPr>
          <w:rFonts w:ascii="Arial" w:cs="Arial" w:eastAsia="Arial" w:hAnsi="Arial"/>
          <w:sz w:val="18"/>
          <w:szCs w:val="18"/>
          <w:i w:val="1"/>
          <w:iCs w:val="1"/>
          <w:color w:val="auto"/>
        </w:rPr>
        <w:t>This summary highlights selected information presented in greater detail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 Our fiscal year end is December 31, and our fiscal quarters end on March 31, June 30, September 30, and December 31. Unless the context otherwise requires, we use the terms “Flywire,” the “Company,” “we,” “us,” “our” and similar designations in this prospectus to refer to Flywire Corporation and its subsidiaries and references to “Simplee” refer to Simplificare, Inc., its indirect wholly-owned subsidiary.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00" w:right="60" w:firstLine="426"/>
        <w:spacing w:after="0" w:line="446" w:lineRule="auto"/>
        <w:rPr>
          <w:sz w:val="20"/>
          <w:szCs w:val="20"/>
          <w:color w:val="auto"/>
        </w:rPr>
      </w:pPr>
      <w:r>
        <w:rPr>
          <w:rFonts w:ascii="Arial" w:cs="Arial" w:eastAsia="Arial" w:hAnsi="Arial"/>
          <w:sz w:val="18"/>
          <w:szCs w:val="18"/>
          <w:color w:val="auto"/>
        </w:rPr>
        <w:t xml:space="preserve">Our mission is to deliver the most important and complex payments. In an increasingly digital world, getting paid means Flywire. </w:t>
      </w:r>
      <w:r>
        <w:rPr>
          <w:rFonts w:ascii="Arial" w:cs="Arial" w:eastAsia="Arial" w:hAnsi="Arial"/>
          <w:sz w:val="18"/>
          <w:szCs w:val="18"/>
          <w:b w:val="1"/>
          <w:bCs w:val="1"/>
          <w:color w:val="auto"/>
        </w:rPr>
        <w:t>Our Company</w:t>
      </w:r>
    </w:p>
    <w:p>
      <w:pPr>
        <w:ind w:left="300" w:right="120" w:firstLine="426"/>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combine tailored invoicing with flexible payment options, and deliver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w:t>
      </w:r>
    </w:p>
    <w:p>
      <w:pPr>
        <w:ind w:left="300"/>
        <w:spacing w:after="0" w:line="234" w:lineRule="auto"/>
        <w:rPr>
          <w:sz w:val="20"/>
          <w:szCs w:val="20"/>
          <w:color w:val="auto"/>
        </w:rPr>
      </w:pPr>
      <w:r>
        <w:rPr>
          <w:rFonts w:ascii="Arial" w:cs="Arial" w:eastAsia="Arial" w:hAnsi="Arial"/>
          <w:sz w:val="18"/>
          <w:szCs w:val="18"/>
          <w:color w:val="auto"/>
        </w:rPr>
        <w:t>sectors of our global economy—including education, healthcare, travel, and business-to-business, or B2B, payments—are still in the</w:t>
      </w:r>
    </w:p>
    <w:p>
      <w:pPr>
        <w:ind w:left="300"/>
        <w:spacing w:after="0" w:line="235" w:lineRule="auto"/>
        <w:rPr>
          <w:sz w:val="20"/>
          <w:szCs w:val="20"/>
          <w:color w:val="auto"/>
        </w:rPr>
      </w:pPr>
      <w:r>
        <w:rPr>
          <w:rFonts w:ascii="Arial" w:cs="Arial" w:eastAsia="Arial" w:hAnsi="Arial"/>
          <w:sz w:val="18"/>
          <w:szCs w:val="18"/>
          <w:color w:val="auto"/>
        </w:rPr>
        <w:t>early stages of digital transformation. We estimate the annual addressable volume for these sectors alone to be approximately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$11.7 trillion, as more fully described below in “Our Market Opportunity”. We believe Flywire is well-positioned to capture a meaningful</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 of this global payment volume given our ability to provide deeply-integrated digital solutions that address both domestic and</w:t>
      </w:r>
    </w:p>
    <w:p>
      <w:pPr>
        <w:ind w:left="300"/>
        <w:spacing w:after="0"/>
        <w:rPr>
          <w:sz w:val="20"/>
          <w:szCs w:val="20"/>
          <w:color w:val="auto"/>
        </w:rPr>
      </w:pPr>
      <w:r>
        <w:rPr>
          <w:rFonts w:ascii="Arial" w:cs="Arial" w:eastAsia="Arial" w:hAnsi="Arial"/>
          <w:sz w:val="18"/>
          <w:szCs w:val="18"/>
          <w:color w:val="auto"/>
        </w:rPr>
        <w:t>cross-border payments.</w:t>
      </w:r>
    </w:p>
    <w:p>
      <w:pPr>
        <w:spacing w:after="0" w:line="171" w:lineRule="exact"/>
        <w:rPr>
          <w:sz w:val="20"/>
          <w:szCs w:val="20"/>
          <w:color w:val="auto"/>
        </w:rPr>
      </w:pPr>
    </w:p>
    <w:p>
      <w:pPr>
        <w:ind w:left="300" w:right="180" w:firstLine="426"/>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62" w:lineRule="exact"/>
        <w:rPr>
          <w:sz w:val="20"/>
          <w:szCs w:val="20"/>
          <w:color w:val="auto"/>
        </w:rPr>
      </w:pPr>
    </w:p>
    <w:p>
      <w:pPr>
        <w:ind w:left="300" w:right="40" w:firstLine="426"/>
        <w:spacing w:after="0" w:line="246"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color w:val="auto"/>
        </w:rPr>
        <w:t>creating interactive, digital payment experiences for their customers. As a result, clients who implement our domestic and cross-border payments and software solutions can see improved accounts receivable, higher enrollment in payment plans, and a reduction in customer support inquiries. We help our clients turn their accounts receivable functions into strategic, value-enhancing areas of their organizations.</w:t>
      </w:r>
    </w:p>
    <w:p>
      <w:pPr>
        <w:spacing w:after="0" w:line="164"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60" w:lineRule="exact"/>
        <w:rPr>
          <w:sz w:val="20"/>
          <w:szCs w:val="20"/>
          <w:color w:val="auto"/>
        </w:rPr>
      </w:pPr>
    </w:p>
    <w:p>
      <w:pPr>
        <w:ind w:left="300" w:right="560" w:firstLine="426"/>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20" w:right="320" w:hanging="195"/>
        <w:spacing w:after="0" w:line="25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80"/>
        <w:spacing w:after="0" w:line="237" w:lineRule="auto"/>
        <w:rPr>
          <w:sz w:val="20"/>
          <w:szCs w:val="20"/>
          <w:color w:val="auto"/>
        </w:rPr>
      </w:pPr>
      <w:r>
        <w:rPr>
          <w:rFonts w:ascii="Arial" w:cs="Arial" w:eastAsia="Arial" w:hAnsi="Arial"/>
          <w:sz w:val="18"/>
          <w:szCs w:val="18"/>
          <w:color w:val="auto"/>
        </w:rPr>
        <w:t>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3" w:lineRule="exact"/>
        <w:rPr>
          <w:sz w:val="20"/>
          <w:szCs w:val="20"/>
          <w:color w:val="auto"/>
        </w:rPr>
      </w:pPr>
    </w:p>
    <w:p>
      <w:pPr>
        <w:ind w:left="1020" w:right="20" w:hanging="19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130 currencies. Our global payment network also provides direct connections to alternative payment methods such as Alipay, Boleto, PayPal/Venmo,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83"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w:t>
      </w:r>
    </w:p>
    <w:p>
      <w:pPr>
        <w:spacing w:after="0" w:line="17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64"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their customers with favorable unit economics. In 2020, we enabled over $7.5 billion of total payment volume across more than 130 currencies. In the three months ended March 31, 2021, we enabled approximately $2.9 billion of total payment volume.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300" w:right="60" w:firstLine="426"/>
        <w:spacing w:after="0" w:line="242"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62"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COVID-19 on our clients and the industries we serve, we had an annual dollar-based net retention rate of 100%, added over 400 new clients, and had client retention of approximately 97%. Our client and customer service combines high-tech and high-touch functions backed by 24x7 multilingual customer support, resulting in high client and customer satisfaction. For fiscal year 2020, we had a net promoter score (NPS) of 64, which exceeds the average NPS of traditional financial institutions.</w:t>
      </w:r>
    </w:p>
    <w:p>
      <w:pPr>
        <w:spacing w:after="0" w:line="176" w:lineRule="exact"/>
        <w:rPr>
          <w:sz w:val="20"/>
          <w:szCs w:val="20"/>
          <w:color w:val="auto"/>
        </w:rPr>
      </w:pPr>
    </w:p>
    <w:p>
      <w:pPr>
        <w:ind w:left="300" w:right="140" w:firstLine="426"/>
        <w:spacing w:after="0" w:line="237" w:lineRule="auto"/>
        <w:rPr>
          <w:sz w:val="20"/>
          <w:szCs w:val="20"/>
          <w:color w:val="auto"/>
        </w:rPr>
      </w:pPr>
      <w:r>
        <w:rPr>
          <w:rFonts w:ascii="Arial" w:cs="Arial" w:eastAsia="Arial" w:hAnsi="Arial"/>
          <w:sz w:val="18"/>
          <w:szCs w:val="18"/>
          <w:color w:val="auto"/>
        </w:rPr>
        <w:t>We have grown rapidly since our founding. We generated revenue of $94.9 million and $131.8 million for the years ended December 31, 2019 and 2020, respectively, and incurred net losses of $20.1 million and $11.1 million, respectively, for those same years. We generated revenue of $45.0 million for the three months ended March 31, 2021, and incurred a net loss of $8.7 million for the same three-month period.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and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1020" w:right="6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Modern customer-focused payment experience</w:t>
      </w:r>
      <w:r>
        <w:rPr>
          <w:rFonts w:ascii="Arial" w:cs="Arial" w:eastAsia="Arial" w:hAnsi="Arial"/>
          <w:sz w:val="18"/>
          <w:szCs w:val="18"/>
          <w:color w:val="auto"/>
        </w:rPr>
        <w:t>. We enable a convenient and secure online payment experience—which</w:t>
      </w:r>
      <w:r>
        <w:rPr>
          <w:rFonts w:ascii="Arial" w:cs="Arial" w:eastAsia="Arial" w:hAnsi="Arial"/>
          <w:sz w:val="18"/>
          <w:szCs w:val="18"/>
          <w:b w:val="1"/>
          <w:bCs w:val="1"/>
          <w:color w:val="auto"/>
        </w:rPr>
        <w:t xml:space="preserve"> </w:t>
      </w:r>
      <w:r>
        <w:rPr>
          <w:rFonts w:ascii="Arial" w:cs="Arial" w:eastAsia="Arial" w:hAnsi="Arial"/>
          <w:sz w:val="18"/>
          <w:szCs w:val="18"/>
          <w:color w:val="auto"/>
        </w:rPr>
        <w:t>can be configured by country, currency, client, and vertical. In addition, our personalization engine leverages our data and applies artificial intelligence and machine learning to match the payment preferences of our clients’ customers with the right payment options.</w:t>
      </w:r>
    </w:p>
    <w:p>
      <w:pPr>
        <w:spacing w:after="0" w:line="173"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Simplify payments complexity</w:t>
      </w:r>
      <w:r>
        <w:rPr>
          <w:rFonts w:ascii="Arial" w:cs="Arial" w:eastAsia="Arial" w:hAnsi="Arial"/>
          <w:sz w:val="18"/>
          <w:szCs w:val="18"/>
          <w:color w:val="auto"/>
        </w:rPr>
        <w:t>. We address complexity in payments by providing our clients with a “one-stop shop”</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160" w:hanging="195"/>
        <w:spacing w:after="0" w:line="24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Processing cost savings and enhanced payments yield</w:t>
      </w:r>
      <w:r>
        <w:rPr>
          <w:rFonts w:ascii="Arial" w:cs="Arial" w:eastAsia="Arial" w:hAnsi="Arial"/>
          <w:sz w:val="18"/>
          <w:szCs w:val="18"/>
          <w:color w:val="auto"/>
        </w:rPr>
        <w:t>. We leverage our significant global volume and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w:t>
      </w:r>
    </w:p>
    <w:p>
      <w:pPr>
        <w:spacing w:after="0" w:line="176" w:lineRule="exact"/>
        <w:rPr>
          <w:rFonts w:ascii="Arial" w:cs="Arial" w:eastAsia="Arial" w:hAnsi="Arial"/>
          <w:sz w:val="18"/>
          <w:szCs w:val="18"/>
          <w:color w:val="auto"/>
        </w:rPr>
      </w:pPr>
    </w:p>
    <w:p>
      <w:pPr>
        <w:ind w:left="1020" w:right="14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Ease of integration</w:t>
      </w:r>
      <w:r>
        <w:rPr>
          <w:rFonts w:ascii="Arial" w:cs="Arial" w:eastAsia="Arial" w:hAnsi="Arial"/>
          <w:sz w:val="18"/>
          <w:szCs w:val="18"/>
          <w:color w:val="auto"/>
        </w:rPr>
        <w:t>. 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both domestic and cross-border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Trusted expertise and a trusted brand</w:t>
      </w:r>
      <w:r>
        <w:rPr>
          <w:rFonts w:ascii="Arial" w:cs="Arial" w:eastAsia="Arial" w:hAnsi="Arial"/>
          <w:sz w:val="18"/>
          <w:szCs w:val="18"/>
          <w:color w:val="auto"/>
        </w:rPr>
        <w:t>. 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207" w:lineRule="exact"/>
        <w:rPr>
          <w:sz w:val="20"/>
          <w:szCs w:val="20"/>
          <w:color w:val="auto"/>
        </w:rPr>
      </w:pPr>
    </w:p>
    <w:p>
      <w:pPr>
        <w:ind w:left="300" w:right="100" w:firstLine="426"/>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1020" w:right="260" w:hanging="195"/>
        <w:spacing w:after="0" w:line="26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Superior and simple payment experiences</w:t>
      </w:r>
      <w:r>
        <w:rPr>
          <w:rFonts w:ascii="Arial" w:cs="Arial" w:eastAsia="Arial" w:hAnsi="Arial"/>
          <w:sz w:val="17"/>
          <w:szCs w:val="17"/>
          <w:color w:val="auto"/>
        </w:rPr>
        <w:t>. Our customer value proposition is simple: we provide a fast and nearly</w:t>
      </w:r>
      <w:r>
        <w:rPr>
          <w:rFonts w:ascii="Arial" w:cs="Arial" w:eastAsia="Arial" w:hAnsi="Arial"/>
          <w:sz w:val="17"/>
          <w:szCs w:val="17"/>
          <w:b w:val="1"/>
          <w:bCs w:val="1"/>
          <w:color w:val="auto"/>
        </w:rPr>
        <w:t xml:space="preserve"> </w:t>
      </w:r>
      <w:r>
        <w:rPr>
          <w:rFonts w:ascii="Arial" w:cs="Arial" w:eastAsia="Arial" w:hAnsi="Arial"/>
          <w:sz w:val="17"/>
          <w:szCs w:val="17"/>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65" w:lineRule="exact"/>
        <w:rPr>
          <w:rFonts w:ascii="Arial" w:cs="Arial" w:eastAsia="Arial" w:hAnsi="Arial"/>
          <w:sz w:val="17"/>
          <w:szCs w:val="17"/>
          <w:color w:val="auto"/>
        </w:rPr>
      </w:pPr>
    </w:p>
    <w:p>
      <w:pPr>
        <w:ind w:left="1020" w:right="8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Customer preference</w:t>
      </w:r>
      <w:r>
        <w:rPr>
          <w:rFonts w:ascii="Arial" w:cs="Arial" w:eastAsia="Arial" w:hAnsi="Arial"/>
          <w:sz w:val="18"/>
          <w:szCs w:val="18"/>
          <w:color w:val="auto"/>
        </w:rPr>
        <w:t>. 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1020" w:right="24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Flexible on-demand payment options</w:t>
      </w:r>
      <w:r>
        <w:rPr>
          <w:rFonts w:ascii="Arial" w:cs="Arial" w:eastAsia="Arial" w:hAnsi="Arial"/>
          <w:sz w:val="18"/>
          <w:szCs w:val="18"/>
          <w:color w:val="auto"/>
        </w:rPr>
        <w:t>. 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1020" w:right="44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Customer confidence</w:t>
      </w:r>
      <w:r>
        <w:rPr>
          <w:rFonts w:ascii="Arial" w:cs="Arial" w:eastAsia="Arial" w:hAnsi="Arial"/>
          <w:sz w:val="18"/>
          <w:szCs w:val="18"/>
          <w:color w:val="auto"/>
        </w:rPr>
        <w:t>. 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support, including around the clock multilingual support, we believe that we give customers the confidence that their payments are delivered securely, accurately, and on time.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300" w:right="320" w:firstLine="426"/>
        <w:spacing w:after="0" w:line="246"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46" w:lineRule="auto"/>
        <w:rPr>
          <w:sz w:val="20"/>
          <w:szCs w:val="20"/>
          <w:color w:val="auto"/>
        </w:rPr>
      </w:pPr>
      <w:r>
        <w:rPr>
          <w:rFonts w:ascii="Arial" w:cs="Arial" w:eastAsia="Arial" w:hAnsi="Arial"/>
          <w:sz w:val="18"/>
          <w:szCs w:val="18"/>
          <w:color w:val="auto"/>
        </w:rPr>
        <w:t>domestic and cross-border payment operations, requires a specialized approach that combines a secure, reliable, and robust suite of payments and software solutions with a seamless customer experience.</w:t>
      </w:r>
    </w:p>
    <w:p>
      <w:pPr>
        <w:spacing w:after="0" w:line="138" w:lineRule="exact"/>
        <w:rPr>
          <w:sz w:val="20"/>
          <w:szCs w:val="20"/>
          <w:color w:val="auto"/>
        </w:rPr>
      </w:pPr>
    </w:p>
    <w:p>
      <w:pPr>
        <w:ind w:left="300" w:right="440" w:firstLine="426"/>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300" w:right="260" w:firstLine="426"/>
        <w:spacing w:after="0" w:line="261" w:lineRule="auto"/>
        <w:rPr>
          <w:sz w:val="20"/>
          <w:szCs w:val="20"/>
          <w:color w:val="auto"/>
        </w:rPr>
      </w:pPr>
      <w:r>
        <w:rPr>
          <w:rFonts w:ascii="Arial" w:cs="Arial" w:eastAsia="Arial" w:hAnsi="Arial"/>
          <w:sz w:val="17"/>
          <w:szCs w:val="17"/>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In 2020, we enabled over $7.5 billion in total payment volume across multiple payment types, including local bank transfer, credit and debit cards, and other alternative payment methods such as Alipay, Boleto, PayPal / Venmo, and Trustly. In the quarter ended March 31, 2021, we enabled approximately $2.9 billion in total payment volume. The majority of our payment volume is not card-related and is completed over our global payment network. This reflects the myriad of payment options enabled by our global payment network that are critical for the larger, more complex payments that we handle.</w:t>
      </w:r>
    </w:p>
    <w:p>
      <w:pPr>
        <w:spacing w:after="0" w:line="175"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Our comprehensive payments offering enables our clients to provide their customers with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1020" w:right="60" w:hanging="195"/>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93"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300" w:right="180" w:firstLine="426"/>
        <w:spacing w:after="0"/>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300" w:right="360" w:firstLine="426"/>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6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140" w:hanging="522"/>
        <w:spacing w:after="0" w:line="249" w:lineRule="auto"/>
        <w:tabs>
          <w:tab w:leader="none" w:pos="8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55" w:lineRule="exact"/>
        <w:rPr>
          <w:sz w:val="20"/>
          <w:szCs w:val="20"/>
          <w:color w:val="auto"/>
        </w:rPr>
      </w:pPr>
    </w:p>
    <w:p>
      <w:pPr>
        <w:ind w:left="300" w:right="740" w:firstLine="426"/>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97" w:lineRule="exact"/>
        <w:rPr>
          <w:sz w:val="20"/>
          <w:szCs w:val="20"/>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routing optimized for cost, risk and compliance management;</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clearing capabilities;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ecosystem of alternative payment methods;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pay-out;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tailored and scalable regulatory and compliance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207"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320" w:top="459" w:right="8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firstLine="426"/>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212"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vertical-specific digital workflows;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and synchronization to core and industry specific systems;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real-time invoice and payment status updates;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predictive analytics to assess payment transactions and drive our personalization engine.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93"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205" w:lineRule="exact"/>
        <w:rPr>
          <w:sz w:val="20"/>
          <w:szCs w:val="20"/>
          <w:color w:val="auto"/>
        </w:rPr>
      </w:pPr>
    </w:p>
    <w:p>
      <w:pPr>
        <w:ind w:left="1020" w:right="440" w:hanging="195"/>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globalization—and the rise of a “borderless” economy—requires global, cross-border, and local payment and regulatory expertise;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to software-integrated digital payments is accelerating;</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legacy payment and accounts receivable management infrastructure has significant limitations and is ripe for innovation;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accelerating digitization of B2B payments.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4" w:lineRule="exact"/>
        <w:rPr>
          <w:sz w:val="20"/>
          <w:szCs w:val="20"/>
          <w:color w:val="auto"/>
        </w:rPr>
      </w:pPr>
    </w:p>
    <w:p>
      <w:pPr>
        <w:ind w:left="300" w:right="480" w:firstLine="426"/>
        <w:spacing w:after="0"/>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540"/>
        <w:spacing w:after="0" w:line="249" w:lineRule="auto"/>
        <w:rPr>
          <w:sz w:val="20"/>
          <w:szCs w:val="20"/>
          <w:color w:val="auto"/>
        </w:rPr>
      </w:pPr>
      <w:r>
        <w:rPr>
          <w:rFonts w:ascii="Arial" w:cs="Arial" w:eastAsia="Arial" w:hAnsi="Arial"/>
          <w:sz w:val="18"/>
          <w:szCs w:val="18"/>
          <w:color w:val="auto"/>
        </w:rPr>
        <w:t>approximately $1.7 trillion in global payment volume, including education ($660 billion)</w:t>
      </w:r>
      <w:r>
        <w:rPr>
          <w:rFonts w:ascii="Arial" w:cs="Arial" w:eastAsia="Arial" w:hAnsi="Arial"/>
          <w:sz w:val="15"/>
          <w:szCs w:val="15"/>
          <w:color w:val="auto"/>
        </w:rPr>
        <w:t>(1)</w:t>
      </w:r>
      <w:r>
        <w:rPr>
          <w:rFonts w:ascii="Arial" w:cs="Arial" w:eastAsia="Arial" w:hAnsi="Arial"/>
          <w:sz w:val="18"/>
          <w:szCs w:val="18"/>
          <w:color w:val="auto"/>
        </w:rPr>
        <w:t>, healthcare ($500 billion)</w:t>
      </w:r>
      <w:r>
        <w:rPr>
          <w:rFonts w:ascii="Arial" w:cs="Arial" w:eastAsia="Arial" w:hAnsi="Arial"/>
          <w:sz w:val="15"/>
          <w:szCs w:val="15"/>
          <w:color w:val="auto"/>
        </w:rPr>
        <w:t>(2)</w:t>
      </w:r>
      <w:r>
        <w:rPr>
          <w:rFonts w:ascii="Arial" w:cs="Arial" w:eastAsia="Arial" w:hAnsi="Arial"/>
          <w:sz w:val="18"/>
          <w:szCs w:val="18"/>
          <w:color w:val="auto"/>
        </w:rPr>
        <w:t xml:space="preserve"> and travel (approximately $530 billion)</w:t>
      </w:r>
      <w:r>
        <w:rPr>
          <w:rFonts w:ascii="Arial" w:cs="Arial" w:eastAsia="Arial" w:hAnsi="Arial"/>
          <w:sz w:val="15"/>
          <w:szCs w:val="15"/>
          <w:color w:val="auto"/>
        </w:rPr>
        <w:t>(3)</w:t>
      </w:r>
      <w:r>
        <w:rPr>
          <w:rFonts w:ascii="Arial" w:cs="Arial" w:eastAsia="Arial" w:hAnsi="Arial"/>
          <w:sz w:val="18"/>
          <w:szCs w:val="18"/>
          <w:color w:val="auto"/>
        </w:rPr>
        <w:t>.</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w:t>
      </w:r>
    </w:p>
    <w:p>
      <w:pPr>
        <w:ind w:left="300"/>
        <w:spacing w:after="0" w:line="234" w:lineRule="auto"/>
        <w:rPr>
          <w:sz w:val="20"/>
          <w:szCs w:val="20"/>
          <w:color w:val="auto"/>
        </w:rPr>
      </w:pPr>
      <w:r>
        <w:rPr>
          <w:rFonts w:ascii="Arial" w:cs="Arial" w:eastAsia="Arial" w:hAnsi="Arial"/>
          <w:sz w:val="18"/>
          <w:szCs w:val="18"/>
          <w:color w:val="auto"/>
        </w:rPr>
        <w:t>$10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w:t>
      </w:r>
    </w:p>
    <w:p>
      <w:pPr>
        <w:ind w:left="300"/>
        <w:spacing w:after="0" w:line="235" w:lineRule="auto"/>
        <w:rPr>
          <w:sz w:val="20"/>
          <w:szCs w:val="20"/>
          <w:color w:val="auto"/>
        </w:rPr>
      </w:pPr>
      <w:r>
        <w:rPr>
          <w:rFonts w:ascii="Arial" w:cs="Arial" w:eastAsia="Arial" w:hAnsi="Arial"/>
          <w:sz w:val="18"/>
          <w:szCs w:val="18"/>
          <w:color w:val="auto"/>
        </w:rPr>
        <w:t>broad range of core systems and continued investments in our next-gen payments platform, proprietary global payment network, and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vertical-specific software, we believe we have the opportunity to capture a meaningful share of this payment volume.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300" w:right="240" w:firstLine="426"/>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1020" w:right="24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Grow with existing clients</w:t>
      </w:r>
      <w:r>
        <w:rPr>
          <w:rFonts w:ascii="Arial" w:cs="Arial" w:eastAsia="Arial" w:hAnsi="Arial"/>
          <w:sz w:val="18"/>
          <w:szCs w:val="18"/>
          <w:color w:val="auto"/>
        </w:rPr>
        <w:t>. We intend to continue to become a more integral part of our clients’ businesses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our clients’ customers who utilize our solutions increases. As our clients transform and digitize their operational workflows, we plan to encourage them to add additional solutions, such as tailored invoicing, payment plans, and eStore marketplaces.</w:t>
      </w:r>
    </w:p>
    <w:p>
      <w:pPr>
        <w:spacing w:after="0" w:line="173" w:lineRule="exact"/>
        <w:rPr>
          <w:rFonts w:ascii="Arial" w:cs="Arial" w:eastAsia="Arial" w:hAnsi="Arial"/>
          <w:sz w:val="18"/>
          <w:szCs w:val="18"/>
          <w:color w:val="auto"/>
        </w:rPr>
      </w:pPr>
    </w:p>
    <w:p>
      <w:pPr>
        <w:ind w:left="1020" w:right="340" w:hanging="195"/>
        <w:spacing w:after="0" w:line="25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Continue to win new clients</w:t>
      </w:r>
      <w:r>
        <w:rPr>
          <w:rFonts w:ascii="Arial" w:cs="Arial" w:eastAsia="Arial" w:hAnsi="Arial"/>
          <w:sz w:val="18"/>
          <w:szCs w:val="18"/>
          <w:color w:val="auto"/>
        </w:rPr>
        <w:t>. We plan to expand our sales and marketing efforts to increase brand awareness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 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Increase payments platform monetization</w:t>
      </w:r>
      <w:r>
        <w:rPr>
          <w:rFonts w:ascii="Arial" w:cs="Arial" w:eastAsia="Arial" w:hAnsi="Arial"/>
          <w:sz w:val="18"/>
          <w:szCs w:val="18"/>
          <w:color w:val="auto"/>
        </w:rPr>
        <w:t>. We have the opportunity to offer additional complementary payment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1020" w:right="26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Expand our solution portfolio</w:t>
      </w:r>
      <w:r>
        <w:rPr>
          <w:rFonts w:ascii="Arial" w:cs="Arial" w:eastAsia="Arial" w:hAnsi="Arial"/>
          <w:sz w:val="18"/>
          <w:szCs w:val="18"/>
          <w:color w:val="auto"/>
        </w:rPr>
        <w:t>. We expect to continue investing in our solution portfolio by expanding the breadth and</w:t>
      </w:r>
      <w:r>
        <w:rPr>
          <w:rFonts w:ascii="Arial" w:cs="Arial" w:eastAsia="Arial" w:hAnsi="Arial"/>
          <w:sz w:val="18"/>
          <w:szCs w:val="18"/>
          <w:b w:val="1"/>
          <w:bCs w:val="1"/>
          <w:color w:val="auto"/>
        </w:rPr>
        <w:t xml:space="preserve"> </w:t>
      </w:r>
      <w:r>
        <w:rPr>
          <w:rFonts w:ascii="Arial" w:cs="Arial" w:eastAsia="Arial" w:hAnsi="Arial"/>
          <w:sz w:val="18"/>
          <w:szCs w:val="18"/>
          <w:color w:val="auto"/>
        </w:rPr>
        <w:t>depth 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70" w:lineRule="exact"/>
        <w:rPr>
          <w:sz w:val="20"/>
          <w:szCs w:val="20"/>
          <w:color w:val="auto"/>
        </w:rPr>
      </w:pPr>
    </w:p>
    <w:p>
      <w:pPr>
        <w:ind w:left="600" w:right="740" w:hanging="302"/>
        <w:spacing w:after="0" w:line="182" w:lineRule="auto"/>
        <w:tabs>
          <w:tab w:leader="none" w:pos="6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600" w:right="220" w:hanging="302"/>
        <w:spacing w:after="0" w:line="182" w:lineRule="auto"/>
        <w:tabs>
          <w:tab w:leader="none" w:pos="6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600" w:right="720" w:hanging="302"/>
        <w:spacing w:after="0" w:line="182" w:lineRule="auto"/>
        <w:tabs>
          <w:tab w:leader="none" w:pos="6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23"/>
          <w:szCs w:val="23"/>
          <w:color w:val="auto"/>
          <w:vertAlign w:val="superscript"/>
        </w:rPr>
      </w:pPr>
    </w:p>
    <w:p>
      <w:pPr>
        <w:ind w:left="600" w:right="20" w:hanging="302"/>
        <w:spacing w:after="0" w:line="183" w:lineRule="auto"/>
        <w:tabs>
          <w:tab w:leader="none" w:pos="60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in 2020 according to Juniper and management’s estimates that at least 75% of total B2B payment volume is made by medium to large businesses and potentially addressable by our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75" w:lineRule="exact"/>
        <w:rPr>
          <w:sz w:val="20"/>
          <w:szCs w:val="20"/>
          <w:color w:val="auto"/>
        </w:rPr>
      </w:pPr>
    </w:p>
    <w:p>
      <w:pPr>
        <w:ind w:left="300" w:right="200" w:firstLine="426"/>
        <w:spacing w:after="0" w:line="245"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geographies. We have a strong track record of scaling efficiently into new verticals and geographic markets, as we have shown in healthcare, travel, and B2B payments and in the expanded reach of our global payment network. Additionally, there are other industries, including real estate and government taxes, that we believe are poorly digitized and could benefit from our solutions.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believe our approach and breadth of experience in integrating culturally-aligned businesses position us to maximize the value we derive from future acquisitions.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Affecting Us</w:t>
      </w:r>
    </w:p>
    <w:p>
      <w:pPr>
        <w:spacing w:after="0" w:line="207" w:lineRule="exact"/>
        <w:rPr>
          <w:sz w:val="20"/>
          <w:szCs w:val="20"/>
          <w:color w:val="auto"/>
        </w:rPr>
      </w:pPr>
    </w:p>
    <w:p>
      <w:pPr>
        <w:ind w:left="300" w:right="300" w:firstLine="426"/>
        <w:spacing w:after="0"/>
        <w:rPr>
          <w:sz w:val="20"/>
          <w:szCs w:val="20"/>
          <w:color w:val="auto"/>
        </w:rPr>
      </w:pPr>
      <w:r>
        <w:rPr>
          <w:rFonts w:ascii="Arial" w:cs="Arial" w:eastAsia="Arial" w:hAnsi="Arial"/>
          <w:sz w:val="18"/>
          <w:szCs w:val="18"/>
          <w:color w:val="auto"/>
        </w:rPr>
        <w:t>Investing in our common stock involves substantial risk. Our ability to execute our business strategy is subject to numerous risks, as more fully described in the section titled “Risk Factors” immediately following this prospectus summary. Some of the most significant challenges and risks are more fully described in the section titled “Risk Factors—Risk Factor Summary.”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93" w:lineRule="exact"/>
        <w:rPr>
          <w:sz w:val="20"/>
          <w:szCs w:val="20"/>
          <w:color w:val="auto"/>
        </w:rPr>
      </w:pPr>
    </w:p>
    <w:p>
      <w:pPr>
        <w:ind w:left="300" w:right="20" w:firstLine="426"/>
        <w:spacing w:after="0" w:line="253"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information contained on, or that can be accessed through, our website is not a part of this prospectus. Investors should not rely on any such information in deciding whether to purchase our common stock.</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website address is www.flywire.com. The information contained on, or that can be accessed through, our website is not a part of this prospectus. Investors should not rely on any such information in deciding whether to purchase our common stock.</w:t>
      </w:r>
    </w:p>
    <w:p>
      <w:pPr>
        <w:spacing w:after="0" w:line="162" w:lineRule="exact"/>
        <w:rPr>
          <w:sz w:val="20"/>
          <w:szCs w:val="20"/>
          <w:color w:val="auto"/>
        </w:rPr>
      </w:pPr>
    </w:p>
    <w:p>
      <w:pPr>
        <w:ind w:left="300" w:right="40" w:firstLine="426"/>
        <w:spacing w:after="0" w:line="253" w:lineRule="auto"/>
        <w:rPr>
          <w:sz w:val="20"/>
          <w:szCs w:val="20"/>
          <w:color w:val="auto"/>
        </w:rPr>
      </w:pPr>
      <w:r>
        <w:rPr>
          <w:rFonts w:ascii="Arial" w:cs="Arial" w:eastAsia="Arial" w:hAnsi="Arial"/>
          <w:sz w:val="17"/>
          <w:szCs w:val="17"/>
          <w:color w:val="auto"/>
        </w:rPr>
        <w:t xml:space="preserve">Flywire, the Flywire logo, and other registered or common law trade names, trademarks, or service marks of Flywire appearing in this prospectus are the property of Flywire.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ind w:left="300" w:right="20" w:firstLine="426"/>
        <w:spacing w:after="0" w:line="238"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202" w:lineRule="exact"/>
        <w:rPr>
          <w:sz w:val="20"/>
          <w:szCs w:val="20"/>
          <w:color w:val="auto"/>
        </w:rPr>
      </w:pPr>
    </w:p>
    <w:p>
      <w:pPr>
        <w:ind w:left="1020" w:right="3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202" w:lineRule="exact"/>
        <w:rPr>
          <w:rFonts w:ascii="Arial" w:cs="Arial" w:eastAsia="Arial" w:hAnsi="Arial"/>
          <w:sz w:val="18"/>
          <w:szCs w:val="18"/>
          <w:color w:val="auto"/>
        </w:rPr>
      </w:pPr>
    </w:p>
    <w:p>
      <w:pPr>
        <w:ind w:left="1020" w:right="4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w:t>
      </w:r>
    </w:p>
    <w:p>
      <w:pPr>
        <w:spacing w:after="0" w:line="196" w:lineRule="exact"/>
        <w:rPr>
          <w:rFonts w:ascii="Arial" w:cs="Arial" w:eastAsia="Arial" w:hAnsi="Arial"/>
          <w:sz w:val="18"/>
          <w:szCs w:val="18"/>
          <w:color w:val="auto"/>
        </w:rPr>
      </w:pPr>
    </w:p>
    <w:p>
      <w:pPr>
        <w:ind w:left="1020" w:right="34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including this prospectus;</w:t>
      </w:r>
    </w:p>
    <w:p>
      <w:pPr>
        <w:spacing w:after="0" w:line="196"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5" w:lineRule="exact"/>
        <w:rPr>
          <w:sz w:val="20"/>
          <w:szCs w:val="20"/>
          <w:color w:val="auto"/>
        </w:rPr>
      </w:pPr>
    </w:p>
    <w:p>
      <w:pPr>
        <w:ind w:left="300" w:right="360" w:firstLine="426"/>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$ 1.0 billion in non-convertible debt securities; and (iv) the last day of the fiscal year ending after the fifth anniversary of the completion of this offering.</w:t>
      </w:r>
    </w:p>
    <w:p>
      <w:pPr>
        <w:spacing w:after="0" w:line="16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167" w:lineRule="exact"/>
        <w:rPr>
          <w:sz w:val="20"/>
          <w:szCs w:val="20"/>
          <w:color w:val="auto"/>
        </w:rPr>
      </w:pPr>
    </w:p>
    <w:p>
      <w:pPr>
        <w:jc w:val="both"/>
        <w:ind w:left="300" w:right="240" w:firstLine="426"/>
        <w:spacing w:after="0"/>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300"/>
        <w:spacing w:after="0"/>
        <w:tabs>
          <w:tab w:leader="none" w:pos="528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7"/>
          <w:szCs w:val="17"/>
          <w:color w:val="auto"/>
        </w:rPr>
        <w:t>10,440,000 shares</w:t>
      </w:r>
    </w:p>
    <w:p>
      <w:pPr>
        <w:spacing w:after="0" w:line="221" w:lineRule="exact"/>
        <w:rPr>
          <w:sz w:val="20"/>
          <w:szCs w:val="20"/>
          <w:color w:val="auto"/>
        </w:rPr>
      </w:pPr>
    </w:p>
    <w:p>
      <w:pPr>
        <w:ind w:left="300"/>
        <w:spacing w:after="0"/>
        <w:tabs>
          <w:tab w:leader="none" w:pos="5280" w:val="left"/>
        </w:tabs>
        <w:rPr>
          <w:sz w:val="20"/>
          <w:szCs w:val="20"/>
          <w:color w:val="auto"/>
        </w:rPr>
      </w:pPr>
      <w:r>
        <w:rPr>
          <w:rFonts w:ascii="Arial" w:cs="Arial" w:eastAsia="Arial" w:hAnsi="Arial"/>
          <w:sz w:val="18"/>
          <w:szCs w:val="18"/>
          <w:color w:val="auto"/>
        </w:rPr>
        <w:t>Option to purchase additional shares of common stock</w:t>
      </w:r>
      <w:r>
        <w:rPr>
          <w:sz w:val="20"/>
          <w:szCs w:val="20"/>
          <w:color w:val="auto"/>
        </w:rPr>
        <w:tab/>
      </w:r>
      <w:r>
        <w:rPr>
          <w:rFonts w:ascii="Arial" w:cs="Arial" w:eastAsia="Arial" w:hAnsi="Arial"/>
          <w:sz w:val="17"/>
          <w:szCs w:val="17"/>
          <w:color w:val="auto"/>
        </w:rPr>
        <w:t>We have granted the underwriters a 30-day option to purchase up to</w:t>
      </w:r>
    </w:p>
    <w:p>
      <w:pPr>
        <w:ind w:left="5300" w:right="240"/>
        <w:spacing w:after="0" w:line="246" w:lineRule="auto"/>
        <w:rPr>
          <w:sz w:val="20"/>
          <w:szCs w:val="20"/>
          <w:color w:val="auto"/>
        </w:rPr>
      </w:pPr>
      <w:r>
        <w:rPr>
          <w:rFonts w:ascii="Arial" w:cs="Arial" w:eastAsia="Arial" w:hAnsi="Arial"/>
          <w:sz w:val="18"/>
          <w:szCs w:val="18"/>
          <w:color w:val="auto"/>
        </w:rPr>
        <w:t>1,566,000 additional shares of our common stock at the public offering price less underwriting discounts and commissions.</w:t>
      </w:r>
    </w:p>
    <w:p>
      <w:pPr>
        <w:sectPr>
          <w:pgSz w:w="11900" w:h="16838" w:orient="portrait"/>
          <w:cols w:equalWidth="0" w:num="1">
            <w:col w:w="11140"/>
          </w:cols>
          <w:pgMar w:left="320" w:top="459" w:right="439" w:bottom="1440" w:gutter="0" w:footer="0" w:header="0"/>
        </w:sectPr>
      </w:pPr>
    </w:p>
    <w:p>
      <w:pPr>
        <w:spacing w:after="0" w:line="197" w:lineRule="exact"/>
        <w:rPr>
          <w:sz w:val="20"/>
          <w:szCs w:val="20"/>
          <w:color w:val="auto"/>
        </w:rPr>
      </w:pPr>
    </w:p>
    <w:p>
      <w:pPr>
        <w:ind w:left="400" w:right="180" w:hanging="97"/>
        <w:spacing w:after="0" w:line="246" w:lineRule="auto"/>
        <w:rPr>
          <w:sz w:val="20"/>
          <w:szCs w:val="20"/>
          <w:color w:val="auto"/>
        </w:rPr>
      </w:pPr>
      <w:r>
        <w:rPr>
          <w:rFonts w:ascii="Arial" w:cs="Arial" w:eastAsia="Arial" w:hAnsi="Arial"/>
          <w:sz w:val="18"/>
          <w:szCs w:val="18"/>
          <w:color w:val="auto"/>
        </w:rPr>
        <w:t>Common stock and non-voting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101,540,559 shares (of which 95,552,181 shares will be common stock and 5,988,378 shares will be non-voting common stock) or 103,106,559 shares, if the underwriters’ option to purchase additional shares of our common stock from us is exercised in full (of which 97,118,181 shares will be common stock and 5,988,378 shares will be non-voting common stock).</w:t>
      </w:r>
    </w:p>
    <w:p>
      <w:pPr>
        <w:spacing w:after="0" w:line="200" w:lineRule="exact"/>
        <w:rPr>
          <w:sz w:val="20"/>
          <w:szCs w:val="20"/>
          <w:color w:val="auto"/>
        </w:rPr>
      </w:pPr>
    </w:p>
    <w:p>
      <w:pPr>
        <w:sectPr>
          <w:pgSz w:w="11900" w:h="16838" w:orient="portrait"/>
          <w:cols w:equalWidth="0" w:num="2">
            <w:col w:w="4580" w:space="720"/>
            <w:col w:w="58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44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560" w:type="dxa"/>
            <w:vAlign w:val="bottom"/>
          </w:tcPr>
          <w:p>
            <w:pPr>
              <w:ind w:left="720"/>
              <w:spacing w:after="0"/>
              <w:rPr>
                <w:sz w:val="20"/>
                <w:szCs w:val="20"/>
                <w:color w:val="auto"/>
              </w:rPr>
            </w:pPr>
            <w:r>
              <w:rPr>
                <w:rFonts w:ascii="Arial" w:cs="Arial" w:eastAsia="Arial" w:hAnsi="Arial"/>
                <w:sz w:val="18"/>
                <w:szCs w:val="18"/>
                <w:color w:val="auto"/>
              </w:rPr>
              <w:t>We estimate that the net proceeds from the sale of shares of our</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common stock in this offering will be approximately $228.6 million, or</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approximately $263.7 million if the underwriters exercise their option to</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purchase additional shares in full, based upon the initial public offering</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price of $24.00 per share, after deducting underwriting discounts and</w:t>
            </w:r>
          </w:p>
        </w:tc>
      </w:tr>
      <w:tr>
        <w:trPr>
          <w:trHeight w:val="217"/>
        </w:trPr>
        <w:tc>
          <w:tcPr>
            <w:tcW w:w="44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Arial" w:cs="Arial" w:eastAsia="Arial" w:hAnsi="Arial"/>
                <w:sz w:val="18"/>
                <w:szCs w:val="18"/>
                <w:color w:val="auto"/>
              </w:rPr>
              <w:t>commissions and estimated offering expenses.</w:t>
            </w:r>
          </w:p>
        </w:tc>
      </w:tr>
      <w:tr>
        <w:trPr>
          <w:trHeight w:val="364"/>
        </w:trPr>
        <w:tc>
          <w:tcPr>
            <w:tcW w:w="4460" w:type="dxa"/>
            <w:vAlign w:val="bottom"/>
          </w:tcPr>
          <w:p>
            <w:pPr>
              <w:spacing w:after="0"/>
              <w:rPr>
                <w:sz w:val="24"/>
                <w:szCs w:val="24"/>
                <w:color w:val="auto"/>
              </w:rPr>
            </w:pPr>
          </w:p>
        </w:tc>
        <w:tc>
          <w:tcPr>
            <w:tcW w:w="6560" w:type="dxa"/>
            <w:vAlign w:val="bottom"/>
          </w:tcPr>
          <w:p>
            <w:pPr>
              <w:ind w:left="720"/>
              <w:spacing w:after="0"/>
              <w:rPr>
                <w:sz w:val="20"/>
                <w:szCs w:val="20"/>
                <w:color w:val="auto"/>
              </w:rPr>
            </w:pPr>
            <w:r>
              <w:rPr>
                <w:rFonts w:ascii="Arial" w:cs="Arial" w:eastAsia="Arial" w:hAnsi="Arial"/>
                <w:sz w:val="18"/>
                <w:szCs w:val="18"/>
                <w:color w:val="auto"/>
              </w:rPr>
              <w:t>The principal purposes of this offering are to increase our capitalization</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and financial flexibility, create a public market for our common stock,</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and enable access to the public equity markets for our stockholders</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and us. We intend to use the net proceeds from this offering for</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working capital and other general corporate purposes, which may</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include technology and solutions development, selling and marketing,</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general and administrative matters, and capital expenditures. We may</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also use a portion of the proceeds for the acquisition of, or investment</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in, technologies, solutions, or businesses that complement our</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business. However, we do not have binding agreements or</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commitments for any acquisitions or investments outside the ordinary</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course of business at this time. See the section titled “Use of</w:t>
            </w:r>
          </w:p>
        </w:tc>
      </w:tr>
      <w:tr>
        <w:trPr>
          <w:trHeight w:val="217"/>
        </w:trPr>
        <w:tc>
          <w:tcPr>
            <w:tcW w:w="44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Arial" w:cs="Arial" w:eastAsia="Arial" w:hAnsi="Arial"/>
                <w:sz w:val="18"/>
                <w:szCs w:val="18"/>
                <w:color w:val="auto"/>
              </w:rPr>
              <w:t>Proceeds” for additional information.</w:t>
            </w:r>
          </w:p>
        </w:tc>
      </w:tr>
      <w:tr>
        <w:trPr>
          <w:trHeight w:val="404"/>
        </w:trPr>
        <w:tc>
          <w:tcPr>
            <w:tcW w:w="44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560" w:type="dxa"/>
            <w:vAlign w:val="bottom"/>
          </w:tcPr>
          <w:p>
            <w:pPr>
              <w:ind w:left="720"/>
              <w:spacing w:after="0"/>
              <w:rPr>
                <w:sz w:val="20"/>
                <w:szCs w:val="20"/>
                <w:color w:val="auto"/>
              </w:rPr>
            </w:pPr>
            <w:r>
              <w:rPr>
                <w:rFonts w:ascii="Arial" w:cs="Arial" w:eastAsia="Arial" w:hAnsi="Arial"/>
                <w:sz w:val="18"/>
                <w:szCs w:val="18"/>
                <w:color w:val="auto"/>
              </w:rPr>
              <w:t>See the section titled “Risk Factors” and other information included in</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this prospectus for a discussion of some of the factors you should</w:t>
            </w:r>
          </w:p>
        </w:tc>
      </w:tr>
      <w:tr>
        <w:trPr>
          <w:trHeight w:val="203"/>
        </w:trPr>
        <w:tc>
          <w:tcPr>
            <w:tcW w:w="4460" w:type="dxa"/>
            <w:vAlign w:val="bottom"/>
          </w:tcPr>
          <w:p>
            <w:pPr>
              <w:spacing w:after="0"/>
              <w:rPr>
                <w:sz w:val="17"/>
                <w:szCs w:val="17"/>
                <w:color w:val="auto"/>
              </w:rPr>
            </w:pPr>
          </w:p>
        </w:tc>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consider before deciding to purchase shares of our voting common</w:t>
            </w:r>
          </w:p>
        </w:tc>
      </w:tr>
      <w:tr>
        <w:trPr>
          <w:trHeight w:val="217"/>
        </w:trPr>
        <w:tc>
          <w:tcPr>
            <w:tcW w:w="44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Arial" w:cs="Arial" w:eastAsia="Arial" w:hAnsi="Arial"/>
                <w:sz w:val="18"/>
                <w:szCs w:val="18"/>
                <w:color w:val="auto"/>
              </w:rPr>
              <w:t>stock.</w:t>
            </w:r>
          </w:p>
        </w:tc>
      </w:tr>
      <w:tr>
        <w:trPr>
          <w:trHeight w:val="418"/>
        </w:trPr>
        <w:tc>
          <w:tcPr>
            <w:tcW w:w="4460" w:type="dxa"/>
            <w:vAlign w:val="bottom"/>
          </w:tcPr>
          <w:p>
            <w:pPr>
              <w:ind w:left="180"/>
              <w:spacing w:after="0"/>
              <w:rPr>
                <w:sz w:val="20"/>
                <w:szCs w:val="20"/>
                <w:color w:val="auto"/>
              </w:rPr>
            </w:pPr>
            <w:r>
              <w:rPr>
                <w:rFonts w:ascii="Arial" w:cs="Arial" w:eastAsia="Arial" w:hAnsi="Arial"/>
                <w:sz w:val="18"/>
                <w:szCs w:val="18"/>
                <w:color w:val="auto"/>
              </w:rPr>
              <w:t>Nasdaq Global Select Market trading symbol</w:t>
            </w:r>
          </w:p>
        </w:tc>
        <w:tc>
          <w:tcPr>
            <w:tcW w:w="6560" w:type="dxa"/>
            <w:vAlign w:val="bottom"/>
          </w:tcPr>
          <w:p>
            <w:pPr>
              <w:ind w:left="720"/>
              <w:spacing w:after="0"/>
              <w:rPr>
                <w:sz w:val="20"/>
                <w:szCs w:val="20"/>
                <w:color w:val="auto"/>
              </w:rPr>
            </w:pPr>
            <w:r>
              <w:rPr>
                <w:rFonts w:ascii="Arial" w:cs="Arial" w:eastAsia="Arial" w:hAnsi="Arial"/>
                <w:sz w:val="18"/>
                <w:szCs w:val="18"/>
                <w:color w:val="auto"/>
              </w:rPr>
              <w:t>“FLYW”</w:t>
            </w:r>
          </w:p>
        </w:tc>
      </w:tr>
      <w:tr>
        <w:trPr>
          <w:trHeight w:val="253"/>
        </w:trPr>
        <w:tc>
          <w:tcPr>
            <w:tcW w:w="4460" w:type="dxa"/>
            <w:vAlign w:val="bottom"/>
            <w:tcBorders>
              <w:bottom w:val="single" w:sz="8" w:color="auto"/>
            </w:tcBorders>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r>
      <w:tr>
        <w:trPr>
          <w:trHeight w:val="604"/>
        </w:trPr>
        <w:tc>
          <w:tcPr>
            <w:tcW w:w="4460" w:type="dxa"/>
            <w:vAlign w:val="bottom"/>
          </w:tcPr>
          <w:p>
            <w:pPr>
              <w:spacing w:after="0"/>
              <w:rPr>
                <w:sz w:val="24"/>
                <w:szCs w:val="24"/>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9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8192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The number of shares of our common stock and non-voting common stock to be outstanding after this offering is based on 91,100,559 shares of our common stock outstanding as of March 31, 2021, assuming the conversion of all outstanding shares of our preferred stock (of which 85,112,181 shares will be common stock and 5,988,378 shares will be non-voting common stock) and excludes the following:</w:t>
      </w:r>
    </w:p>
    <w:p>
      <w:pPr>
        <w:spacing w:after="0" w:line="205" w:lineRule="exact"/>
        <w:rPr>
          <w:sz w:val="20"/>
          <w:szCs w:val="20"/>
          <w:color w:val="auto"/>
        </w:rPr>
      </w:pPr>
    </w:p>
    <w:p>
      <w:pPr>
        <w:jc w:val="both"/>
        <w:ind w:left="1020" w:right="4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16,496,223 shares of our common stock issuable upon the exercise of stock options outstanding as of March 31, 2021, with a weighted-average exercise price of $2.96 per share under our 2009 Equity Incentive Plan (2009 Plan) and our 2018 Stock Incentive Plan (2018 Plan);</w:t>
      </w:r>
    </w:p>
    <w:p>
      <w:pPr>
        <w:spacing w:after="0" w:line="202" w:lineRule="exact"/>
        <w:rPr>
          <w:rFonts w:ascii="Arial" w:cs="Arial" w:eastAsia="Arial" w:hAnsi="Arial"/>
          <w:sz w:val="18"/>
          <w:szCs w:val="18"/>
          <w:color w:val="auto"/>
        </w:rPr>
      </w:pPr>
    </w:p>
    <w:p>
      <w:pPr>
        <w:ind w:left="1020" w:right="36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1,030,500 shares of our common stock issuable upon the exercise of stock options granted after March 31, 2021, with a weighted-average exercise price of $16.82 per share under our 2018 Plan;</w:t>
      </w:r>
    </w:p>
    <w:p>
      <w:pPr>
        <w:spacing w:after="0" w:line="196" w:lineRule="exact"/>
        <w:rPr>
          <w:rFonts w:ascii="Arial" w:cs="Arial" w:eastAsia="Arial" w:hAnsi="Arial"/>
          <w:sz w:val="18"/>
          <w:szCs w:val="18"/>
          <w:color w:val="auto"/>
        </w:rPr>
      </w:pPr>
    </w:p>
    <w:p>
      <w:pPr>
        <w:ind w:left="1020" w:right="72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75,000 shares of our common stock issuable upon the exercise of outstanding warrants to purchase common stock outstanding as of March 31, 2021, with an exercise price of $0.17 per share;</w:t>
      </w:r>
    </w:p>
    <w:p>
      <w:pPr>
        <w:spacing w:after="0" w:line="196" w:lineRule="exact"/>
        <w:rPr>
          <w:rFonts w:ascii="Arial" w:cs="Arial" w:eastAsia="Arial" w:hAnsi="Arial"/>
          <w:sz w:val="18"/>
          <w:szCs w:val="18"/>
          <w:color w:val="auto"/>
        </w:rPr>
      </w:pPr>
    </w:p>
    <w:p>
      <w:pPr>
        <w:ind w:left="1020" w:hanging="195"/>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381,000 shares of our common stock issuable upon the exercise of outstanding warrants to purchase shares of our Series C preferred stock outstanding as of March 31, 2021, with an exercise price of $1.48 per share, which will become warrants to purchase shares of our common stock at an exercise price of $1.48 per share in connection with the closing of this offering;</w:t>
      </w:r>
    </w:p>
    <w:p>
      <w:pPr>
        <w:spacing w:after="0" w:line="185" w:lineRule="exact"/>
        <w:rPr>
          <w:rFonts w:ascii="Arial" w:cs="Arial" w:eastAsia="Arial" w:hAnsi="Arial"/>
          <w:sz w:val="17"/>
          <w:szCs w:val="17"/>
          <w:color w:val="auto"/>
        </w:rPr>
      </w:pPr>
    </w:p>
    <w:p>
      <w:pPr>
        <w:ind w:left="1020" w:right="28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1,645,458 shares of our common stock reserved for future issuance under our 2018 Plan, as of March 31, 2021, which shares will be added to the shares to be reserved under our 2021 Equity Incentive Plan (2021 Plan), at the time our 2021 Plan becomes effective in connection with this offering;</w:t>
      </w:r>
    </w:p>
    <w:p>
      <w:pPr>
        <w:spacing w:after="0" w:line="202" w:lineRule="exact"/>
        <w:rPr>
          <w:rFonts w:ascii="Arial" w:cs="Arial" w:eastAsia="Arial" w:hAnsi="Arial"/>
          <w:sz w:val="18"/>
          <w:szCs w:val="18"/>
          <w:color w:val="auto"/>
        </w:rPr>
      </w:pPr>
    </w:p>
    <w:p>
      <w:pPr>
        <w:ind w:left="1020" w:right="20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1020" w:right="20" w:hanging="195"/>
        <w:spacing w:after="0" w:line="23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Employee Stock Purchase Plan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212" w:lineRule="exact"/>
        <w:rPr>
          <w:sz w:val="20"/>
          <w:szCs w:val="20"/>
          <w:color w:val="auto"/>
        </w:rPr>
      </w:pPr>
    </w:p>
    <w:p>
      <w:pPr>
        <w:ind w:left="1020" w:right="20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shares of our preferred stock into an aggregate of 62,031,939 shares of our common stock and 5,988,378 shares of our non-voting common stock immediately prior to and in connection with the completion of this offering;</w:t>
      </w:r>
    </w:p>
    <w:p>
      <w:pPr>
        <w:spacing w:after="0" w:line="202" w:lineRule="exact"/>
        <w:rPr>
          <w:rFonts w:ascii="Arial" w:cs="Arial" w:eastAsia="Arial" w:hAnsi="Arial"/>
          <w:sz w:val="18"/>
          <w:szCs w:val="18"/>
          <w:color w:val="auto"/>
        </w:rPr>
      </w:pPr>
    </w:p>
    <w:p>
      <w:pPr>
        <w:ind w:left="102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3-for-1 forward stock split of our common stock and preferred stock that was effected on May 14, 2021;</w:t>
      </w:r>
    </w:p>
    <w:p>
      <w:pPr>
        <w:spacing w:after="0" w:line="211" w:lineRule="exact"/>
        <w:rPr>
          <w:rFonts w:ascii="Arial" w:cs="Arial" w:eastAsia="Arial" w:hAnsi="Arial"/>
          <w:sz w:val="18"/>
          <w:szCs w:val="18"/>
          <w:color w:val="auto"/>
        </w:rPr>
      </w:pPr>
    </w:p>
    <w:p>
      <w:pPr>
        <w:ind w:left="1020" w:right="34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restated certificate of incorporation and the effectiveness of our restated bylaws, each of which will occur immediately prior to the completion of this offering;</w:t>
      </w:r>
    </w:p>
    <w:p>
      <w:pPr>
        <w:spacing w:after="0" w:line="196"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stock options, common stock warrants or preferred stock warrants described above subsequent to March 31, 2021;</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 and</w:t>
      </w:r>
    </w:p>
    <w:p>
      <w:pPr>
        <w:spacing w:after="0" w:line="211" w:lineRule="exact"/>
        <w:rPr>
          <w:rFonts w:ascii="Arial" w:cs="Arial" w:eastAsia="Arial" w:hAnsi="Arial"/>
          <w:sz w:val="18"/>
          <w:szCs w:val="18"/>
          <w:color w:val="auto"/>
        </w:rPr>
      </w:pPr>
    </w:p>
    <w:p>
      <w:pPr>
        <w:ind w:left="1020" w:right="5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“preferred stock” in this prospectus refers to our preferred stock, convertible preferred stock, and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300" w:right="200" w:firstLine="426"/>
        <w:spacing w:after="0" w:line="236" w:lineRule="auto"/>
        <w:rPr>
          <w:sz w:val="20"/>
          <w:szCs w:val="20"/>
          <w:color w:val="auto"/>
        </w:rPr>
      </w:pPr>
      <w:r>
        <w:rPr>
          <w:rFonts w:ascii="Arial" w:cs="Arial" w:eastAsia="Arial" w:hAnsi="Arial"/>
          <w:sz w:val="18"/>
          <w:szCs w:val="18"/>
          <w:color w:val="auto"/>
        </w:rPr>
        <w:t>The following tables summarize our consolidated financial data. We derived our summary consolidated statements of operations for the years ended December 31, 2019 and 2020 and our summary consolidated balance sheet data as of December 31, 2020 from our audited consolidated financial statements included elsewhere in this prospectus. We have derived the summary consolidated statement of operations data for the three months ended March 31, 2020 and 2021 and the summary consolidated balance sheet data as of March 31, 2021 from our unaudited condensed financial statements appearing elsewhere in this prospectus. The unaudited condensed financial statements have been prepared on the same basis as our audited financial statements and reflect, in the opinion of management, all adjustments of a normal, recurring nature that are necessary for a fair statement of the financial information included in those unaudited condensed financial statements. Our historical results are not necessarily indicative of the results to be expected in any future period. You should read the following summary consolidated financial data in conjunction with the sections titled “Selected Consolidated Financial Data” and “Management’s Discussion and Analysis of Financial Condition and Results of Operations” and our consolidated financial statements, the accompanying notes, our condensed consolidated financial statements and accompanying notes, and other financial information included elsewhere in this prospectus.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8"/>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94,918</w:t>
            </w: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131,783</w:t>
            </w:r>
          </w:p>
        </w:tc>
        <w:tc>
          <w:tcPr>
            <w:tcW w:w="3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32,709</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44,991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36,726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47,805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11,609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16,091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5,348</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7 ,522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26,606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32,612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8,577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34,035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10,265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15,914</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66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147,598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35,799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(17,457)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(2,533)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660" w:type="dxa"/>
            <w:vAlign w:val="bottom"/>
          </w:tcPr>
          <w:p>
            <w:pPr>
              <w:ind w:left="360"/>
              <w:spacing w:after="0" w:line="201" w:lineRule="exact"/>
              <w:rPr>
                <w:sz w:val="20"/>
                <w:szCs w:val="20"/>
                <w:color w:val="auto"/>
              </w:rPr>
            </w:pPr>
            <w:r>
              <w:rPr>
                <w:rFonts w:ascii="Arial" w:cs="Arial" w:eastAsia="Arial" w:hAnsi="Arial"/>
                <w:sz w:val="18"/>
                <w:szCs w:val="18"/>
                <w:color w:val="auto"/>
              </w:rPr>
              <w:t>Change in fair value of preferred stock warrant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ind w:left="540"/>
              <w:spacing w:after="0" w:line="203" w:lineRule="exact"/>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(127)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66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(19,566)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(18,276)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(7,681)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(20,116)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(11,107)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common stockholders -</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Pr>
          <w:p>
            <w:pPr>
              <w:ind w:left="180"/>
              <w:spacing w:after="0" w:line="203" w:lineRule="exact"/>
              <w:rPr>
                <w:sz w:val="20"/>
                <w:szCs w:val="20"/>
                <w:color w:val="auto"/>
              </w:rPr>
            </w:pPr>
            <w:r>
              <w:rPr>
                <w:rFonts w:ascii="Arial" w:cs="Arial" w:eastAsia="Arial" w:hAnsi="Arial"/>
                <w:sz w:val="18"/>
                <w:szCs w:val="18"/>
                <w:color w:val="auto"/>
              </w:rPr>
              <w:t>basic and diluted</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(20,116)</w:t>
            </w:r>
          </w:p>
        </w:tc>
        <w:tc>
          <w:tcPr>
            <w:tcW w:w="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(11,121)</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781</w:t>
            </w:r>
          </w:p>
        </w:tc>
        <w:tc>
          <w:tcPr>
            <w:tcW w:w="460" w:type="dxa"/>
            <w:vAlign w:val="bottom"/>
          </w:tcPr>
          <w:p>
            <w:pPr>
              <w:spacing w:after="0"/>
              <w:rPr>
                <w:sz w:val="17"/>
                <w:szCs w:val="17"/>
                <w:color w:val="auto"/>
              </w:rPr>
            </w:pPr>
          </w:p>
        </w:tc>
        <w:tc>
          <w:tcPr>
            <w:tcW w:w="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(8,657)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Net income (loss) per share attributable to common</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66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stockholders - basic</w:t>
            </w:r>
            <w:r>
              <w:rPr>
                <w:rFonts w:ascii="Arial" w:cs="Arial" w:eastAsia="Arial" w:hAnsi="Arial"/>
                <w:sz w:val="15"/>
                <w:szCs w:val="15"/>
                <w:color w:val="auto"/>
              </w:rPr>
              <w:t>(2)</w:t>
            </w:r>
          </w:p>
        </w:tc>
        <w:tc>
          <w:tcPr>
            <w:tcW w:w="3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(1.25)</w:t>
            </w:r>
          </w:p>
        </w:tc>
        <w:tc>
          <w:tcPr>
            <w:tcW w:w="5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line="206" w:lineRule="exact"/>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(0.41)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income (loss) per share attributable to common</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660" w:type="dxa"/>
            <w:vAlign w:val="bottom"/>
          </w:tcPr>
          <w:p>
            <w:pPr>
              <w:ind w:left="180"/>
              <w:spacing w:after="0" w:line="206" w:lineRule="exact"/>
              <w:rPr>
                <w:sz w:val="20"/>
                <w:szCs w:val="20"/>
                <w:color w:val="auto"/>
              </w:rPr>
            </w:pPr>
            <w:r>
              <w:rPr>
                <w:rFonts w:ascii="Arial" w:cs="Arial" w:eastAsia="Arial" w:hAnsi="Arial"/>
                <w:sz w:val="18"/>
                <w:szCs w:val="18"/>
                <w:color w:val="auto"/>
              </w:rPr>
              <w:t>stockholders - diluted</w:t>
            </w:r>
            <w:r>
              <w:rPr>
                <w:rFonts w:ascii="Arial" w:cs="Arial" w:eastAsia="Arial" w:hAnsi="Arial"/>
                <w:sz w:val="15"/>
                <w:szCs w:val="15"/>
                <w:color w:val="auto"/>
              </w:rPr>
              <w:t>(2)</w:t>
            </w:r>
          </w:p>
        </w:tc>
        <w:tc>
          <w:tcPr>
            <w:tcW w:w="3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rPr>
              <w:t>(0.60)</w:t>
            </w:r>
          </w:p>
        </w:tc>
        <w:tc>
          <w:tcPr>
            <w:tcW w:w="3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0.03</w:t>
            </w:r>
          </w:p>
        </w:tc>
        <w:tc>
          <w:tcPr>
            <w:tcW w:w="460" w:type="dxa"/>
            <w:vAlign w:val="bottom"/>
          </w:tcPr>
          <w:p>
            <w:pPr>
              <w:spacing w:after="0"/>
              <w:rPr>
                <w:sz w:val="17"/>
                <w:szCs w:val="17"/>
                <w:color w:val="auto"/>
              </w:rPr>
            </w:pPr>
          </w:p>
        </w:tc>
        <w:tc>
          <w:tcPr>
            <w:tcW w:w="2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(0.41)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Weighted average common shares outstanding -</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66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basic</w:t>
            </w:r>
            <w:r>
              <w:rPr>
                <w:rFonts w:ascii="Arial" w:cs="Arial" w:eastAsia="Arial" w:hAnsi="Arial"/>
                <w:sz w:val="15"/>
                <w:szCs w:val="15"/>
                <w:color w:val="auto"/>
              </w:rPr>
              <w:t>(2)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16,067,088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9"/>
              </w:rPr>
              <w:t>18,389,898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17,513,319</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21,100,077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common shares outstanding -</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660" w:type="dxa"/>
            <w:vAlign w:val="bottom"/>
          </w:tcPr>
          <w:p>
            <w:pPr>
              <w:ind w:left="180"/>
              <w:spacing w:after="0" w:line="206" w:lineRule="exact"/>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16,067,088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18,389,898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27,249,072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21,100,077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93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49930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64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except share and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share data)</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Pro forma net loss per share attributable to common stockholders - basic</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6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and diluted (unaudited)</w:t>
            </w:r>
            <w:r>
              <w:rPr>
                <w:rFonts w:ascii="Arial" w:cs="Arial" w:eastAsia="Arial" w:hAnsi="Arial"/>
                <w:sz w:val="15"/>
                <w:szCs w:val="15"/>
                <w:color w:val="auto"/>
              </w:rPr>
              <w:t>(3)</w:t>
            </w:r>
          </w:p>
        </w:tc>
        <w:tc>
          <w:tcPr>
            <w:tcW w:w="5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color w:val="auto"/>
              </w:rPr>
              <w:t>(0.12)</w:t>
            </w:r>
          </w:p>
        </w:tc>
        <w:tc>
          <w:tcPr>
            <w:tcW w:w="9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Pro forma common stock outstanding - basic and diluted (unaudited)</w:t>
            </w:r>
            <w:r>
              <w:rPr>
                <w:rFonts w:ascii="Arial" w:cs="Arial" w:eastAsia="Arial" w:hAnsi="Arial"/>
                <w:sz w:val="15"/>
                <w:szCs w:val="15"/>
                <w:color w:val="auto"/>
              </w:rPr>
              <w:t>(3)</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86,410,215</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89,120,394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20" w:hanging="522"/>
        <w:spacing w:after="0"/>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3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66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55"/>
        </w:trPr>
        <w:tc>
          <w:tcPr>
            <w:tcW w:w="6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Technology and development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1,085</w:t>
            </w: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2 ,644</w:t>
            </w:r>
          </w:p>
        </w:tc>
      </w:tr>
      <w:tr>
        <w:trPr>
          <w:trHeight w:val="162"/>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421</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6 ,635</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6640" w:type="dxa"/>
            <w:vAlign w:val="bottom"/>
          </w:tcPr>
          <w:p>
            <w:pPr>
              <w:ind w:left="30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2,949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3,844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835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10,364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820" w:right="360" w:hanging="522"/>
        <w:spacing w:after="0" w:line="241" w:lineRule="auto"/>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2 and Note 16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 For the computation of per share amounts, common stockholders include holders of common stock and non-voting common stock and common stock outstanding and weighted average common shares include common stock and non-voting common stock.</w:t>
      </w:r>
    </w:p>
    <w:p>
      <w:pPr>
        <w:spacing w:after="0" w:line="1" w:lineRule="exact"/>
        <w:rPr>
          <w:rFonts w:ascii="Arial" w:cs="Arial" w:eastAsia="Arial" w:hAnsi="Arial"/>
          <w:sz w:val="14"/>
          <w:szCs w:val="14"/>
          <w:color w:val="auto"/>
        </w:rPr>
      </w:pPr>
    </w:p>
    <w:p>
      <w:pPr>
        <w:ind w:left="820" w:right="20" w:hanging="522"/>
        <w:spacing w:after="0" w:line="243" w:lineRule="auto"/>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and the three months ended March 31, 2021 have been prepared to give effect to (i) the conversion of all outstanding convertible preferred stock into 54,208,461 shares of common stock immediately prior to the completion of this offering and (ii) the conversion of all outstanding redeemable convertible preferred stock into 7,823,478 shares of common stock and 5,988,378 shares of non-voting common stock immediately prior to the completion of our planned initial public offering. As we are in a loss position, the 75,000 warrants for the purchase of common stock, 381,000 warrants for the purchase of convertible preferred stock, 516,555 shares of restricted stock awards, and 16,496,223 outstanding options would be antidilutive and therefore have been excluded from the computation of unaudited pro forma diluted net loss per share attributable to common stockholders and non-voting common stockholders. For the computation of per share amounts, common stockholders include holders of common stock and non-voting common stock and common stock outstanding and weighted average common shares include common stock and non-voting common stock.</w:t>
      </w:r>
    </w:p>
    <w:p>
      <w:pPr>
        <w:spacing w:after="0" w:line="166" w:lineRule="exact"/>
        <w:rPr>
          <w:rFonts w:ascii="Arial" w:cs="Arial" w:eastAsia="Arial" w:hAnsi="Arial"/>
          <w:sz w:val="14"/>
          <w:szCs w:val="14"/>
          <w:color w:val="auto"/>
        </w:rPr>
      </w:pPr>
    </w:p>
    <w:p>
      <w:pPr>
        <w:ind w:left="840" w:right="80"/>
        <w:spacing w:after="0" w:line="245" w:lineRule="auto"/>
        <w:rPr>
          <w:rFonts w:ascii="Arial" w:cs="Arial" w:eastAsia="Arial" w:hAnsi="Arial"/>
          <w:sz w:val="14"/>
          <w:szCs w:val="14"/>
          <w:color w:val="auto"/>
        </w:rPr>
      </w:pPr>
      <w:r>
        <w:rPr>
          <w:rFonts w:ascii="Arial" w:cs="Arial" w:eastAsia="Arial" w:hAnsi="Arial"/>
          <w:sz w:val="14"/>
          <w:szCs w:val="14"/>
          <w:color w:val="auto"/>
        </w:rPr>
        <w:t>The unaudited pro forma net loss per share attributable to common stockholders and non-voting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and non-voting common stock as if such conversion had occurred at the beginning of the respective reporting period, or their issuance dates, if later.</w:t>
      </w:r>
    </w:p>
    <w:p>
      <w:pPr>
        <w:spacing w:after="0" w:line="163" w:lineRule="exact"/>
        <w:rPr>
          <w:rFonts w:ascii="Arial" w:cs="Arial" w:eastAsia="Arial" w:hAnsi="Arial"/>
          <w:sz w:val="14"/>
          <w:szCs w:val="14"/>
          <w:color w:val="auto"/>
        </w:rPr>
      </w:pPr>
    </w:p>
    <w:p>
      <w:pPr>
        <w:ind w:left="840"/>
        <w:spacing w:after="0" w:line="247" w:lineRule="auto"/>
        <w:rPr>
          <w:rFonts w:ascii="Arial" w:cs="Arial" w:eastAsia="Arial" w:hAnsi="Arial"/>
          <w:sz w:val="14"/>
          <w:szCs w:val="14"/>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and non-voting common stockholders giving effect to the aforementioned (i) conversion of all outstanding shares of convertible preferred stock into shares of common stock, and (ii) conversion of all outstanding shares of redeemable convertible preferred stock into shares of common stock and non-voting common stock, for the year ended December 31, 2020 and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19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0190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6"/>
          </w:tcPr>
          <w:p>
            <w:pPr>
              <w:ind w:left="2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8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Numerator:</w:t>
            </w: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880" w:type="dxa"/>
            <w:vAlign w:val="bottom"/>
          </w:tcPr>
          <w:p>
            <w:pPr>
              <w:ind w:left="300"/>
              <w:spacing w:after="0"/>
              <w:rPr>
                <w:sz w:val="20"/>
                <w:szCs w:val="20"/>
                <w:color w:val="auto"/>
              </w:rPr>
            </w:pPr>
            <w:r>
              <w:rPr>
                <w:rFonts w:ascii="Arial" w:cs="Arial" w:eastAsia="Arial" w:hAnsi="Arial"/>
                <w:sz w:val="14"/>
                <w:szCs w:val="14"/>
                <w:color w:val="auto"/>
              </w:rPr>
              <w:t>Pro forma net loss attributable to common stockholders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4"/>
                <w:szCs w:val="14"/>
                <w:color w:val="auto"/>
              </w:rPr>
              <w:t>(11,121)</w:t>
            </w:r>
          </w:p>
        </w:tc>
        <w:tc>
          <w:tcPr>
            <w:tcW w:w="36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(8,657)</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Plus: Accretion of preferred stock to redemption value</w:t>
            </w:r>
          </w:p>
        </w:tc>
        <w:tc>
          <w:tcPr>
            <w:tcW w:w="1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14</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5880" w:type="dxa"/>
            <w:vAlign w:val="bottom"/>
          </w:tcPr>
          <w:p>
            <w:pPr>
              <w:ind w:left="300"/>
              <w:spacing w:after="0"/>
              <w:rPr>
                <w:sz w:val="20"/>
                <w:szCs w:val="20"/>
                <w:color w:val="auto"/>
              </w:rPr>
            </w:pPr>
            <w:r>
              <w:rPr>
                <w:rFonts w:ascii="Arial" w:cs="Arial" w:eastAsia="Arial" w:hAnsi="Arial"/>
                <w:sz w:val="14"/>
                <w:szCs w:val="14"/>
                <w:color w:val="auto"/>
              </w:rPr>
              <w:t>Plus: Change in fair value of preferred stock warrant liability</w:t>
            </w:r>
          </w:p>
        </w:tc>
        <w:tc>
          <w:tcPr>
            <w:tcW w:w="180" w:type="dxa"/>
            <w:vAlign w:val="bottom"/>
          </w:tcPr>
          <w:p>
            <w:pPr>
              <w:spacing w:after="0"/>
              <w:rPr>
                <w:sz w:val="14"/>
                <w:szCs w:val="14"/>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954</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 forma net loss attributable to common stockholders - basic and</w:t>
            </w: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5880" w:type="dxa"/>
            <w:vAlign w:val="bottom"/>
            <w:shd w:val="clear" w:color="auto" w:fill="CCEEFF"/>
          </w:tcPr>
          <w:p>
            <w:pPr>
              <w:ind w:left="740"/>
              <w:spacing w:after="0" w:line="157"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(10,482)</w:t>
            </w:r>
          </w:p>
        </w:tc>
        <w:tc>
          <w:tcPr>
            <w:tcW w:w="3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(7,698)</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5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Weighted-average common shares used to compute net loss per share</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588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attributable to common stockholders - basic and diluted</w:t>
            </w:r>
          </w:p>
        </w:tc>
        <w:tc>
          <w:tcPr>
            <w:tcW w:w="1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18,389,898</w:t>
            </w: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21,100,077</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5880" w:type="dxa"/>
            <w:vAlign w:val="bottom"/>
          </w:tcPr>
          <w:p>
            <w:pPr>
              <w:ind w:left="300"/>
              <w:spacing w:after="0"/>
              <w:rPr>
                <w:sz w:val="20"/>
                <w:szCs w:val="20"/>
                <w:color w:val="auto"/>
              </w:rPr>
            </w:pPr>
            <w:r>
              <w:rPr>
                <w:rFonts w:ascii="Arial" w:cs="Arial" w:eastAsia="Arial" w:hAnsi="Arial"/>
                <w:sz w:val="14"/>
                <w:szCs w:val="14"/>
                <w:color w:val="auto"/>
              </w:rPr>
              <w:t>Pro forma adjustment to reflect the conversion of convertible preferred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5880" w:type="dxa"/>
            <w:vAlign w:val="bottom"/>
          </w:tcPr>
          <w:p>
            <w:pPr>
              <w:ind w:left="440"/>
              <w:spacing w:after="0" w:line="157" w:lineRule="exact"/>
              <w:rPr>
                <w:sz w:val="20"/>
                <w:szCs w:val="20"/>
                <w:color w:val="auto"/>
              </w:rPr>
            </w:pPr>
            <w:r>
              <w:rPr>
                <w:rFonts w:ascii="Arial" w:cs="Arial" w:eastAsia="Arial" w:hAnsi="Arial"/>
                <w:sz w:val="14"/>
                <w:szCs w:val="14"/>
                <w:color w:val="auto"/>
              </w:rPr>
              <w:t>stock to common stock upon the completion of the proposed IPO</w:t>
            </w:r>
          </w:p>
        </w:tc>
        <w:tc>
          <w:tcPr>
            <w:tcW w:w="180" w:type="dxa"/>
            <w:vAlign w:val="bottom"/>
          </w:tcPr>
          <w:p>
            <w:pPr>
              <w:spacing w:after="0"/>
              <w:rPr>
                <w:sz w:val="13"/>
                <w:szCs w:val="13"/>
                <w:color w:val="auto"/>
              </w:rPr>
            </w:pPr>
          </w:p>
        </w:tc>
        <w:tc>
          <w:tcPr>
            <w:tcW w:w="1480" w:type="dxa"/>
            <w:vAlign w:val="bottom"/>
            <w:gridSpan w:val="3"/>
          </w:tcPr>
          <w:p>
            <w:pPr>
              <w:jc w:val="right"/>
              <w:ind w:right="340"/>
              <w:spacing w:after="0" w:line="157" w:lineRule="exact"/>
              <w:rPr>
                <w:sz w:val="20"/>
                <w:szCs w:val="20"/>
                <w:color w:val="auto"/>
              </w:rPr>
            </w:pPr>
            <w:r>
              <w:rPr>
                <w:rFonts w:ascii="Arial" w:cs="Arial" w:eastAsia="Arial" w:hAnsi="Arial"/>
                <w:sz w:val="14"/>
                <w:szCs w:val="14"/>
                <w:color w:val="auto"/>
              </w:rPr>
              <w:t>54,208,461</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54,208,461</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5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 forma adjustment to reflect the conversion of redeemable</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8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convertible preferred stock to common stock upon the completion of</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588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the proposed IPO</w:t>
            </w:r>
          </w:p>
        </w:tc>
        <w:tc>
          <w:tcPr>
            <w:tcW w:w="1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13,811,856</w:t>
            </w: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13,811,856</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5880" w:type="dxa"/>
            <w:vAlign w:val="bottom"/>
          </w:tcPr>
          <w:p>
            <w:pPr>
              <w:ind w:left="580"/>
              <w:spacing w:after="0"/>
              <w:rPr>
                <w:sz w:val="20"/>
                <w:szCs w:val="20"/>
                <w:color w:val="auto"/>
              </w:rPr>
            </w:pPr>
            <w:r>
              <w:rPr>
                <w:rFonts w:ascii="Arial" w:cs="Arial" w:eastAsia="Arial" w:hAnsi="Arial"/>
                <w:sz w:val="14"/>
                <w:szCs w:val="14"/>
                <w:color w:val="auto"/>
              </w:rPr>
              <w:t>Pro forma common shares outstanding - basic and diluted</w:t>
            </w:r>
          </w:p>
        </w:tc>
        <w:tc>
          <w:tcPr>
            <w:tcW w:w="180" w:type="dxa"/>
            <w:vAlign w:val="bottom"/>
          </w:tcPr>
          <w:p>
            <w:pPr>
              <w:spacing w:after="0"/>
              <w:rPr>
                <w:sz w:val="14"/>
                <w:szCs w:val="14"/>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4"/>
                <w:szCs w:val="14"/>
                <w:color w:val="auto"/>
              </w:rPr>
              <w:t>86,410,215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89,120,394</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tcPr>
          <w:p>
            <w:pPr>
              <w:spacing w:after="0"/>
              <w:rPr>
                <w:sz w:val="13"/>
                <w:szCs w:val="13"/>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 forma net loss per share attributable to common stockholders -</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5880" w:type="dxa"/>
            <w:vAlign w:val="bottom"/>
            <w:shd w:val="clear" w:color="auto" w:fill="CCEEFF"/>
          </w:tcPr>
          <w:p>
            <w:pPr>
              <w:ind w:left="740"/>
              <w:spacing w:after="0" w:line="157" w:lineRule="exact"/>
              <w:rPr>
                <w:sz w:val="20"/>
                <w:szCs w:val="20"/>
                <w:color w:val="auto"/>
              </w:rPr>
            </w:pPr>
            <w:r>
              <w:rPr>
                <w:rFonts w:ascii="Arial" w:cs="Arial" w:eastAsia="Arial" w:hAnsi="Arial"/>
                <w:sz w:val="14"/>
                <w:szCs w:val="14"/>
                <w:color w:val="auto"/>
              </w:rPr>
              <w:t>basic and diluted</w:t>
            </w:r>
          </w:p>
        </w:tc>
        <w:tc>
          <w:tcPr>
            <w:tcW w:w="1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(0.12)</w:t>
            </w:r>
          </w:p>
        </w:tc>
        <w:tc>
          <w:tcPr>
            <w:tcW w:w="3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(0.09)</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March 31, 2021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ind w:right="68"/>
              <w:spacing w:after="0" w:line="143"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Pro Forma(1)</w:t>
            </w:r>
          </w:p>
        </w:tc>
        <w:tc>
          <w:tcPr>
            <w:tcW w:w="128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Adjusted(2)</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$ 146,313</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146,313</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375,123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302,321</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302,321</w:t>
            </w:r>
          </w:p>
        </w:tc>
        <w:tc>
          <w:tcPr>
            <w:tcW w:w="3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528,819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00" w:type="dxa"/>
            <w:vAlign w:val="bottom"/>
            <w:gridSpan w:val="2"/>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(3)</w:t>
            </w:r>
          </w:p>
        </w:tc>
        <w:tc>
          <w:tcPr>
            <w:tcW w:w="18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119,501</w:t>
            </w:r>
          </w:p>
        </w:tc>
        <w:tc>
          <w:tcPr>
            <w:tcW w:w="3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119,501</w:t>
            </w:r>
          </w:p>
        </w:tc>
        <w:tc>
          <w:tcPr>
            <w:tcW w:w="3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350,460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24,402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24,402</w:t>
            </w:r>
          </w:p>
        </w:tc>
        <w:tc>
          <w:tcPr>
            <w:tcW w:w="3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24,402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rPr>
                <w:sz w:val="20"/>
                <w:szCs w:val="20"/>
                <w:color w:val="auto"/>
              </w:rPr>
            </w:pPr>
            <w:r>
              <w:rPr>
                <w:rFonts w:ascii="Arial" w:cs="Arial" w:eastAsia="Arial" w:hAnsi="Arial"/>
                <w:sz w:val="14"/>
                <w:szCs w:val="14"/>
                <w:color w:val="auto"/>
              </w:rPr>
              <w:t>Preferred stock warrant liability</w:t>
            </w:r>
          </w:p>
        </w:tc>
        <w:tc>
          <w:tcPr>
            <w:tcW w:w="18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2,886</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110,401</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rPr>
                <w:sz w:val="20"/>
                <w:szCs w:val="20"/>
                <w:color w:val="auto"/>
              </w:rPr>
            </w:pPr>
            <w:r>
              <w:rPr>
                <w:rFonts w:ascii="Arial" w:cs="Arial" w:eastAsia="Arial" w:hAnsi="Arial"/>
                <w:sz w:val="14"/>
                <w:szCs w:val="14"/>
                <w:color w:val="auto"/>
              </w:rPr>
              <w:t>Redeemable convertible preferred stock</w:t>
            </w:r>
          </w:p>
        </w:tc>
        <w:tc>
          <w:tcPr>
            <w:tcW w:w="18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179,509</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(deficit) equity</w:t>
            </w:r>
          </w:p>
        </w:tc>
        <w:tc>
          <w:tcPr>
            <w:tcW w:w="1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(77,310)</w:t>
            </w:r>
          </w:p>
        </w:tc>
        <w:tc>
          <w:tcPr>
            <w:tcW w:w="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215,486</w:t>
            </w:r>
          </w:p>
        </w:tc>
        <w:tc>
          <w:tcPr>
            <w:tcW w:w="3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444,133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20" w:right="40" w:hanging="522"/>
        <w:spacing w:after="0" w:line="242"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pro forma consolidated balance sheet information reflects (i) the automatic conversion of all outstanding shares of preferred stock into 62,031,939 shares of our common stock and 5,988,378 shares of our non-voting common stock, (ii) the reclassification of the preferred stock warrant liability to additional paid-in capital in connection with the conversion of the outstanding warrants to purchase shares of preferred stock into warrants to purchase shares of common stock, and (iii) the filing and effectiveness of our restated certificate of incorporation in Delaware that will become effective immediately prior to the completion of this offering.</w:t>
      </w:r>
    </w:p>
    <w:p>
      <w:pPr>
        <w:spacing w:after="0" w:line="160" w:lineRule="exact"/>
        <w:rPr>
          <w:rFonts w:ascii="Arial" w:cs="Arial" w:eastAsia="Arial" w:hAnsi="Arial"/>
          <w:sz w:val="14"/>
          <w:szCs w:val="14"/>
          <w:color w:val="auto"/>
        </w:rPr>
      </w:pPr>
    </w:p>
    <w:p>
      <w:pPr>
        <w:ind w:left="820" w:right="100" w:hanging="522"/>
        <w:spacing w:after="0" w:line="241"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information reflects (i) all adjustments included in footnote (1) above, and (ii) the sale of 10,440,000 shares of our common stock in this offering at the initial public offering price of $24.00 per share, after deducting underwriting discounts and commissions and estimated offering expenses.</w:t>
      </w:r>
    </w:p>
    <w:p>
      <w:pPr>
        <w:spacing w:after="0" w:line="1" w:lineRule="exact"/>
        <w:rPr>
          <w:rFonts w:ascii="Arial" w:cs="Arial" w:eastAsia="Arial" w:hAnsi="Arial"/>
          <w:sz w:val="14"/>
          <w:szCs w:val="14"/>
          <w:color w:val="auto"/>
        </w:rPr>
      </w:pPr>
    </w:p>
    <w:p>
      <w:pPr>
        <w:ind w:left="820" w:hanging="522"/>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9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4"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211"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211" w:lineRule="exact"/>
        <w:rPr>
          <w:rFonts w:ascii="Arial" w:cs="Arial" w:eastAsia="Arial" w:hAnsi="Arial"/>
          <w:sz w:val="18"/>
          <w:szCs w:val="18"/>
          <w:color w:val="auto"/>
        </w:rPr>
      </w:pPr>
    </w:p>
    <w:p>
      <w:pPr>
        <w:ind w:left="880" w:right="84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211"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96"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96"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96"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vertical.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34"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34"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211"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and counter-terror financing.</w:t>
      </w:r>
    </w:p>
    <w:p>
      <w:pPr>
        <w:spacing w:after="0" w:line="196"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234"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controls over financial reporting.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incur increased costs as a public company.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34" w:lineRule="exact"/>
        <w:rPr>
          <w:sz w:val="20"/>
          <w:szCs w:val="20"/>
          <w:color w:val="auto"/>
        </w:rPr>
      </w:pPr>
    </w:p>
    <w:p>
      <w:pPr>
        <w:ind w:left="88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$20.1 million and $11.1 million for 2019 and 2020, respectively, and $8.7 million during the three months ended March 31, 2021. In addition, as of March 31, 2021, we had an accumulated deficit of $106.4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7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212" w:lineRule="exact"/>
        <w:rPr>
          <w:sz w:val="20"/>
          <w:szCs w:val="20"/>
          <w:color w:val="auto"/>
        </w:rPr>
      </w:pPr>
    </w:p>
    <w:p>
      <w:pPr>
        <w:ind w:left="880" w:right="2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marketing, relationship management and customer support, including an expansion of our sales organization, and new customer support and payer retention initiatives;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administration, including increased legal and accounting expenses associated with being a public company.</w:t>
      </w:r>
    </w:p>
    <w:p>
      <w:pPr>
        <w:spacing w:after="0" w:line="18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35"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12"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70"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13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3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16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16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global impacts of the COVID-19 outbreak and related government actions taken to reduce the spread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experienced periods of reduced payment volume in some of the industries we serve, including travel and education. Cross-border volume continues to be heavily impacted by the decline in travel as a result of the COVID-19 pandemic.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202"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202" w:lineRule="exact"/>
        <w:rPr>
          <w:rFonts w:ascii="Arial" w:cs="Arial" w:eastAsia="Arial" w:hAnsi="Arial"/>
          <w:sz w:val="18"/>
          <w:szCs w:val="18"/>
          <w:color w:val="auto"/>
        </w:rPr>
      </w:pPr>
    </w:p>
    <w:p>
      <w:pPr>
        <w:ind w:left="880" w:right="1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2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7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68"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140"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78"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203"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86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recent acquisition of Simplee;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85"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6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20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5"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3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financial and operational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have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Similarly, subsectors of our travel client portfolio will experience increased seasonality as many of our travel clients depend upon advance planning for vacation or holiday travel, which has been hampered by the ongoing COVID-19 pandemic.</w:t>
      </w:r>
    </w:p>
    <w:p>
      <w:pPr>
        <w:spacing w:after="0" w:line="143" w:lineRule="exact"/>
        <w:rPr>
          <w:sz w:val="20"/>
          <w:szCs w:val="20"/>
          <w:color w:val="auto"/>
        </w:rPr>
      </w:pPr>
    </w:p>
    <w:p>
      <w:pPr>
        <w:ind w:left="120" w:right="110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9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(AML) policies and “know 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7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 will need to continue to establish and maintain relationships with these types of third parties,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we are successful in our strategic relationships, we cannot assure you that these relationships will result in increased client usage of our solutions or increased revenues.</w:t>
      </w:r>
    </w:p>
    <w:p>
      <w:pPr>
        <w:spacing w:after="0" w:line="15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7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4"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b w:val="1"/>
          <w:bCs w:val="1"/>
          <w:i w:val="1"/>
          <w:iCs w:val="1"/>
          <w:color w:val="auto"/>
        </w:rPr>
        <w:t>The estimates of market opportunity included in this prospectus and our ability to capture a meaningful share of this payment volume may prove to be inaccurate, and even if the market in which we compete achieves the forecasted growth, our business could fail to grow at similar rates, if at all.</w:t>
      </w:r>
    </w:p>
    <w:p>
      <w:pPr>
        <w:spacing w:after="0" w:line="150"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Market opportunity estimates included in this prospectus,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For more information regarding the estimates of market opportunity included in this prospectus and our ability to capture a meaningful share of this payment volume, see the section titled “Industry and Market Data.”</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4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203" w:lineRule="exact"/>
        <w:rPr>
          <w:sz w:val="20"/>
          <w:szCs w:val="20"/>
          <w:color w:val="auto"/>
        </w:rPr>
      </w:pPr>
    </w:p>
    <w:p>
      <w:pPr>
        <w:ind w:left="880" w:right="2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Significant reductions in student funding, through grants or loans, may reduce enrollments and decrease the payment volume we process.</w:t>
      </w:r>
    </w:p>
    <w:p>
      <w:pPr>
        <w:spacing w:after="0" w:line="196"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96"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196"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96" w:lineRule="exact"/>
        <w:rPr>
          <w:rFonts w:ascii="Arial" w:cs="Arial" w:eastAsia="Arial" w:hAnsi="Arial"/>
          <w:sz w:val="18"/>
          <w:szCs w:val="18"/>
          <w:color w:val="auto"/>
        </w:rPr>
      </w:pPr>
    </w:p>
    <w:p>
      <w:pPr>
        <w:ind w:left="880" w:right="30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202" w:lineRule="exact"/>
        <w:rPr>
          <w:rFonts w:ascii="Arial" w:cs="Arial" w:eastAsia="Arial" w:hAnsi="Arial"/>
          <w:sz w:val="18"/>
          <w:szCs w:val="18"/>
          <w:color w:val="auto"/>
        </w:rPr>
      </w:pPr>
    </w:p>
    <w:p>
      <w:pPr>
        <w:jc w:val="both"/>
        <w:ind w:left="880" w:right="4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4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7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80"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Events like Middle East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U.K’s withdrawal from the E.U., including uncertainty or delays in the implementation of Brexit, could continue to lead to economic uncertainty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4"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Additionally, we expect the COVID-19 pandemic will continue to negatively impact our business beyond 2020,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5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15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49"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104"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usage of our solutions grow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7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6"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 the year ended December 31, 2020, we processed over $7.5 billion in payments on our solutions, compared to approximately $5.8 billion for the year ended December 31, 2019. For the three months ended March 31, 2021, we processed approximately $2.9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2" w:lineRule="exact"/>
        <w:rPr>
          <w:sz w:val="20"/>
          <w:szCs w:val="20"/>
          <w:color w:val="auto"/>
        </w:rPr>
      </w:pPr>
    </w:p>
    <w:p>
      <w:pPr>
        <w:jc w:val="both"/>
        <w:ind w:left="120" w:right="360" w:firstLine="440"/>
        <w:spacing w:after="0" w:line="238"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205"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70"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5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7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64"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6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64"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the regulators 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78"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7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64"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7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70"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0"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3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software provides payment facilitation solutions for a large number of clients and their customers. We are responsible for performing know-your-customer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178"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customers use our solutions, and we serve clients in industries that are at higher risk for fraudulent activity, our exposure to material risk losses from a single client, or from a small number of clients, will increase.</w:t>
      </w:r>
    </w:p>
    <w:p>
      <w:pPr>
        <w:spacing w:after="0" w:line="16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4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64"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6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customer dissatisfaction and adversely affect our business.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207"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3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5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Our solutions integrate with enterprise resource planning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62"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6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5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3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will be publicly tradable upon the completion of an initial public offering.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9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176"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6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16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80"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14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66"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Any acquisitions we undertake or have recently completed, including the acquisition of Simplee in February 2020, will likely be accompanied by business risks which may include, among other things:</w:t>
      </w:r>
    </w:p>
    <w:p>
      <w:pPr>
        <w:spacing w:after="0" w:line="197"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96"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96"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impairment of relationships with our customers, partners or suppliers or those of the acquired business;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6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64"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8"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 -based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04"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6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207"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211"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211" w:lineRule="exact"/>
        <w:rPr>
          <w:rFonts w:ascii="Arial" w:cs="Arial" w:eastAsia="Arial" w:hAnsi="Arial"/>
          <w:sz w:val="18"/>
          <w:szCs w:val="18"/>
          <w:color w:val="auto"/>
        </w:rPr>
      </w:pPr>
    </w:p>
    <w:p>
      <w:pPr>
        <w:ind w:left="880" w:right="520" w:hanging="224"/>
        <w:spacing w:after="0" w:line="274"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74" w:lineRule="exact"/>
        <w:rPr>
          <w:rFonts w:ascii="Arial" w:cs="Arial" w:eastAsia="Arial" w:hAnsi="Arial"/>
          <w:sz w:val="17"/>
          <w:szCs w:val="17"/>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211"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211" w:lineRule="exact"/>
        <w:rPr>
          <w:rFonts w:ascii="Arial" w:cs="Arial" w:eastAsia="Arial" w:hAnsi="Arial"/>
          <w:sz w:val="18"/>
          <w:szCs w:val="18"/>
          <w:color w:val="auto"/>
        </w:rPr>
      </w:pPr>
    </w:p>
    <w:p>
      <w:pPr>
        <w:ind w:left="880" w:right="12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85"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6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substantial amount of payments from China. The Chinese government imposes controls on the 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78"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0"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8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Our subsidiary Flywire Global Corp. has obtained licenses to operate as a money transmitter (or the statutory equivalent) in 29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customer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involved in maintaining and renewing our licenses, certifications, and approvals, and we could be subject to fines or other enforcement action if we are found to violate disclosure, reporting, anti-money laundering, capitalization, corporate governance, or other requirements of such licenses.</w:t>
      </w:r>
    </w:p>
    <w:p>
      <w:pPr>
        <w:spacing w:after="0" w:line="176"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7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0"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4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payment institution from the Bank of Lithuania in September 2019 and subsequently obtained the right to passport our solutions to other EEA member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212" w:lineRule="exact"/>
        <w:rPr>
          <w:sz w:val="20"/>
          <w:szCs w:val="20"/>
          <w:color w:val="auto"/>
        </w:rPr>
      </w:pPr>
    </w:p>
    <w:p>
      <w:pPr>
        <w:ind w:left="880" w:right="16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211" w:lineRule="exact"/>
        <w:rPr>
          <w:rFonts w:ascii="Arial" w:cs="Arial" w:eastAsia="Arial" w:hAnsi="Arial"/>
          <w:sz w:val="18"/>
          <w:szCs w:val="18"/>
          <w:color w:val="auto"/>
        </w:rPr>
      </w:pPr>
    </w:p>
    <w:p>
      <w:pPr>
        <w:ind w:left="880" w:right="30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211"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96"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96"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3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5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anti-money laundering programs, and we could likewise be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subject to significant fines, penalties, inquiries, audits, investigations, enforcement actions, and criminal and civil liability if our anti-money laundering program is found to be insufficient by a regulator.</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14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7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For example, other states, such as Washington, have proposed broad privacy laws that are similar to the CCPA and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customers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decision (C-311/18), that the Privacy Shield, a transfer mechanism used by thousands of companies to transfer data between those jurisdictions and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customers continue to use alternative transfer strategies,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 xml:space="preserve">including the European Commission’s Standard Contractual Clauses (SCCs), while the authorities interpret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may be further challenged, suspended or invalidated for transfers to some or all countries. For example, guidance regarding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customer facing solutions, or may otherwise affect or restrict our sales and operations.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w:t>
      </w:r>
    </w:p>
    <w:p>
      <w:pPr>
        <w:ind w:left="120"/>
        <w:spacing w:after="0"/>
        <w:rPr>
          <w:sz w:val="20"/>
          <w:szCs w:val="20"/>
          <w:color w:val="auto"/>
        </w:rPr>
      </w:pPr>
      <w:r>
        <w:rPr>
          <w:rFonts w:ascii="Arial" w:cs="Arial" w:eastAsia="Arial" w:hAnsi="Arial"/>
          <w:sz w:val="18"/>
          <w:szCs w:val="18"/>
          <w:color w:val="auto"/>
        </w:rPr>
        <w:t>€20 million or 4% of a corporate family’s total worldwide global turnover for the preceding fiscal year, whichever is higher. Such penalties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in addition to any civil litigation claims by clients, data subjects or other third parties. We believe that the solutions that we currently</w:t>
      </w:r>
    </w:p>
    <w:p>
      <w:pPr>
        <w:ind w:left="120"/>
        <w:spacing w:after="0" w:line="234" w:lineRule="auto"/>
        <w:rPr>
          <w:sz w:val="20"/>
          <w:szCs w:val="20"/>
          <w:color w:val="auto"/>
        </w:rPr>
      </w:pPr>
      <w:r>
        <w:rPr>
          <w:rFonts w:ascii="Arial" w:cs="Arial" w:eastAsia="Arial" w:hAnsi="Arial"/>
          <w:sz w:val="18"/>
          <w:szCs w:val="18"/>
          <w:color w:val="auto"/>
        </w:rPr>
        <w:t>offer subject us to the GDPR and other laws and regulations relating to privacy, data protection, and information security, and these may</w:t>
      </w:r>
    </w:p>
    <w:p>
      <w:pPr>
        <w:ind w:left="120"/>
        <w:spacing w:after="0" w:line="235" w:lineRule="auto"/>
        <w:rPr>
          <w:sz w:val="20"/>
          <w:szCs w:val="20"/>
          <w:color w:val="auto"/>
        </w:rPr>
      </w:pPr>
      <w:r>
        <w:rPr>
          <w:rFonts w:ascii="Arial" w:cs="Arial" w:eastAsia="Arial" w:hAnsi="Arial"/>
          <w:sz w:val="18"/>
          <w:szCs w:val="18"/>
          <w:color w:val="auto"/>
        </w:rPr>
        <w:t>be modified or subject to new or different interpretations in the future. We will need to take steps to address compliance obligations in this</w:t>
      </w:r>
    </w:p>
    <w:p>
      <w:pPr>
        <w:ind w:left="120"/>
        <w:spacing w:after="0" w:line="235" w:lineRule="auto"/>
        <w:rPr>
          <w:sz w:val="20"/>
          <w:szCs w:val="20"/>
          <w:color w:val="auto"/>
        </w:rPr>
      </w:pPr>
      <w:r>
        <w:rPr>
          <w:rFonts w:ascii="Arial" w:cs="Arial" w:eastAsia="Arial" w:hAnsi="Arial"/>
          <w:sz w:val="18"/>
          <w:szCs w:val="18"/>
          <w:color w:val="auto"/>
        </w:rPr>
        <w:t>rapidly evolving legal environment, but we cannot assure you that we will be able to implement changes in a timely manner or without</w:t>
      </w:r>
    </w:p>
    <w:p>
      <w:pPr>
        <w:ind w:left="120"/>
        <w:spacing w:after="0"/>
        <w:rPr>
          <w:sz w:val="20"/>
          <w:szCs w:val="20"/>
          <w:color w:val="auto"/>
        </w:rPr>
      </w:pPr>
      <w:r>
        <w:rPr>
          <w:rFonts w:ascii="Arial" w:cs="Arial" w:eastAsia="Arial" w:hAnsi="Arial"/>
          <w:sz w:val="18"/>
          <w:szCs w:val="18"/>
          <w:color w:val="auto"/>
        </w:rPr>
        <w:t>significant disruption to our business, or that such steps will be effective, and we may face the risk of liability and loss of business.</w:t>
      </w:r>
    </w:p>
    <w:p>
      <w:pPr>
        <w:spacing w:after="0" w:line="171"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Currently, under the E.U.-U.K. Trade Cooperation Agreement it is lawful to transfer personal data between the U.K. and the EEA for a 6-month period following the end of the transition period, with a view to achieving an adequacy decision from the European Commission during that period. Like the GDPR, the U.K. GDPR restricts personal data transfers outside the U.K. to countries not regarded by the U.K. as providing adequate protection (this means that personal data transfers from the U.K. to the EEA remain free flowing).</w:t>
      </w:r>
    </w:p>
    <w:p>
      <w:pPr>
        <w:spacing w:after="0" w:line="163"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3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2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7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6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5"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f we fail to adequately protect our proprietary rights, our competitive position could be impaired and we may lose valuable</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assets, generate less revenue and incur costly litigation to protect our rights.</w:t>
      </w:r>
    </w:p>
    <w:p>
      <w:pPr>
        <w:spacing w:after="0" w:line="12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8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4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customers in the event of infringement of a third party’s intellectual property rights.</w:t>
      </w:r>
    </w:p>
    <w:p>
      <w:pPr>
        <w:spacing w:after="0" w:line="14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3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7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ndemnity and liability provisions in various agreements potentially expose us to substantial liability for intellectual property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infringement, data protection, and other losses.</w:t>
      </w:r>
    </w:p>
    <w:p>
      <w:pPr>
        <w:spacing w:after="0" w:line="13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United Kingdom’s departure from the E.U. could adversely affect us.</w:t>
      </w:r>
    </w:p>
    <w:p>
      <w:pPr>
        <w:spacing w:after="0" w:line="19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7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203" w:lineRule="exact"/>
        <w:rPr>
          <w:sz w:val="20"/>
          <w:szCs w:val="20"/>
          <w:color w:val="auto"/>
        </w:rPr>
      </w:pPr>
    </w:p>
    <w:p>
      <w:pPr>
        <w:ind w:left="880" w:right="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202" w:lineRule="exact"/>
        <w:rPr>
          <w:rFonts w:ascii="Arial" w:cs="Arial" w:eastAsia="Arial" w:hAnsi="Arial"/>
          <w:sz w:val="18"/>
          <w:szCs w:val="18"/>
          <w:color w:val="auto"/>
        </w:rPr>
      </w:pPr>
    </w:p>
    <w:p>
      <w:pPr>
        <w:ind w:left="880" w:right="24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202"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96"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5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0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As of March 31, 2021, we had U.S. federal net operating loss (NOL) carryforwards of approximately $115.8 million and state net operating loss carryforwards of approximately $99.8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this offering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6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0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b w:val="1"/>
          <w:bCs w:val="1"/>
          <w:i w:val="1"/>
          <w:iCs w:val="1"/>
          <w:color w:val="auto"/>
        </w:rPr>
        <w:t>As a public company, we will be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4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line="257" w:lineRule="auto"/>
        <w:rPr>
          <w:sz w:val="20"/>
          <w:szCs w:val="20"/>
          <w:color w:val="auto"/>
        </w:rPr>
      </w:pPr>
      <w:r>
        <w:rPr>
          <w:rFonts w:ascii="Arial" w:cs="Arial" w:eastAsia="Arial" w:hAnsi="Arial"/>
          <w:sz w:val="17"/>
          <w:szCs w:val="17"/>
          <w:color w:val="auto"/>
        </w:rPr>
        <w:t>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a public company, we will also be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64"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78"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0"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5"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Dodd-Frank, the listing requirements of the Nasdaq,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was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05"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211"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0" w:lineRule="exact"/>
        <w:rPr>
          <w:sz w:val="20"/>
          <w:szCs w:val="20"/>
          <w:color w:val="auto"/>
        </w:rPr>
      </w:pPr>
    </w:p>
    <w:p>
      <w:pPr>
        <w:ind w:left="120" w:right="7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this offering,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6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6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for working capital and other general corporate purposes.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4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49"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If you purchase shares of our common stock in this offering, you will experience substantial and immediate dilution in the pro forma net tangible book value per share of $20.72 per share as of March 31, 2021, based on the initial public offering price of our common stock of $ 24.00 per share,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4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14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101,540,559 outstanding shares of our common stock, based on the number of shares outstanding as of March 31, 2021. All of the shares of common stock sold in this offering will be available for sale in the public market, unless purchased by our affiliates. Substantially all of our outstanding shares of common stock are currently restricted from resale as a result of “lock-up” agreements (which may be waived by Goldman Sachs &amp; Co. LLC, in its sole discretion, with or without notice), as more fully described in the section titled “Underwriting.” These shares will become available to be sold as follows:</w:t>
      </w:r>
    </w:p>
    <w:p>
      <w:pPr>
        <w:spacing w:after="0" w:line="108" w:lineRule="exact"/>
        <w:rPr>
          <w:sz w:val="20"/>
          <w:szCs w:val="20"/>
          <w:color w:val="auto"/>
        </w:rPr>
      </w:pPr>
    </w:p>
    <w:p>
      <w:pPr>
        <w:ind w:left="880" w:hanging="224"/>
        <w:spacing w:after="0" w:line="23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first public release of quarterly results following the date of this prospectus, if the last reported closing price of our common stock on the Nasdaq Global Select Market is at least 33% greater than the initial public offering price as set forth on the cover page of this prospectus for at least 10 trading days in the 15 trading day period prior to the date of such earning release, then each holder subject to these lock-up agreements may sell a number of shares equal to 25% of the shares of our common stock and non-voting common stock held by that holder, including shares of our common stock underlying options, warrants or other securities (the Holdings). As of March 31, 2021, 25% of the outstanding Holdings held by all such holders was 27,172,191 shares.</w:t>
      </w:r>
    </w:p>
    <w:p>
      <w:pPr>
        <w:spacing w:after="0" w:line="108"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public release of quarterly results for the quarter in which our first public release of quarterly results following the date of this prospectus occurs, the lock-up agreements will terminate, and accordingly, the remaining shares of our common stock and non-voting common stock will be eligible for sale in the public market.</w:t>
      </w:r>
    </w:p>
    <w:p>
      <w:pPr>
        <w:spacing w:after="0" w:line="20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Shares held by directors, executive officers and other affiliates will be subject to volume limitations under Rule 144 under the Securities Act, and various vesting agreements.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75"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1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Based upon shares outstanding as of March 31, 2021, prior to this offering, our executive officers, directors and the holders of more than 5% of our outstanding common stock, in the aggregate, beneficially owned approximately 67.5% of our common stock, and upon the completion of this offering, that same group, in the aggregate, will beneficially own approximately 60.5% of our common stock, 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5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64"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Following the completion of this offering, 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03" w:lineRule="exact"/>
        <w:rPr>
          <w:sz w:val="20"/>
          <w:szCs w:val="20"/>
          <w:color w:val="auto"/>
        </w:rPr>
      </w:pPr>
    </w:p>
    <w:p>
      <w:pPr>
        <w:ind w:left="880" w:right="56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jc w:val="both"/>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Arial" w:cs="Arial" w:eastAsia="Arial" w:hAnsi="Arial"/>
          <w:sz w:val="18"/>
          <w:szCs w:val="18"/>
          <w:color w:val="auto"/>
        </w:rPr>
      </w:pPr>
    </w:p>
    <w:p>
      <w:pPr>
        <w:ind w:left="880" w:right="10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880" w:right="10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02" w:lineRule="exact"/>
        <w:rPr>
          <w:rFonts w:ascii="Arial" w:cs="Arial" w:eastAsia="Arial" w:hAnsi="Arial"/>
          <w:sz w:val="18"/>
          <w:szCs w:val="18"/>
          <w:color w:val="auto"/>
        </w:rPr>
      </w:pPr>
    </w:p>
    <w:p>
      <w:pPr>
        <w:ind w:left="880" w:right="80" w:hanging="224"/>
        <w:spacing w:after="0" w:line="238"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04" w:lineRule="exact"/>
        <w:rPr>
          <w:rFonts w:ascii="Arial" w:cs="Arial" w:eastAsia="Arial" w:hAnsi="Arial"/>
          <w:sz w:val="18"/>
          <w:szCs w:val="18"/>
          <w:color w:val="auto"/>
        </w:rPr>
      </w:pPr>
    </w:p>
    <w:p>
      <w:pPr>
        <w:ind w:left="880" w:right="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information regarding these and other provisions, see the section titled “Description of Capital Stock.”</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212" w:lineRule="exact"/>
        <w:rPr>
          <w:sz w:val="20"/>
          <w:szCs w:val="20"/>
          <w:color w:val="auto"/>
        </w:rPr>
      </w:pPr>
    </w:p>
    <w:p>
      <w:pPr>
        <w:ind w:left="880" w:right="40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market opportunity, including estimates regarding our total addressable payment volume;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11"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political, economic, legal, social and health risks, including the recent COVID-19 pandemic and subsequent public health measures that may affect our business or the global economy;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B2B sector;</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211" w:lineRule="exact"/>
        <w:rPr>
          <w:rFonts w:ascii="Arial" w:cs="Arial" w:eastAsia="Arial" w:hAnsi="Arial"/>
          <w:sz w:val="18"/>
          <w:szCs w:val="18"/>
          <w:color w:val="auto"/>
        </w:rPr>
      </w:pPr>
    </w:p>
    <w:p>
      <w:pPr>
        <w:jc w:val="center"/>
        <w:ind w:left="5520" w:right="340" w:hanging="4864"/>
        <w:spacing w:after="0" w:line="418" w:lineRule="auto"/>
        <w:tabs>
          <w:tab w:leader="none" w:pos="8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 66</w:t>
      </w:r>
    </w:p>
    <w:p>
      <w:pPr>
        <w:sectPr>
          <w:pgSz w:w="11900" w:h="16838" w:orient="portrait"/>
          <w:cols w:equalWidth="0" w:num="1">
            <w:col w:w="11020"/>
          </w:cols>
          <w:pgMar w:left="320" w:top="459"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8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 -looking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performance, and events and circumstances may be materially different from what we expect.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07"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7"/>
          <w:szCs w:val="17"/>
          <w:color w:val="auto"/>
        </w:rPr>
        <w:t>Unless otherwise indicated, estimates and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solutions.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5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sources of the statistical data, estimates and market and industry data contained in this prospectus are provided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information contained on, or that can be accessed through, any website listed below is not a part of this prospectus.</w:t>
      </w:r>
    </w:p>
    <w:p>
      <w:pPr>
        <w:spacing w:after="0" w:line="202" w:lineRule="exact"/>
        <w:rPr>
          <w:sz w:val="20"/>
          <w:szCs w:val="20"/>
          <w:color w:val="auto"/>
        </w:rPr>
      </w:pPr>
    </w:p>
    <w:p>
      <w:pPr>
        <w:ind w:left="880" w:right="26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Educational Expenditure by Source and Destination. doi: 10.1787/1c1c86c4-en (Accessed on February 16,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Mastercard Investment Community Meeting, September 12, 2019;</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American Productivity &amp; Quality Center (APQC), Number of FTEs That Perform The Process “Process Accounts Receivable (AR)” per $1 Billion Revenue Measure Spotlight, February 1,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Patients Beyond Borders, Quick Facts About Medical Tourism (Accessed on February 16, 2021);</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EY Parthenon, Education in Southeast Asia: Opportunities for investors and operators, September 2016;</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Centers for Medicare &amp; Medicaid Services, NHE Fact Sheet, December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Couillard, Lucie. “GL Industry Report X9001-GL Global Tourism.” IBISWorld, June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Maynard, Nick. “B2B Payments: Domestic, Cross-border &amp; Interest Payments 2020-2025.” Juniper Research Ltd, July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APQC, Open Standards Benchmarking Performance Assessment in Accounts Receivable, 2018; and</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Bartolini, Andrew and Cohen, Bob. “The State of ePayables 2020: Ensuring Continuity, Building Resiliency, and Rising to the Challenge.” Ardent Partners,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We estimate that the net proceeds from our sale of shares of common stock in this offering at the initial public offering price of $24.00 per share, after deducting underwriting discounts and commissions and estimated offering expenses, will be approximately $228.6 million, or $263.7 million if the underwriters’ option to purchase additional shares is exercised in full.</w:t>
      </w:r>
    </w:p>
    <w:p>
      <w:pPr>
        <w:spacing w:after="0" w:line="16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our stockholders and us. We intend to use the net proceeds from this offering for working capital and other general corporate purposes, which may include technology and solutions development, selling and marketing,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64"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our Loan and Security Agreement restrict our ability to pay dividends.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as well as our capitalization, as of March 31, 2021, on:</w:t>
      </w:r>
    </w:p>
    <w:p>
      <w:pPr>
        <w:spacing w:after="0" w:line="212"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11" w:lineRule="exact"/>
        <w:rPr>
          <w:rFonts w:ascii="Arial" w:cs="Arial" w:eastAsia="Arial" w:hAnsi="Arial"/>
          <w:sz w:val="18"/>
          <w:szCs w:val="18"/>
          <w:color w:val="auto"/>
        </w:rPr>
      </w:pPr>
    </w:p>
    <w:p>
      <w:pPr>
        <w:ind w:left="880" w:right="20" w:hanging="224"/>
        <w:spacing w:after="0" w:line="238"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 forma basis, which reflects (i) the automatic conversion of all outstanding shares of our preferred stock into an aggregate of 62,031,939 shares of our common stock and 5,988,378 shares of our non-voting common stock, (ii) the reclassification of the preferred stock warrant liability to additional paid-in capital in connection with the conversion of the outstanding warrants to purchase shares of preferred stock into warrants to purchase shares of our common stock, and (iii) the filing and effectiveness of our restated certificate of incorporation; and</w:t>
      </w:r>
    </w:p>
    <w:p>
      <w:pPr>
        <w:spacing w:after="0" w:line="202" w:lineRule="exact"/>
        <w:rPr>
          <w:rFonts w:ascii="Arial" w:cs="Arial" w:eastAsia="Arial" w:hAnsi="Arial"/>
          <w:sz w:val="18"/>
          <w:szCs w:val="18"/>
          <w:color w:val="auto"/>
        </w:rPr>
      </w:pPr>
    </w:p>
    <w:p>
      <w:pPr>
        <w:ind w:left="880" w:right="16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 forma as adjusted basis, which reflects (i) all adjustments included in the pro forma column and (ii) the sale of 10,440,000 shares of our common stock in this offering at the initial public offering price of $24.00 per share, after deducting underwriting discounts and commissions and estimated offering expenses.</w:t>
      </w:r>
    </w:p>
    <w:p>
      <w:pPr>
        <w:spacing w:after="0" w:line="16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You should read this table together with our consolidated financial statements and related notes, “Selected Consolidated Financial Data,” Management’s Discussion and Analysis of Financial Condition and Results of Operations,” and our condensed consolidated financial statements and related notes, each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As of March 31, 2021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Forma</w:t>
            </w:r>
          </w:p>
        </w:tc>
        <w:tc>
          <w:tcPr>
            <w:tcW w:w="4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5"/>
        </w:trPr>
        <w:tc>
          <w:tcPr>
            <w:tcW w:w="8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146,313</w:t>
            </w: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146,313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375,123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tcPr>
          <w:p>
            <w:pPr>
              <w:spacing w:after="0" w:line="156" w:lineRule="exact"/>
              <w:rPr>
                <w:sz w:val="20"/>
                <w:szCs w:val="20"/>
                <w:color w:val="auto"/>
              </w:rPr>
            </w:pPr>
            <w:r>
              <w:rPr>
                <w:rFonts w:ascii="Arial" w:cs="Arial" w:eastAsia="Arial" w:hAnsi="Arial"/>
                <w:sz w:val="14"/>
                <w:szCs w:val="14"/>
                <w:color w:val="auto"/>
              </w:rPr>
              <w:t>Preferred stock warrant liability</w:t>
            </w: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2,886</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40"/>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24,402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24,402</w:t>
            </w:r>
          </w:p>
        </w:tc>
        <w:tc>
          <w:tcPr>
            <w:tcW w:w="0" w:type="dxa"/>
            <w:vAlign w:val="bottom"/>
          </w:tcPr>
          <w:p>
            <w:pPr>
              <w:spacing w:after="0"/>
              <w:rPr>
                <w:sz w:val="1"/>
                <w:szCs w:val="1"/>
                <w:color w:val="auto"/>
              </w:rPr>
            </w:pPr>
          </w:p>
        </w:tc>
      </w:tr>
      <w:tr>
        <w:trPr>
          <w:trHeight w:val="167"/>
        </w:trPr>
        <w:tc>
          <w:tcPr>
            <w:tcW w:w="8240" w:type="dxa"/>
            <w:vAlign w:val="bottom"/>
          </w:tcPr>
          <w:p>
            <w:pPr>
              <w:spacing w:after="0"/>
              <w:rPr>
                <w:sz w:val="20"/>
                <w:szCs w:val="20"/>
                <w:color w:val="auto"/>
              </w:rPr>
            </w:pPr>
            <w:r>
              <w:rPr>
                <w:rFonts w:ascii="Arial" w:cs="Arial" w:eastAsia="Arial" w:hAnsi="Arial"/>
                <w:sz w:val="14"/>
                <w:szCs w:val="14"/>
                <w:color w:val="auto"/>
              </w:rPr>
              <w:t>Convertible preferred stock (Series A, B, B1, B1-NV, C and D), $0.0001 par value, 62,915,394 shares authorized, actual;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rPr>
                <w:sz w:val="20"/>
                <w:szCs w:val="20"/>
                <w:color w:val="auto"/>
              </w:rPr>
            </w:pPr>
            <w:r>
              <w:rPr>
                <w:rFonts w:ascii="Arial" w:cs="Arial" w:eastAsia="Arial" w:hAnsi="Arial"/>
                <w:sz w:val="14"/>
                <w:szCs w:val="14"/>
                <w:color w:val="auto"/>
              </w:rPr>
              <w:t>54,208,461 share issued and outstanding, actual; no shares authorized, issued and outstanding, pro forma and 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40" w:type="dxa"/>
            <w:vAlign w:val="bottom"/>
          </w:tcPr>
          <w:p>
            <w:pPr>
              <w:ind w:left="140"/>
              <w:spacing w:after="0" w:line="157" w:lineRule="exact"/>
              <w:rPr>
                <w:sz w:val="20"/>
                <w:szCs w:val="20"/>
                <w:color w:val="auto"/>
              </w:rPr>
            </w:pPr>
            <w:r>
              <w:rPr>
                <w:rFonts w:ascii="Arial" w:cs="Arial" w:eastAsia="Arial" w:hAnsi="Arial"/>
                <w:sz w:val="14"/>
                <w:szCs w:val="14"/>
                <w:color w:val="auto"/>
              </w:rPr>
              <w:t>as adjusted; liquidation preference of $110,716, actual; no liquidation preference pro forma and pro forma as adjusted</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110,401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Redeemable convertible preferred stock (Series E-1, E-2, F-1 and F-2), $0.0001 par value, 18,767,193 shares authorized,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actual; 13,811,856 shares issued and outstanding, actual; no shares authorized, issued and outstanding, pro forma and pro</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forma as adjusted; liquidation preference of $210,000, actual; no liquidation preference pro forma and pro forma as adjusted</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179,509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$0.0001 par value, no shares authorized, issued or outstanding, actual; 10,000,000 shares authorized, no</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shares issued or outstanding, pro forma and pro forma as adjusted</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240" w:type="dxa"/>
            <w:vAlign w:val="bottom"/>
          </w:tcPr>
          <w:p>
            <w:pPr>
              <w:spacing w:after="0"/>
              <w:rPr>
                <w:sz w:val="20"/>
                <w:szCs w:val="20"/>
                <w:color w:val="auto"/>
              </w:rPr>
            </w:pPr>
            <w:r>
              <w:rPr>
                <w:rFonts w:ascii="Arial" w:cs="Arial" w:eastAsia="Arial" w:hAnsi="Arial"/>
                <w:sz w:val="14"/>
                <w:szCs w:val="14"/>
                <w:color w:val="auto"/>
              </w:rPr>
              <w:t>Common stock, $0.0001 par value; 154,570,395 shares authorized (including shares of non-voting common stock), actual;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rPr>
                <w:sz w:val="20"/>
                <w:szCs w:val="20"/>
                <w:color w:val="auto"/>
              </w:rPr>
            </w:pPr>
            <w:r>
              <w:rPr>
                <w:rFonts w:ascii="Arial" w:cs="Arial" w:eastAsia="Arial" w:hAnsi="Arial"/>
                <w:sz w:val="14"/>
                <w:szCs w:val="14"/>
                <w:color w:val="auto"/>
              </w:rPr>
              <w:t>25,397,964 shares issued and 23,080,242 shares outstanding, actual; 2,010,000,000 shares authorized (including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rPr>
                <w:sz w:val="20"/>
                <w:szCs w:val="20"/>
                <w:color w:val="auto"/>
              </w:rPr>
            </w:pPr>
            <w:r>
              <w:rPr>
                <w:rFonts w:ascii="Arial" w:cs="Arial" w:eastAsia="Arial" w:hAnsi="Arial"/>
                <w:sz w:val="14"/>
                <w:szCs w:val="14"/>
                <w:color w:val="auto"/>
              </w:rPr>
              <w:t>10,000,000 shares of non-voting common stock), 93,418,281 shares issued and 91,100,559 shares outstanding, 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rPr>
                <w:sz w:val="20"/>
                <w:szCs w:val="20"/>
                <w:color w:val="auto"/>
              </w:rPr>
            </w:pPr>
            <w:r>
              <w:rPr>
                <w:rFonts w:ascii="Arial" w:cs="Arial" w:eastAsia="Arial" w:hAnsi="Arial"/>
                <w:sz w:val="14"/>
                <w:szCs w:val="14"/>
                <w:color w:val="auto"/>
              </w:rPr>
              <w:t>2,010,000,000 shares authorized (including 10,000,000 shares of non-voting common stock), 103,858,281 shares issued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40" w:type="dxa"/>
            <w:vAlign w:val="bottom"/>
          </w:tcPr>
          <w:p>
            <w:pPr>
              <w:ind w:left="140"/>
              <w:spacing w:after="0" w:line="157" w:lineRule="exact"/>
              <w:rPr>
                <w:sz w:val="20"/>
                <w:szCs w:val="20"/>
                <w:color w:val="auto"/>
              </w:rPr>
            </w:pPr>
            <w:r>
              <w:rPr>
                <w:rFonts w:ascii="Arial" w:cs="Arial" w:eastAsia="Arial" w:hAnsi="Arial"/>
                <w:sz w:val="14"/>
                <w:szCs w:val="14"/>
                <w:color w:val="auto"/>
              </w:rPr>
              <w:t>and 101,540,559 shares outstanding, pro forma as adjusted</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2,317,722 shares as of March 31, 2021, held at cost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29,734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322,524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551,170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(106,424)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(106,424)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(106,424)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 equity</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(77,310)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215,486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444,133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4"/>
                <w:szCs w:val="14"/>
                <w:color w:val="auto"/>
              </w:rPr>
              <w:t>Total capitalization</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239,888</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239,888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468,535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number of shares of our common stock and non-voting common stock to be outstanding after this offering is based on 91,100,559 shares of our common stock outstanding as of March 31, 2021, assuming the conversion of all outstanding shares of our preferred stock (of which 85,112,181 shares will be common stock and 5,988,378 shares will be non-voting common stock) and excludes the following:</w:t>
      </w:r>
    </w:p>
    <w:p>
      <w:pPr>
        <w:spacing w:after="0" w:line="205" w:lineRule="exact"/>
        <w:rPr>
          <w:sz w:val="20"/>
          <w:szCs w:val="20"/>
          <w:color w:val="auto"/>
        </w:rPr>
      </w:pPr>
    </w:p>
    <w:p>
      <w:pPr>
        <w:ind w:left="880" w:right="16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16,496,223 shares of our common stock issuable upon the exercise of stock options outstanding as of March 31, 2021, with a weighted-average exercise price of $2.96 per share under our 2009 Plan and our 2018 Plan;</w:t>
      </w:r>
    </w:p>
    <w:p>
      <w:pPr>
        <w:spacing w:after="0" w:line="196"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1,030,500 shares of our common stock issuable upon the exercise of stock options granted after March 31, 2021, with a weighted-average exercise price of $16.82 per share under our 2018 Plan;</w:t>
      </w:r>
    </w:p>
    <w:p>
      <w:pPr>
        <w:spacing w:after="0" w:line="196"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75,000 shares of our common stock issuable upon the exercise of outstanding warrants to purchase common stock outstanding as of March 31, 2021, with an exercise price of $0.17 per share;</w:t>
      </w:r>
    </w:p>
    <w:p>
      <w:pPr>
        <w:spacing w:after="0" w:line="196" w:lineRule="exact"/>
        <w:rPr>
          <w:rFonts w:ascii="Arial" w:cs="Arial" w:eastAsia="Arial" w:hAnsi="Arial"/>
          <w:sz w:val="18"/>
          <w:szCs w:val="18"/>
          <w:color w:val="auto"/>
        </w:rPr>
      </w:pPr>
    </w:p>
    <w:p>
      <w:pPr>
        <w:ind w:left="880" w:right="260" w:hanging="224"/>
        <w:spacing w:after="0" w:line="261"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381,000 shares of our common stock issuable upon the exercise of outstanding warrants to purchase shares of our Series C preferred stock outstanding as of March 31, 2021, with an exercise price of $1.48 per share, which will become warrants to purchase shares of our common stock at an exercise price of $1.48 per share in connection with the closing of this offering;</w:t>
      </w:r>
    </w:p>
    <w:p>
      <w:pPr>
        <w:spacing w:after="0" w:line="185" w:lineRule="exact"/>
        <w:rPr>
          <w:rFonts w:ascii="Arial" w:cs="Arial" w:eastAsia="Arial" w:hAnsi="Arial"/>
          <w:sz w:val="17"/>
          <w:szCs w:val="17"/>
          <w:color w:val="auto"/>
        </w:rPr>
      </w:pPr>
    </w:p>
    <w:p>
      <w:pPr>
        <w:jc w:val="both"/>
        <w:ind w:left="880" w:right="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1,645,458 shares of our common stock reserved for future issuance under our 2018 Plan, as of March 31, 2021,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1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32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320" w:top="459" w:right="5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62"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As of March 31, 2021, historical net tangible book value (deficit) was $(190.8) million, or $(8.27) per share. Our pro forma net tangible book value was $102.0 million, or $1.12 per share of common stock. Our pro forma net tangible book value per share represents the amount of our total tangible assets reduced by the amount of our total liabilities and the carrying value of our convertible preferred stock and our redeemable convertible preferred stock, which are not included in stockholders’ deficit, and divided by the total number of shares of our common stock outstanding as of March 31, 2021, after giving effect to (i) the automatic conversion of all outstanding shares of our preferred stock into in aggregate of 62,031,939 shares of our common stock and 5,988,378 shares of our non-voting common stock,</w:t>
      </w:r>
    </w:p>
    <w:p>
      <w:pPr>
        <w:spacing w:after="0" w:line="3" w:lineRule="exact"/>
        <w:rPr>
          <w:sz w:val="20"/>
          <w:szCs w:val="20"/>
          <w:color w:val="auto"/>
        </w:rPr>
      </w:pPr>
    </w:p>
    <w:p>
      <w:pPr>
        <w:ind w:left="120" w:right="180" w:hanging="4"/>
        <w:spacing w:after="0"/>
        <w:tabs>
          <w:tab w:leader="none" w:pos="3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reclassification of the preferred stock warrant liability to additional paid-in capital in connection with the conversion of the outstanding warrants to purchase shares of preferred stock into warrants to purchase shares of our common stock, and (iii) the filing and effectiveness of our restated certificate of incorporation.</w:t>
      </w:r>
    </w:p>
    <w:p>
      <w:pPr>
        <w:spacing w:after="0" w:line="16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After giving effect to (i) the pro forma adjustments set forth above and (ii) our sale in this offering of shares of our common stock, at the initial public offering price of $24.00 per share, after deducting underwriting discounts and commissions and estimated offering expenses, our pro forma as adjusted net tangible book value as of March 31, 2021 would have been $332.9 million, or $3.28 per share. This represents an immediate increase in pro forma net tangible book value of $ 2.16 per share to our existing stockholders and an immediate dilution of $20.72 per share to investors purchasing common stock in this offering at the initial public offering price.</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9520" w:type="dxa"/>
            <w:vAlign w:val="bottom"/>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24.00</w:t>
            </w:r>
          </w:p>
        </w:tc>
      </w:tr>
      <w:tr>
        <w:trPr>
          <w:trHeight w:val="203"/>
        </w:trPr>
        <w:tc>
          <w:tcPr>
            <w:tcW w:w="952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March 31, 2021</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5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 before giving effect to this offering</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5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r>
      <w:tr>
        <w:trPr>
          <w:trHeight w:val="27"/>
        </w:trPr>
        <w:tc>
          <w:tcPr>
            <w:tcW w:w="9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20.72</w:t>
            </w: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per share of our common stock after giving effect to this offering would be $3.57 per share, and the dilution in pro forma net tangible book value per share to investors in this offering would be $20.43 per share.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following table summarizes, on a pro forma as adjusted basis as of March 31, 2021,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 by our existing stockholders or to be paid by investors purchasing shares in this offering at the initial public offering price of $24.00 per share, before deducting underwriting discounts and commissions and estimated offering expenses: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440" w:type="dxa"/>
            <w:vAlign w:val="bottom"/>
            <w:gridSpan w:val="4"/>
            <w:vMerge w:val="restart"/>
          </w:tcPr>
          <w:p>
            <w:pPr>
              <w:jc w:val="right"/>
              <w:ind w:right="600"/>
              <w:spacing w:after="0"/>
              <w:rPr>
                <w:sz w:val="20"/>
                <w:szCs w:val="20"/>
                <w:color w:val="auto"/>
              </w:rPr>
            </w:pPr>
            <w:r>
              <w:rPr>
                <w:rFonts w:ascii="Arial" w:cs="Arial" w:eastAsia="Arial" w:hAnsi="Arial"/>
                <w:sz w:val="18"/>
                <w:szCs w:val="18"/>
                <w:b w:val="1"/>
                <w:bCs w:val="1"/>
                <w:color w:val="auto"/>
              </w:rPr>
              <w:t>Shares Purchased</w:t>
            </w:r>
          </w:p>
        </w:tc>
        <w:tc>
          <w:tcPr>
            <w:tcW w:w="160" w:type="dxa"/>
            <w:vAlign w:val="bottom"/>
          </w:tcPr>
          <w:p>
            <w:pPr>
              <w:spacing w:after="0"/>
              <w:rPr>
                <w:sz w:val="17"/>
                <w:szCs w:val="17"/>
                <w:color w:val="auto"/>
              </w:rPr>
            </w:pP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Total Consideration</w:t>
            </w:r>
          </w:p>
        </w:tc>
        <w:tc>
          <w:tcPr>
            <w:tcW w:w="180" w:type="dxa"/>
            <w:vAlign w:val="bottom"/>
          </w:tcPr>
          <w:p>
            <w:pPr>
              <w:spacing w:after="0"/>
              <w:rPr>
                <w:sz w:val="17"/>
                <w:szCs w:val="17"/>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Price</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60"/>
              <w:spacing w:after="0" w:line="173" w:lineRule="exact"/>
              <w:rPr>
                <w:sz w:val="20"/>
                <w:szCs w:val="20"/>
                <w:color w:val="auto"/>
              </w:rPr>
            </w:pPr>
            <w:r>
              <w:rPr>
                <w:rFonts w:ascii="Arial" w:cs="Arial" w:eastAsia="Arial" w:hAnsi="Arial"/>
                <w:sz w:val="18"/>
                <w:szCs w:val="18"/>
                <w:b w:val="1"/>
                <w:bCs w:val="1"/>
                <w:color w:val="auto"/>
                <w:w w:val="96"/>
              </w:rPr>
              <w:t>Per</w:t>
            </w:r>
          </w:p>
        </w:tc>
        <w:tc>
          <w:tcPr>
            <w:tcW w:w="0" w:type="dxa"/>
            <w:vAlign w:val="bottom"/>
          </w:tcPr>
          <w:p>
            <w:pPr>
              <w:spacing w:after="0"/>
              <w:rPr>
                <w:sz w:val="1"/>
                <w:szCs w:val="1"/>
                <w:color w:val="auto"/>
              </w:rPr>
            </w:pPr>
          </w:p>
        </w:tc>
      </w:tr>
      <w:tr>
        <w:trPr>
          <w:trHeight w:val="225"/>
        </w:trPr>
        <w:tc>
          <w:tcPr>
            <w:tcW w:w="49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Percent</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Amount</w:t>
            </w:r>
          </w:p>
        </w:tc>
        <w:tc>
          <w:tcPr>
            <w:tcW w:w="3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Percent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91,100,559</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$ 279,916,000</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New public investors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10,440,000</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250,560,000</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101,540,559</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6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530,476,000</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15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number of shares of our common stock and non-voting common stock to be outstanding after this offering is based on 91,100,559 shares of our common stock outstanding as of March 31, 2021, assuming the conversion of all outstanding shares of our preferred stock (of which 85,112,181 shares will be common stock and 5,988,378 shares will be non-voting common stock) and excludes the following:</w:t>
      </w:r>
    </w:p>
    <w:p>
      <w:pPr>
        <w:spacing w:after="0" w:line="205" w:lineRule="exact"/>
        <w:rPr>
          <w:sz w:val="20"/>
          <w:szCs w:val="20"/>
          <w:color w:val="auto"/>
        </w:rPr>
      </w:pPr>
    </w:p>
    <w:p>
      <w:pPr>
        <w:ind w:left="880" w:right="28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16,496,223 shares of our common stock issuable upon the exercise of stock options outstanding as of March 31, 2021, with a weighted-average exercise price of $2.96 per share under our 2009 Plan and our 2018 Plan;</w:t>
      </w:r>
    </w:p>
    <w:p>
      <w:pPr>
        <w:spacing w:after="0" w:line="196" w:lineRule="exact"/>
        <w:rPr>
          <w:rFonts w:ascii="Arial" w:cs="Arial" w:eastAsia="Arial" w:hAnsi="Arial"/>
          <w:sz w:val="18"/>
          <w:szCs w:val="18"/>
          <w:color w:val="auto"/>
        </w:rPr>
      </w:pPr>
    </w:p>
    <w:p>
      <w:pPr>
        <w:ind w:left="880" w:right="74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1,030,500 shares of our common stock issuable upon the exercise of stock options granted after March 31, 2021, with a weighted-average exercise price of $16.82 per share under our 2018 Plan;</w:t>
      </w:r>
    </w:p>
    <w:p>
      <w:pPr>
        <w:spacing w:after="0" w:line="196"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75,000 shares of our common stock issuable upon the exercise of outstanding warrants to purchase common stock outstanding as of March 31, 2021, with an exercise price of $0.17 per share;</w:t>
      </w:r>
    </w:p>
    <w:p>
      <w:pPr>
        <w:spacing w:after="0" w:line="196" w:lineRule="exact"/>
        <w:rPr>
          <w:rFonts w:ascii="Arial" w:cs="Arial" w:eastAsia="Arial" w:hAnsi="Arial"/>
          <w:sz w:val="18"/>
          <w:szCs w:val="18"/>
          <w:color w:val="auto"/>
        </w:rPr>
      </w:pPr>
    </w:p>
    <w:p>
      <w:pPr>
        <w:ind w:left="880" w:right="380" w:hanging="224"/>
        <w:spacing w:after="0" w:line="261"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381,000 shares of our common stock issuable upon the exercise of outstanding warrants to purchase shares of our Series C preferred stock outstanding as of March 31, 2021, with an exercise price of $1.48 per share, which will become warrants to purchase shares of our common stock at an exercise price of $1.48 per share in connection with the closing of this offering;</w:t>
      </w:r>
    </w:p>
    <w:p>
      <w:pPr>
        <w:spacing w:after="0" w:line="185" w:lineRule="exact"/>
        <w:rPr>
          <w:rFonts w:ascii="Arial" w:cs="Arial" w:eastAsia="Arial" w:hAnsi="Arial"/>
          <w:sz w:val="17"/>
          <w:szCs w:val="17"/>
          <w:color w:val="auto"/>
        </w:rPr>
      </w:pPr>
    </w:p>
    <w:p>
      <w:pPr>
        <w:ind w:left="880" w:right="16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1,645,458 shares of our common stock reserved for future issuance under our 2018 Plan, as of March 31, 2021,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30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44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following tables present selected historical consolidated financial data for our business. We derived the selected consolidated statements of operations data for the fiscal years ended December 31, 2019 and 2020 and the consolidated balance sheet data as of December 31, 2019 and 2020 from our audited consolidated financial statements that are included elsewhere in this prospectus. The selected consolidated statement of operations data for the three months ended March 31, 2020 and 2021, and the consolidated balance sheet data as of March 31, 2021, have been derived from our unaudited condensed consolidated financial statements and related notes thereto appearing elsewhere in this prospectus. Our unaudited condensed consolidated financial statements have been prepared on the same basis as our audited consolidated financial statements and, in the opinion of management, reflect all adjustments, which consist only of normal recurring adjustments, necessary for the fair statement of those unaudited condensed consolidated financial statements. On February 13, 2020, we acquired Simplee for total consideration valued at $86.5 million including $79.4 million of cash consideration, net of cash acquired, and the estimated fair value of contingent consideration of $7.1 million. Our consolidated financial statements included the results of operations of Simplee and estimated fair values of assets acquired and liabilities assumed commencing as of the acquisition date.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our unaudited condensed consolidated financial statements and related notes and our consolidated financial statements, the accompanying notes, and other financial information included elsewhere in this prospectus.</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gridSpan w:val="13"/>
          </w:tcPr>
          <w:p>
            <w:pPr>
              <w:jc w:val="right"/>
              <w:ind w:right="1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94,918</w:t>
            </w:r>
          </w:p>
        </w:tc>
        <w:tc>
          <w:tcPr>
            <w:tcW w:w="24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131,783</w:t>
            </w:r>
          </w:p>
        </w:tc>
        <w:tc>
          <w:tcPr>
            <w:tcW w:w="1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32,709</w:t>
            </w:r>
          </w:p>
        </w:tc>
        <w:tc>
          <w:tcPr>
            <w:tcW w:w="18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44,991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Costs and operating expenses: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20"/>
              <w:spacing w:after="0"/>
              <w:rPr>
                <w:sz w:val="20"/>
                <w:szCs w:val="20"/>
                <w:color w:val="auto"/>
              </w:rPr>
            </w:pPr>
            <w:r>
              <w:rPr>
                <w:rFonts w:ascii="Arial" w:cs="Arial" w:eastAsia="Arial" w:hAnsi="Arial"/>
                <w:sz w:val="16"/>
                <w:szCs w:val="16"/>
                <w:color w:val="auto"/>
              </w:rPr>
              <w:t>Payment processing services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36,726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47,805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11,609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Technology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20"/>
              <w:spacing w:after="0"/>
              <w:rPr>
                <w:sz w:val="20"/>
                <w:szCs w:val="20"/>
                <w:color w:val="auto"/>
              </w:rPr>
            </w:pPr>
            <w:r>
              <w:rPr>
                <w:rFonts w:ascii="Arial" w:cs="Arial" w:eastAsia="Arial" w:hAnsi="Arial"/>
                <w:sz w:val="16"/>
                <w:szCs w:val="16"/>
                <w:color w:val="auto"/>
              </w:rPr>
              <w:t>Selling and marketing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26,606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32,612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10,265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15,914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640"/>
              <w:spacing w:after="0"/>
              <w:rPr>
                <w:sz w:val="20"/>
                <w:szCs w:val="20"/>
                <w:color w:val="auto"/>
              </w:rPr>
            </w:pPr>
            <w:r>
              <w:rPr>
                <w:rFonts w:ascii="Arial" w:cs="Arial" w:eastAsia="Arial" w:hAnsi="Arial"/>
                <w:sz w:val="16"/>
                <w:szCs w:val="16"/>
                <w:color w:val="auto"/>
              </w:rPr>
              <w:t>Total costs and operating expenses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147,598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35,799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51,458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(17,457)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(6,467)</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(2,459)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tcPr>
          <w:p>
            <w:pPr>
              <w:ind w:left="320"/>
              <w:spacing w:after="0"/>
              <w:rPr>
                <w:sz w:val="20"/>
                <w:szCs w:val="20"/>
                <w:color w:val="auto"/>
              </w:rPr>
            </w:pPr>
            <w:r>
              <w:rPr>
                <w:rFonts w:ascii="Arial" w:cs="Arial" w:eastAsia="Arial" w:hAnsi="Arial"/>
                <w:sz w:val="16"/>
                <w:szCs w:val="16"/>
                <w:color w:val="auto"/>
              </w:rPr>
              <w:t>Change in fair value of preferred stock warrant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 (expense),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ind w:left="640"/>
              <w:spacing w:after="0"/>
              <w:rPr>
                <w:sz w:val="20"/>
                <w:szCs w:val="20"/>
                <w:color w:val="auto"/>
              </w:rPr>
            </w:pPr>
            <w:r>
              <w:rPr>
                <w:rFonts w:ascii="Arial" w:cs="Arial" w:eastAsia="Arial" w:hAnsi="Arial"/>
                <w:sz w:val="16"/>
                <w:szCs w:val="16"/>
                <w:color w:val="auto"/>
              </w:rPr>
              <w:t>Total other expenses,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(2,109)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(19,566)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tcPr>
          <w:p>
            <w:pPr>
              <w:ind w:left="320"/>
              <w:spacing w:after="0"/>
              <w:rPr>
                <w:sz w:val="20"/>
                <w:szCs w:val="20"/>
                <w:color w:val="auto"/>
              </w:rPr>
            </w:pPr>
            <w:r>
              <w:rPr>
                <w:rFonts w:ascii="Arial" w:cs="Arial" w:eastAsia="Arial" w:hAnsi="Arial"/>
                <w:sz w:val="16"/>
                <w:szCs w:val="16"/>
                <w:color w:val="auto"/>
              </w:rPr>
              <w:t>Provision for (benefit from) income taxes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(7,169)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(20,116)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attributable to common stockholders - basic and diluted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(20,116)</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(11,121)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781</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Net income (loss) per share attributable to common stockholders - basic</w:t>
            </w:r>
            <w:r>
              <w:rPr>
                <w:rFonts w:ascii="Arial" w:cs="Arial" w:eastAsia="Arial" w:hAnsi="Arial"/>
                <w:sz w:val="22"/>
                <w:szCs w:val="22"/>
                <w:color w:val="auto"/>
                <w:vertAlign w:val="superscript"/>
              </w:rPr>
              <w:t>(2)</w:t>
            </w:r>
          </w:p>
        </w:tc>
        <w:tc>
          <w:tcPr>
            <w:tcW w:w="1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line="223" w:lineRule="exact"/>
              <w:rPr>
                <w:sz w:val="20"/>
                <w:szCs w:val="20"/>
                <w:color w:val="auto"/>
              </w:rPr>
            </w:pPr>
            <w:r>
              <w:rPr>
                <w:rFonts w:ascii="Arial" w:cs="Arial" w:eastAsia="Arial" w:hAnsi="Arial"/>
                <w:sz w:val="15"/>
                <w:szCs w:val="15"/>
                <w:color w:val="auto"/>
              </w:rPr>
              <w:t>Net income (loss) per share attributable to common stockholders - diluted</w:t>
            </w:r>
            <w:r>
              <w:rPr>
                <w:rFonts w:ascii="Arial" w:cs="Arial" w:eastAsia="Arial" w:hAnsi="Arial"/>
                <w:sz w:val="25"/>
                <w:szCs w:val="25"/>
                <w:color w:val="auto"/>
                <w:vertAlign w:val="superscript"/>
              </w:rPr>
              <w:t>(2)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gridSpan w:val="2"/>
            <w:vMerge w:val="continue"/>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(1.25)</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(0.60)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0.03</w:t>
            </w:r>
          </w:p>
        </w:tc>
        <w:tc>
          <w:tcPr>
            <w:tcW w:w="18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2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4740" w:type="dxa"/>
            <w:vAlign w:val="bottom"/>
            <w:gridSpan w:val="10"/>
          </w:tcPr>
          <w:p>
            <w:pPr>
              <w:jc w:val="right"/>
              <w:ind w:right="661"/>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Weighted average common shares outstanding - basic</w:t>
            </w:r>
            <w:r>
              <w:rPr>
                <w:rFonts w:ascii="Arial" w:cs="Arial" w:eastAsia="Arial" w:hAnsi="Arial"/>
                <w:sz w:val="23"/>
                <w:szCs w:val="23"/>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16,067,088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18,389,898</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17,513,319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21,100,077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line="223" w:lineRule="exact"/>
              <w:rPr>
                <w:sz w:val="20"/>
                <w:szCs w:val="20"/>
                <w:color w:val="auto"/>
              </w:rPr>
            </w:pPr>
            <w:r>
              <w:rPr>
                <w:rFonts w:ascii="Arial" w:cs="Arial" w:eastAsia="Arial" w:hAnsi="Arial"/>
                <w:sz w:val="15"/>
                <w:szCs w:val="15"/>
                <w:color w:val="auto"/>
              </w:rPr>
              <w:t>Weighted average common shares outstanding - diluted</w:t>
            </w:r>
            <w:r>
              <w:rPr>
                <w:rFonts w:ascii="Arial" w:cs="Arial" w:eastAsia="Arial" w:hAnsi="Arial"/>
                <w:sz w:val="25"/>
                <w:szCs w:val="25"/>
                <w:color w:val="auto"/>
                <w:vertAlign w:val="superscript"/>
              </w:rPr>
              <w:t>(2)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vMerge w:val="continue"/>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16,067,088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18,389,898</w:t>
            </w:r>
          </w:p>
        </w:tc>
        <w:tc>
          <w:tcPr>
            <w:tcW w:w="42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27,249,072</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21,100,077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 forma net loss per share attributable to common stockholders - basic and</w:t>
            </w: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60" w:type="dxa"/>
            <w:vAlign w:val="bottom"/>
            <w:shd w:val="clear" w:color="auto" w:fill="CCEEFF"/>
          </w:tcPr>
          <w:p>
            <w:pPr>
              <w:ind w:left="160"/>
              <w:spacing w:after="0" w:line="192" w:lineRule="exact"/>
              <w:rPr>
                <w:sz w:val="20"/>
                <w:szCs w:val="20"/>
                <w:color w:val="auto"/>
              </w:rPr>
            </w:pPr>
            <w:r>
              <w:rPr>
                <w:rFonts w:ascii="Arial" w:cs="Arial" w:eastAsia="Arial" w:hAnsi="Arial"/>
                <w:sz w:val="14"/>
                <w:szCs w:val="14"/>
                <w:color w:val="auto"/>
              </w:rPr>
              <w:t>diluted (unaudited)</w:t>
            </w:r>
            <w:r>
              <w:rPr>
                <w:rFonts w:ascii="Arial" w:cs="Arial" w:eastAsia="Arial" w:hAnsi="Arial"/>
                <w:sz w:val="22"/>
                <w:szCs w:val="22"/>
                <w:color w:val="auto"/>
                <w:vertAlign w:val="superscript"/>
              </w:rPr>
              <w:t>(3)</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line="236" w:lineRule="exact"/>
              <w:rPr>
                <w:sz w:val="20"/>
                <w:szCs w:val="20"/>
                <w:color w:val="auto"/>
              </w:rPr>
            </w:pPr>
            <w:r>
              <w:rPr>
                <w:rFonts w:ascii="Arial" w:cs="Arial" w:eastAsia="Arial" w:hAnsi="Arial"/>
                <w:sz w:val="16"/>
                <w:szCs w:val="16"/>
                <w:color w:val="auto"/>
              </w:rPr>
              <w:t>Pro forma common stock outstanding - basic and diluted (unaudited)</w:t>
            </w:r>
            <w:r>
              <w:rPr>
                <w:rFonts w:ascii="Arial" w:cs="Arial" w:eastAsia="Arial" w:hAnsi="Arial"/>
                <w:sz w:val="27"/>
                <w:szCs w:val="27"/>
                <w:color w:val="auto"/>
                <w:vertAlign w:val="superscript"/>
              </w:rPr>
              <w:t>(3)</w:t>
            </w: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86,410,215</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89,120,394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5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56"/>
        </w:trPr>
        <w:tc>
          <w:tcPr>
            <w:tcW w:w="6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Technology and development</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163</w:t>
            </w:r>
          </w:p>
        </w:tc>
        <w:tc>
          <w:tcPr>
            <w:tcW w:w="5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1,085</w:t>
            </w: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Selling and marketing</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1,275</w:t>
            </w:r>
          </w:p>
        </w:tc>
        <w:tc>
          <w:tcPr>
            <w:tcW w:w="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251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2 ,644</w:t>
            </w: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6 ,635</w:t>
            </w:r>
          </w:p>
        </w:tc>
      </w:tr>
      <w:tr>
        <w:trPr>
          <w:trHeight w:val="20"/>
        </w:trPr>
        <w:tc>
          <w:tcPr>
            <w:tcW w:w="6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580" w:type="dxa"/>
            <w:vAlign w:val="bottom"/>
          </w:tcPr>
          <w:p>
            <w:pPr>
              <w:ind w:left="280"/>
              <w:spacing w:after="0"/>
              <w:rPr>
                <w:sz w:val="20"/>
                <w:szCs w:val="20"/>
                <w:color w:val="auto"/>
              </w:rPr>
            </w:pPr>
            <w:r>
              <w:rPr>
                <w:rFonts w:ascii="Arial" w:cs="Arial" w:eastAsia="Arial" w:hAnsi="Arial"/>
                <w:sz w:val="14"/>
                <w:szCs w:val="14"/>
                <w:color w:val="auto"/>
              </w:rPr>
              <w:t>Total stock-based compensation expense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2,949</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3,844</w:t>
            </w:r>
          </w:p>
        </w:tc>
        <w:tc>
          <w:tcPr>
            <w:tcW w:w="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835</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10,364</w:t>
            </w: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ind w:left="540" w:right="180" w:hanging="424"/>
        <w:spacing w:after="0" w:line="241"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2 and Note 16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 For the computation of per share amounts, common stockholders include holders of common stock and non-voting common stock and common stock outstanding and weighted average common shares include common stock and non-voting common stock.</w:t>
      </w:r>
    </w:p>
    <w:p>
      <w:pPr>
        <w:spacing w:after="0" w:line="1" w:lineRule="exact"/>
        <w:rPr>
          <w:rFonts w:ascii="Arial" w:cs="Arial" w:eastAsia="Arial" w:hAnsi="Arial"/>
          <w:sz w:val="14"/>
          <w:szCs w:val="14"/>
          <w:color w:val="auto"/>
        </w:rPr>
      </w:pPr>
    </w:p>
    <w:p>
      <w:pPr>
        <w:ind w:left="540" w:right="80" w:hanging="424"/>
        <w:spacing w:after="0" w:line="243"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and the three months ended March 31, 2021 have been prepared to give effect to (i) the conversion of all outstanding convertible preferred stock into 54,208,461 shares of common stock immediately prior to the completion of this offering and (ii) the conversion of all outstanding redeemable convertible preferred stock into 7,823,478 shares of common stock and 5,988,378 shares of non-voting common stock immediately prior to the completion of this offering. As we are in a loss position, the 75,000 warrants for the purchase of common stock, 381,000 warrants for the purchase of convertible preferred stock, 516,555 shares of restricted stock awards, and 16,496,223 outstanding options would be antidilutive and therefore have been excluded from the computation of pro forma diluted net loss per share attributable to common stockholders and non-voting common stockholders. For the computation of per share amounts, common stockholders include holders of common stock and non-voting common stock and common stock outstanding and weighted average common shares include common stock and non-voting common stock.</w:t>
      </w:r>
    </w:p>
    <w:p>
      <w:pPr>
        <w:spacing w:after="0" w:line="99" w:lineRule="exact"/>
        <w:rPr>
          <w:rFonts w:ascii="Arial" w:cs="Arial" w:eastAsia="Arial" w:hAnsi="Arial"/>
          <w:sz w:val="14"/>
          <w:szCs w:val="14"/>
          <w:color w:val="auto"/>
        </w:rPr>
      </w:pPr>
    </w:p>
    <w:p>
      <w:pPr>
        <w:ind w:left="560" w:right="40"/>
        <w:spacing w:after="0" w:line="247" w:lineRule="auto"/>
        <w:rPr>
          <w:rFonts w:ascii="Arial" w:cs="Arial" w:eastAsia="Arial" w:hAnsi="Arial"/>
          <w:sz w:val="14"/>
          <w:szCs w:val="14"/>
          <w:color w:val="auto"/>
        </w:rPr>
      </w:pPr>
      <w:r>
        <w:rPr>
          <w:rFonts w:ascii="Arial" w:cs="Arial" w:eastAsia="Arial" w:hAnsi="Arial"/>
          <w:sz w:val="14"/>
          <w:szCs w:val="14"/>
          <w:color w:val="auto"/>
        </w:rPr>
        <w:t>The unaudited pro forma net loss per share attributable to common stockholders and non-voting common stockholders was computed using the weighted average number of shares of common stock and non-voting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and non-voting common stock as if such conversion had occurred at the beginning of the respective reporting period, or their issuance dates, if later.</w:t>
      </w:r>
    </w:p>
    <w:p>
      <w:pPr>
        <w:spacing w:after="0" w:line="93" w:lineRule="exact"/>
        <w:rPr>
          <w:rFonts w:ascii="Arial" w:cs="Arial" w:eastAsia="Arial" w:hAnsi="Arial"/>
          <w:sz w:val="14"/>
          <w:szCs w:val="14"/>
          <w:color w:val="auto"/>
        </w:rPr>
      </w:pPr>
    </w:p>
    <w:p>
      <w:pPr>
        <w:ind w:left="560" w:right="40"/>
        <w:spacing w:after="0" w:line="249" w:lineRule="auto"/>
        <w:rPr>
          <w:rFonts w:ascii="Arial" w:cs="Arial" w:eastAsia="Arial" w:hAnsi="Arial"/>
          <w:sz w:val="14"/>
          <w:szCs w:val="14"/>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and non-voting common stockholders giving effect to the aforementioned (i) conversion of all outstanding shares of convertible preferred stock into shares of common stock, and (ii) conversion of all outstanding shares of redeemable convertible preferred stock into shares of common stock and non-voting common stock, for the periods presented:</w:t>
      </w:r>
    </w:p>
    <w:p>
      <w:pPr>
        <w:spacing w:after="0" w:line="8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080" w:type="dxa"/>
            <w:vAlign w:val="bottom"/>
          </w:tcPr>
          <w:p>
            <w:pPr>
              <w:spacing w:after="0"/>
              <w:rPr>
                <w:sz w:val="15"/>
                <w:szCs w:val="15"/>
                <w:color w:val="auto"/>
              </w:rPr>
            </w:pPr>
          </w:p>
        </w:tc>
        <w:tc>
          <w:tcPr>
            <w:tcW w:w="2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6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w:t>
            </w: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Pro forma net loss attributable to common stockholders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2340" w:type="dxa"/>
            <w:vAlign w:val="bottom"/>
            <w:gridSpan w:val="2"/>
          </w:tcPr>
          <w:p>
            <w:pPr>
              <w:jc w:val="right"/>
              <w:ind w:right="1160"/>
              <w:spacing w:after="0"/>
              <w:rPr>
                <w:sz w:val="20"/>
                <w:szCs w:val="20"/>
                <w:color w:val="auto"/>
              </w:rPr>
            </w:pPr>
            <w:r>
              <w:rPr>
                <w:rFonts w:ascii="Arial" w:cs="Arial" w:eastAsia="Arial" w:hAnsi="Arial"/>
                <w:sz w:val="14"/>
                <w:szCs w:val="14"/>
                <w:color w:val="auto"/>
              </w:rPr>
              <w:t>(11,121)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(8,657)</w:t>
            </w:r>
          </w:p>
        </w:tc>
      </w:tr>
      <w:tr>
        <w:trPr>
          <w:trHeight w:val="162"/>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Plus: Accretion of preferred stock to redemption value</w:t>
            </w:r>
          </w:p>
        </w:tc>
        <w:tc>
          <w:tcPr>
            <w:tcW w:w="18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right"/>
              <w:ind w:right="1220"/>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r>
      <w:tr>
        <w:trPr>
          <w:trHeight w:val="169"/>
        </w:trPr>
        <w:tc>
          <w:tcPr>
            <w:tcW w:w="6080" w:type="dxa"/>
            <w:vAlign w:val="bottom"/>
          </w:tcPr>
          <w:p>
            <w:pPr>
              <w:ind w:left="280"/>
              <w:spacing w:after="0"/>
              <w:rPr>
                <w:sz w:val="20"/>
                <w:szCs w:val="20"/>
                <w:color w:val="auto"/>
              </w:rPr>
            </w:pPr>
            <w:r>
              <w:rPr>
                <w:rFonts w:ascii="Arial" w:cs="Arial" w:eastAsia="Arial" w:hAnsi="Arial"/>
                <w:sz w:val="14"/>
                <w:szCs w:val="14"/>
                <w:color w:val="auto"/>
              </w:rPr>
              <w:t>Plus: Change in fair value of preferred stock warrant liability</w:t>
            </w:r>
          </w:p>
        </w:tc>
        <w:tc>
          <w:tcPr>
            <w:tcW w:w="180" w:type="dxa"/>
            <w:vAlign w:val="bottom"/>
          </w:tcPr>
          <w:p>
            <w:pPr>
              <w:spacing w:after="0"/>
              <w:rPr>
                <w:sz w:val="14"/>
                <w:szCs w:val="14"/>
                <w:color w:val="auto"/>
              </w:rPr>
            </w:pPr>
          </w:p>
        </w:tc>
        <w:tc>
          <w:tcPr>
            <w:tcW w:w="2340" w:type="dxa"/>
            <w:vAlign w:val="bottom"/>
            <w:gridSpan w:val="2"/>
          </w:tcPr>
          <w:p>
            <w:pPr>
              <w:jc w:val="right"/>
              <w:ind w:right="1220"/>
              <w:spacing w:after="0"/>
              <w:rPr>
                <w:sz w:val="20"/>
                <w:szCs w:val="20"/>
                <w:color w:val="auto"/>
              </w:rPr>
            </w:pPr>
            <w:r>
              <w:rPr>
                <w:rFonts w:ascii="Arial" w:cs="Arial" w:eastAsia="Arial" w:hAnsi="Arial"/>
                <w:sz w:val="14"/>
                <w:szCs w:val="14"/>
                <w:color w:val="auto"/>
              </w:rPr>
              <w:t>625</w:t>
            </w:r>
          </w:p>
        </w:tc>
        <w:tc>
          <w:tcPr>
            <w:tcW w:w="1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954</w:t>
            </w:r>
          </w:p>
        </w:tc>
      </w:tr>
      <w:tr>
        <w:trPr>
          <w:trHeight w:val="167"/>
        </w:trPr>
        <w:tc>
          <w:tcPr>
            <w:tcW w:w="6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 forma net loss attributable to common stockholders - basic and</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608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2340" w:type="dxa"/>
            <w:vAlign w:val="bottom"/>
            <w:gridSpan w:val="2"/>
            <w:shd w:val="clear" w:color="auto" w:fill="CCEEFF"/>
          </w:tcPr>
          <w:p>
            <w:pPr>
              <w:jc w:val="right"/>
              <w:ind w:right="1160"/>
              <w:spacing w:after="0" w:line="157" w:lineRule="exact"/>
              <w:rPr>
                <w:sz w:val="20"/>
                <w:szCs w:val="20"/>
                <w:color w:val="auto"/>
              </w:rPr>
            </w:pPr>
            <w:r>
              <w:rPr>
                <w:rFonts w:ascii="Arial" w:cs="Arial" w:eastAsia="Arial" w:hAnsi="Arial"/>
                <w:sz w:val="14"/>
                <w:szCs w:val="14"/>
                <w:color w:val="auto"/>
              </w:rPr>
              <w:t>(10,482)</w:t>
            </w: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(7,698)</w:t>
            </w: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9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700" w:type="dxa"/>
            <w:vAlign w:val="bottom"/>
          </w:tcPr>
          <w:p>
            <w:pPr>
              <w:spacing w:after="0"/>
              <w:rPr>
                <w:sz w:val="15"/>
                <w:szCs w:val="15"/>
                <w:color w:val="auto"/>
              </w:rPr>
            </w:pPr>
          </w:p>
        </w:tc>
        <w:tc>
          <w:tcPr>
            <w:tcW w:w="19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Denominator:</w:t>
            </w:r>
          </w:p>
        </w:tc>
        <w:tc>
          <w:tcPr>
            <w:tcW w:w="1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900" w:type="dxa"/>
            <w:vAlign w:val="bottom"/>
          </w:tcPr>
          <w:p>
            <w:pPr>
              <w:ind w:left="280"/>
              <w:spacing w:after="0"/>
              <w:rPr>
                <w:sz w:val="20"/>
                <w:szCs w:val="20"/>
                <w:color w:val="auto"/>
              </w:rPr>
            </w:pPr>
            <w:r>
              <w:rPr>
                <w:rFonts w:ascii="Arial" w:cs="Arial" w:eastAsia="Arial" w:hAnsi="Arial"/>
                <w:sz w:val="14"/>
                <w:szCs w:val="14"/>
                <w:color w:val="auto"/>
              </w:rPr>
              <w:t>Weighted-average common shares used to compute net loss per share</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4900" w:type="dxa"/>
            <w:vAlign w:val="bottom"/>
          </w:tcPr>
          <w:p>
            <w:pPr>
              <w:ind w:left="440"/>
              <w:spacing w:after="0" w:line="157" w:lineRule="exact"/>
              <w:rPr>
                <w:sz w:val="20"/>
                <w:szCs w:val="20"/>
                <w:color w:val="auto"/>
              </w:rPr>
            </w:pPr>
            <w:r>
              <w:rPr>
                <w:rFonts w:ascii="Arial" w:cs="Arial" w:eastAsia="Arial" w:hAnsi="Arial"/>
                <w:sz w:val="14"/>
                <w:szCs w:val="14"/>
                <w:color w:val="auto"/>
              </w:rPr>
              <w:t>attributable to common stockholders - basic and diluted</w:t>
            </w:r>
          </w:p>
        </w:tc>
        <w:tc>
          <w:tcPr>
            <w:tcW w:w="3000" w:type="dxa"/>
            <w:vAlign w:val="bottom"/>
            <w:gridSpan w:val="5"/>
          </w:tcPr>
          <w:p>
            <w:pPr>
              <w:jc w:val="right"/>
              <w:ind w:right="468"/>
              <w:spacing w:after="0" w:line="157" w:lineRule="exact"/>
              <w:rPr>
                <w:sz w:val="20"/>
                <w:szCs w:val="20"/>
                <w:color w:val="auto"/>
              </w:rPr>
            </w:pPr>
            <w:r>
              <w:rPr>
                <w:rFonts w:ascii="Arial" w:cs="Arial" w:eastAsia="Arial" w:hAnsi="Arial"/>
                <w:sz w:val="14"/>
                <w:szCs w:val="14"/>
                <w:color w:val="auto"/>
              </w:rPr>
              <w:t>18,389,898</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21,100,077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 forma adjustment to reflect the conversion of convertible preferred</w:t>
            </w: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49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stock to common stock upon the completion of the proposed IPO</w:t>
            </w:r>
          </w:p>
        </w:tc>
        <w:tc>
          <w:tcPr>
            <w:tcW w:w="3000" w:type="dxa"/>
            <w:vAlign w:val="bottom"/>
            <w:gridSpan w:val="5"/>
            <w:shd w:val="clear" w:color="auto" w:fill="CCEEFF"/>
          </w:tcPr>
          <w:p>
            <w:pPr>
              <w:jc w:val="right"/>
              <w:ind w:right="468"/>
              <w:spacing w:after="0" w:line="157" w:lineRule="exact"/>
              <w:rPr>
                <w:sz w:val="20"/>
                <w:szCs w:val="20"/>
                <w:color w:val="auto"/>
              </w:rPr>
            </w:pPr>
            <w:r>
              <w:rPr>
                <w:rFonts w:ascii="Arial" w:cs="Arial" w:eastAsia="Arial" w:hAnsi="Arial"/>
                <w:sz w:val="14"/>
                <w:szCs w:val="14"/>
                <w:color w:val="auto"/>
              </w:rPr>
              <w:t>54,208,461</w:t>
            </w: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54,208,461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900" w:type="dxa"/>
            <w:vAlign w:val="bottom"/>
          </w:tcPr>
          <w:p>
            <w:pPr>
              <w:ind w:left="280"/>
              <w:spacing w:after="0"/>
              <w:rPr>
                <w:sz w:val="20"/>
                <w:szCs w:val="20"/>
                <w:color w:val="auto"/>
              </w:rPr>
            </w:pPr>
            <w:r>
              <w:rPr>
                <w:rFonts w:ascii="Arial" w:cs="Arial" w:eastAsia="Arial" w:hAnsi="Arial"/>
                <w:sz w:val="14"/>
                <w:szCs w:val="14"/>
                <w:color w:val="auto"/>
              </w:rPr>
              <w:t>Pro forma adjustment to reflect the conversion of redeemable</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900" w:type="dxa"/>
            <w:vAlign w:val="bottom"/>
          </w:tcPr>
          <w:p>
            <w:pPr>
              <w:ind w:left="440"/>
              <w:spacing w:after="0"/>
              <w:rPr>
                <w:sz w:val="20"/>
                <w:szCs w:val="20"/>
                <w:color w:val="auto"/>
              </w:rPr>
            </w:pPr>
            <w:r>
              <w:rPr>
                <w:rFonts w:ascii="Arial" w:cs="Arial" w:eastAsia="Arial" w:hAnsi="Arial"/>
                <w:sz w:val="14"/>
                <w:szCs w:val="14"/>
                <w:color w:val="auto"/>
              </w:rPr>
              <w:t>convertible preferred stock to common stock upon the completion of</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Pr>
          <w:p>
            <w:pPr>
              <w:spacing w:after="0"/>
              <w:rPr>
                <w:sz w:val="14"/>
                <w:szCs w:val="14"/>
                <w:color w:val="auto"/>
              </w:rPr>
            </w:pPr>
          </w:p>
        </w:tc>
        <w:tc>
          <w:tcPr>
            <w:tcW w:w="4900" w:type="dxa"/>
            <w:vAlign w:val="bottom"/>
          </w:tcPr>
          <w:p>
            <w:pPr>
              <w:ind w:left="440"/>
              <w:spacing w:after="0" w:line="157" w:lineRule="exact"/>
              <w:rPr>
                <w:sz w:val="20"/>
                <w:szCs w:val="20"/>
                <w:color w:val="auto"/>
              </w:rPr>
            </w:pPr>
            <w:r>
              <w:rPr>
                <w:rFonts w:ascii="Arial" w:cs="Arial" w:eastAsia="Arial" w:hAnsi="Arial"/>
                <w:sz w:val="14"/>
                <w:szCs w:val="14"/>
                <w:color w:val="auto"/>
              </w:rPr>
              <w:t>the proposed IPO</w:t>
            </w:r>
          </w:p>
        </w:tc>
        <w:tc>
          <w:tcPr>
            <w:tcW w:w="1160" w:type="dxa"/>
            <w:vAlign w:val="bottom"/>
          </w:tcPr>
          <w:p>
            <w:pPr>
              <w:spacing w:after="0"/>
              <w:rPr>
                <w:sz w:val="14"/>
                <w:szCs w:val="14"/>
                <w:color w:val="auto"/>
              </w:rPr>
            </w:pPr>
          </w:p>
        </w:tc>
        <w:tc>
          <w:tcPr>
            <w:tcW w:w="130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13,811,856</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13,811,856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 forma common shares outstanding - basic and diluted</w:t>
            </w:r>
          </w:p>
        </w:tc>
        <w:tc>
          <w:tcPr>
            <w:tcW w:w="3000" w:type="dxa"/>
            <w:vAlign w:val="bottom"/>
            <w:gridSpan w:val="5"/>
            <w:shd w:val="clear" w:color="auto" w:fill="CCEEFF"/>
          </w:tcPr>
          <w:p>
            <w:pPr>
              <w:jc w:val="right"/>
              <w:ind w:right="468"/>
              <w:spacing w:after="0"/>
              <w:rPr>
                <w:sz w:val="20"/>
                <w:szCs w:val="20"/>
                <w:color w:val="auto"/>
              </w:rPr>
            </w:pPr>
            <w:r>
              <w:rPr>
                <w:rFonts w:ascii="Arial" w:cs="Arial" w:eastAsia="Arial" w:hAnsi="Arial"/>
                <w:sz w:val="14"/>
                <w:szCs w:val="14"/>
                <w:color w:val="auto"/>
              </w:rPr>
              <w:t>86,410,215</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89,120,394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900" w:type="dxa"/>
            <w:vAlign w:val="bottom"/>
            <w:vMerge w:val="restart"/>
          </w:tcPr>
          <w:p>
            <w:pPr>
              <w:ind w:left="580"/>
              <w:spacing w:after="0"/>
              <w:rPr>
                <w:sz w:val="20"/>
                <w:szCs w:val="20"/>
                <w:color w:val="auto"/>
              </w:rPr>
            </w:pPr>
            <w:r>
              <w:rPr>
                <w:rFonts w:ascii="Arial" w:cs="Arial" w:eastAsia="Arial" w:hAnsi="Arial"/>
                <w:sz w:val="14"/>
                <w:szCs w:val="14"/>
                <w:color w:val="auto"/>
              </w:rPr>
              <w:t>Pro forma net loss per share attributable to common stockholders -</w:t>
            </w:r>
          </w:p>
        </w:tc>
        <w:tc>
          <w:tcPr>
            <w:tcW w:w="1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 w:type="dxa"/>
            <w:vAlign w:val="bottom"/>
          </w:tcPr>
          <w:p>
            <w:pPr>
              <w:spacing w:after="0"/>
              <w:rPr>
                <w:sz w:val="13"/>
                <w:szCs w:val="13"/>
                <w:color w:val="auto"/>
              </w:rPr>
            </w:pPr>
          </w:p>
        </w:tc>
        <w:tc>
          <w:tcPr>
            <w:tcW w:w="49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4900" w:type="dxa"/>
            <w:vAlign w:val="bottom"/>
          </w:tcPr>
          <w:p>
            <w:pPr>
              <w:ind w:left="720"/>
              <w:spacing w:after="0" w:line="157" w:lineRule="exact"/>
              <w:rPr>
                <w:sz w:val="20"/>
                <w:szCs w:val="20"/>
                <w:color w:val="auto"/>
              </w:rPr>
            </w:pPr>
            <w:r>
              <w:rPr>
                <w:rFonts w:ascii="Arial" w:cs="Arial" w:eastAsia="Arial" w:hAnsi="Arial"/>
                <w:sz w:val="14"/>
                <w:szCs w:val="14"/>
                <w:color w:val="auto"/>
              </w:rPr>
              <w:t>basic and diluted</w:t>
            </w:r>
          </w:p>
        </w:tc>
        <w:tc>
          <w:tcPr>
            <w:tcW w:w="1160" w:type="dxa"/>
            <w:vAlign w:val="bottom"/>
          </w:tcPr>
          <w:p>
            <w:pPr>
              <w:spacing w:after="0"/>
              <w:rPr>
                <w:sz w:val="13"/>
                <w:szCs w:val="13"/>
                <w:color w:val="auto"/>
              </w:rPr>
            </w:pPr>
          </w:p>
        </w:tc>
        <w:tc>
          <w:tcPr>
            <w:tcW w:w="7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28"/>
              <w:spacing w:after="0" w:line="157" w:lineRule="exact"/>
              <w:rPr>
                <w:sz w:val="20"/>
                <w:szCs w:val="20"/>
                <w:color w:val="auto"/>
              </w:rPr>
            </w:pPr>
            <w:r>
              <w:rPr>
                <w:rFonts w:ascii="Arial" w:cs="Arial" w:eastAsia="Arial" w:hAnsi="Arial"/>
                <w:sz w:val="14"/>
                <w:szCs w:val="14"/>
                <w:color w:val="auto"/>
              </w:rPr>
              <w:t>(0.12)</w:t>
            </w:r>
          </w:p>
        </w:tc>
        <w:tc>
          <w:tcPr>
            <w:tcW w:w="1120" w:type="dxa"/>
            <w:vAlign w:val="bottom"/>
            <w:gridSpan w:val="2"/>
          </w:tcPr>
          <w:p>
            <w:pPr>
              <w:jc w:val="center"/>
              <w:ind w:left="275"/>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(0.09)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bottom w:val="single" w:sz="8" w:color="auto"/>
            </w:tcBorders>
            <w:gridSpan w:val="2"/>
          </w:tcPr>
          <w:p>
            <w:pPr>
              <w:jc w:val="center"/>
              <w:ind w:left="2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3"/>
          </w:tcPr>
          <w:p>
            <w:pPr>
              <w:jc w:val="center"/>
              <w:ind w:left="75"/>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2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86,027</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$104,052</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$146,313</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w w:val="98"/>
              </w:rPr>
              <w:t>140,998</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271,442</w:t>
            </w:r>
          </w:p>
        </w:tc>
        <w:tc>
          <w:tcPr>
            <w:tcW w:w="136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302,321</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25,402</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60,178</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119,501</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3,895</w:t>
            </w:r>
          </w:p>
        </w:tc>
        <w:tc>
          <w:tcPr>
            <w:tcW w:w="7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20,738</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24,352</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24,402</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1,307</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1,932</w:t>
            </w:r>
          </w:p>
        </w:tc>
        <w:tc>
          <w:tcPr>
            <w:tcW w:w="136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w w:val="98"/>
              </w:rPr>
              <w:t>110,401</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110,401</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110,401</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119,769</w:t>
            </w:r>
          </w:p>
        </w:tc>
        <w:tc>
          <w:tcPr>
            <w:tcW w:w="136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179,509</w:t>
            </w:r>
          </w:p>
        </w:tc>
        <w:tc>
          <w:tcPr>
            <w:tcW w:w="0" w:type="dxa"/>
            <w:vAlign w:val="bottom"/>
          </w:tcPr>
          <w:p>
            <w:pPr>
              <w:spacing w:after="0"/>
              <w:rPr>
                <w:sz w:val="1"/>
                <w:szCs w:val="1"/>
                <w:color w:val="auto"/>
              </w:rPr>
            </w:pPr>
          </w:p>
        </w:tc>
      </w:tr>
      <w:tr>
        <w:trPr>
          <w:trHeight w:val="217"/>
        </w:trPr>
        <w:tc>
          <w:tcPr>
            <w:tcW w:w="534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8"/>
                <w:szCs w:val="18"/>
                <w:color w:val="auto"/>
              </w:rPr>
              <w:t>(75,278)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(81,762)</w:t>
            </w:r>
          </w:p>
        </w:tc>
        <w:tc>
          <w:tcPr>
            <w:tcW w:w="1360" w:type="dxa"/>
            <w:vAlign w:val="bottom"/>
            <w:gridSpan w:val="5"/>
          </w:tcPr>
          <w:p>
            <w:pPr>
              <w:jc w:val="right"/>
              <w:ind w:right="60"/>
              <w:spacing w:after="0"/>
              <w:rPr>
                <w:sz w:val="20"/>
                <w:szCs w:val="20"/>
                <w:color w:val="auto"/>
              </w:rPr>
            </w:pPr>
            <w:r>
              <w:rPr>
                <w:rFonts w:ascii="Arial" w:cs="Arial" w:eastAsia="Arial" w:hAnsi="Arial"/>
                <w:sz w:val="18"/>
                <w:szCs w:val="18"/>
                <w:color w:val="auto"/>
              </w:rPr>
              <w:t>(77,310)</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tcPr>
          <w:p>
            <w:pPr>
              <w:jc w:val="right"/>
              <w:ind w:right="821"/>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205740</wp:posOffset>
            </wp:positionV>
            <wp:extent cx="4894580" cy="4200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9458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90" w:lineRule="exact"/>
        <w:rPr>
          <w:sz w:val="20"/>
          <w:szCs w:val="20"/>
          <w:color w:val="auto"/>
        </w:rPr>
      </w:pPr>
    </w:p>
    <w:p>
      <w:pPr>
        <w:ind w:left="880" w:right="100" w:hanging="224"/>
        <w:spacing w:after="0" w:line="253"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30.5% period-over-period from approximately $5.8 billion during the year ended December 31, 2019 to over $7.5 billion during the year ended December 31, 2020.</w:t>
      </w:r>
    </w:p>
    <w:p>
      <w:pPr>
        <w:spacing w:after="0" w:line="150" w:lineRule="exact"/>
        <w:rPr>
          <w:sz w:val="20"/>
          <w:szCs w:val="20"/>
          <w:color w:val="auto"/>
        </w:rPr>
      </w:pPr>
    </w:p>
    <w:p>
      <w:pPr>
        <w:ind w:left="1000" w:right="560"/>
        <w:spacing w:after="0" w:line="246" w:lineRule="auto"/>
        <w:rPr>
          <w:sz w:val="20"/>
          <w:szCs w:val="20"/>
          <w:color w:val="auto"/>
        </w:rPr>
      </w:pPr>
      <w:r>
        <w:rPr>
          <w:rFonts w:ascii="Arial" w:cs="Arial" w:eastAsia="Arial" w:hAnsi="Arial"/>
          <w:sz w:val="18"/>
          <w:szCs w:val="18"/>
          <w:color w:val="auto"/>
        </w:rPr>
        <w:t>We have grown our Total Payment Volume by approximately 70.1% period-over-period from $1.7 billion during the three months ended March 31, 2020 to $2.9 billion during the three months ended March 31, 2021.</w:t>
      </w:r>
    </w:p>
    <w:p>
      <w:pPr>
        <w:spacing w:after="0" w:line="175" w:lineRule="exact"/>
        <w:rPr>
          <w:sz w:val="20"/>
          <w:szCs w:val="20"/>
          <w:color w:val="auto"/>
        </w:rPr>
      </w:pPr>
    </w:p>
    <w:p>
      <w:pPr>
        <w:ind w:left="880" w:right="20" w:hanging="224"/>
        <w:spacing w:after="0" w:line="253"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we have added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240 countries and territories and 130 currencies.</w:t>
      </w:r>
    </w:p>
    <w:p>
      <w:pPr>
        <w:spacing w:after="0" w:line="168"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153" w:lineRule="exact"/>
        <w:rPr>
          <w:rFonts w:ascii="Arial" w:cs="Arial" w:eastAsia="Arial" w:hAnsi="Arial"/>
          <w:sz w:val="18"/>
          <w:szCs w:val="18"/>
          <w:color w:val="auto"/>
        </w:rPr>
      </w:pPr>
    </w:p>
    <w:p>
      <w:pPr>
        <w:ind w:left="880" w:right="50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and 2019, our net dollar-based retention rate was approximately 126%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128%, respectively. In 2020, despite the impact of the COVID-19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7" w:lineRule="auto"/>
        <w:rPr>
          <w:sz w:val="20"/>
          <w:szCs w:val="20"/>
          <w:color w:val="auto"/>
        </w:rPr>
      </w:pPr>
      <w:r>
        <w:rPr>
          <w:rFonts w:ascii="Arial" w:cs="Arial" w:eastAsia="Arial" w:hAnsi="Arial"/>
          <w:sz w:val="18"/>
          <w:szCs w:val="18"/>
          <w:color w:val="auto"/>
        </w:rPr>
        <w:t>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7"/>
          <w:szCs w:val="17"/>
          <w:color w:val="auto"/>
        </w:rPr>
        <w:t>Today, we serve over 2,250 clients around the world. In education alone, we serve more than 1,900 institutions and 1.6 million students globally as of December 31, 2020.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200 clients as of December 31, 2020.</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w:t>
      </w:r>
    </w:p>
    <w:p>
      <w:pPr>
        <w:ind w:left="120"/>
        <w:spacing w:after="0" w:line="234" w:lineRule="auto"/>
        <w:rPr>
          <w:sz w:val="20"/>
          <w:szCs w:val="20"/>
          <w:color w:val="auto"/>
        </w:rPr>
      </w:pPr>
      <w:r>
        <w:rPr>
          <w:rFonts w:ascii="Arial" w:cs="Arial" w:eastAsia="Arial" w:hAnsi="Arial"/>
          <w:sz w:val="18"/>
          <w:szCs w:val="18"/>
          <w:color w:val="auto"/>
        </w:rPr>
        <w:t>achieve significant scale. We enabled more than $7.5 billion in TPV during the year ended December 31, 2020 and $2.9 billion in TPV</w:t>
      </w:r>
    </w:p>
    <w:p>
      <w:pPr>
        <w:ind w:left="120"/>
        <w:spacing w:after="0" w:line="235" w:lineRule="auto"/>
        <w:rPr>
          <w:sz w:val="20"/>
          <w:szCs w:val="20"/>
          <w:color w:val="auto"/>
        </w:rPr>
      </w:pPr>
      <w:r>
        <w:rPr>
          <w:rFonts w:ascii="Arial" w:cs="Arial" w:eastAsia="Arial" w:hAnsi="Arial"/>
          <w:sz w:val="18"/>
          <w:szCs w:val="18"/>
          <w:color w:val="auto"/>
        </w:rPr>
        <w:t>during the three months ended March 31, 2021. We generated revenue of $94.9 million and $131.8 million for the years ended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2019 and 2020, respectively, and incurred net losses of $20.1 million and $11.1 million for those same years. We generated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of $32.7 million and $45.0 million for the three months ended March 31, 2020 and March 31, 2021, respectively and incurred net</w:t>
      </w:r>
    </w:p>
    <w:p>
      <w:pPr>
        <w:ind w:left="120"/>
        <w:spacing w:after="0" w:line="234" w:lineRule="auto"/>
        <w:rPr>
          <w:sz w:val="20"/>
          <w:szCs w:val="20"/>
          <w:color w:val="auto"/>
        </w:rPr>
      </w:pPr>
      <w:r>
        <w:rPr>
          <w:rFonts w:ascii="Arial" w:cs="Arial" w:eastAsia="Arial" w:hAnsi="Arial"/>
          <w:sz w:val="18"/>
          <w:szCs w:val="18"/>
          <w:color w:val="auto"/>
        </w:rPr>
        <w:t>income of $3.7 million and a net loss of $8.7 million, respectively, for the same three-month periods. Pro forma revenue and pro forma net</w:t>
      </w:r>
    </w:p>
    <w:p>
      <w:pPr>
        <w:ind w:left="120"/>
        <w:spacing w:after="0" w:line="235" w:lineRule="auto"/>
        <w:rPr>
          <w:sz w:val="20"/>
          <w:szCs w:val="20"/>
          <w:color w:val="auto"/>
        </w:rPr>
      </w:pPr>
      <w:r>
        <w:rPr>
          <w:rFonts w:ascii="Arial" w:cs="Arial" w:eastAsia="Arial" w:hAnsi="Arial"/>
          <w:sz w:val="18"/>
          <w:szCs w:val="18"/>
          <w:color w:val="auto"/>
        </w:rPr>
        <w:t>loss for the year ended December 31, 2020, as if our acquisition of Simplee had occurred on January 1, 2020, was $136.3 million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$14.8 million, respectively.</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6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Revenue Model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7" w:lineRule="exact"/>
        <w:rPr>
          <w:sz w:val="20"/>
          <w:szCs w:val="20"/>
          <w:color w:val="auto"/>
        </w:rPr>
      </w:pPr>
    </w:p>
    <w:p>
      <w:pPr>
        <w:jc w:val="both"/>
        <w:ind w:left="120" w:right="620" w:firstLine="440"/>
        <w:spacing w:after="0" w:line="250"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rate applied to the total payment value of the transaction, which can vary based on the payment method currency pair conversion and the geographic region 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58" w:lineRule="exact"/>
        <w:rPr>
          <w:sz w:val="20"/>
          <w:szCs w:val="20"/>
          <w:color w:val="auto"/>
        </w:rPr>
      </w:pPr>
    </w:p>
    <w:p>
      <w:pPr>
        <w:ind w:left="120" w:right="400" w:firstLine="440"/>
        <w:spacing w:after="0" w:line="250"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(ii) fees collected on payment plans established by our clients on our payment platform, (iii) subscription fees and (iv) fees related to printing and mailing services which we consider to be ancillary to the solutions we provide to our clients.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 -house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07"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Borrowings incurred under our credit facility accrue interest at a floating per annum rate equal to the greater of (i) 5.25% above the prime rate; or (ii) 8.50%. As of March 31, 2021, $25.0 million was outstanding under our credit facility. An immediate 10% increase or decrease in interest rates would not have a material effect on our financial position, results of operations or cash flows.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Acquisition</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In February 2020, we acquired all of the issued and outstanding shares of Simplee for a purchase price of $86.5 million including $79.4 million of cash consideration, net of cash acquired and the estimated fair value of contingent consideration of $ 7.1 million. Contingent consideration represents additional payments that we may be required to make in the future, which totals up to $ 20.0 million, depending on our reaching certain revenue and integration targets established for the years ended December 31, 2020 and 2021, as well as retaining key clients. Simplee is a provider of healthcare payment and collection software. The Simplee acquisition brings a highly complementary client base with whom we can further expand our capabilities, and additional platform and healthcare specific software capabilities with which we believe we can acquire additional clients in the healthcare market. Since the acquisition date through December 31, 2020, Simplee contributed $34.1 million in platform and usage-based fee revenue. During the three months ended March 31, 2021, Simplee contributed $10.2 million in platform and usage-based fee revenue.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w w:val="99"/>
              </w:rPr>
              <w:t>In Millions (Except Gross Margin and Adjusted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9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Margin)</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Payment Volume</w:t>
            </w:r>
          </w:p>
        </w:tc>
        <w:tc>
          <w:tcPr>
            <w:tcW w:w="19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5,756.9</w:t>
            </w: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7,513.3</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1,683.3</w:t>
            </w: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2,862.7</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94.9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131.8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32.7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114.6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398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58.7%</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61.5%</w:t>
            </w: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68.4%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For the year ended December 31, 2020, transaction revenue and platform and usage-based fee revenue represented 68.0% and 32.0% of our revenue, respectively. For the year ended December 31, 2020 transaction revenue and platform and usage-based fee revenue represented 77.0% and 23.0% of our total revenue less ancillary services, respectively.</w:t>
      </w:r>
    </w:p>
    <w:p>
      <w:pPr>
        <w:spacing w:after="0" w:line="16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For the three months ended March 31, 2021, transaction revenue and platform and usage-based fee revenue represented 72.0% and 28.0% of our revenue, respectively. For the three months ended March 31, 2021, transaction revenue and platform and usage-based fee revenue represented 79.9% and 20.1% of our total revenue less ancillary services, respectively.</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year ended December 31, 2020, our total payment volume was approximately $7.5 billion, consisting of $4.7 billion of total payment volume from transactions included in transaction revenue and $2.8 billion of total payment volume from transactions included in platform and usage-based fee revenue. For the year ended December 31, 2019, our total payment volume was approximately $5.8 billion, consisting of $4.7 billion of total payment volume from transactions included in transaction revenue and $1.1 billion of total payment volume from transactions included in platform and usage-based fee revenue.</w:t>
      </w:r>
    </w:p>
    <w:p>
      <w:pPr>
        <w:spacing w:after="0" w:line="175"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For the three months ended March 31, 2021, our total payment volume was approximately $2.9 billion, consisting of $1.7 billion of total payment volume from transactions included in transaction revenue, and $1.2 billion of total payment volume from transactions included in platform and usage-based fee revenue. For the three months ended March 31, 2020, our total payment volume was approximately $1.7 billion, consisting of $1.2 billion of total payment volume from transactions included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446" w:lineRule="auto"/>
        <w:rPr>
          <w:sz w:val="20"/>
          <w:szCs w:val="20"/>
          <w:color w:val="auto"/>
        </w:rPr>
      </w:pPr>
      <w:r>
        <w:rPr>
          <w:rFonts w:ascii="Arial" w:cs="Arial" w:eastAsia="Arial" w:hAnsi="Arial"/>
          <w:sz w:val="18"/>
          <w:szCs w:val="18"/>
          <w:color w:val="auto"/>
        </w:rPr>
        <w:t xml:space="preserve">in transaction revenue, and $0.5 billion of total payment volume from transactions included in platform and usage-based fee revenue. </w:t>
      </w:r>
      <w:r>
        <w:rPr>
          <w:rFonts w:ascii="Arial" w:cs="Arial" w:eastAsia="Arial" w:hAnsi="Arial"/>
          <w:sz w:val="18"/>
          <w:szCs w:val="18"/>
          <w:b w:val="1"/>
          <w:bCs w:val="1"/>
          <w:i w:val="1"/>
          <w:iCs w:val="1"/>
          <w:color w:val="auto"/>
        </w:rPr>
        <w:t>Total Payment Volume</w:t>
      </w:r>
    </w:p>
    <w:p>
      <w:pPr>
        <w:ind w:left="120" w:right="160" w:firstLine="440"/>
        <w:spacing w:after="0" w:line="238"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6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85" w:lineRule="exact"/>
        <w:rPr>
          <w:sz w:val="20"/>
          <w:szCs w:val="20"/>
          <w:color w:val="auto"/>
        </w:rPr>
      </w:pPr>
    </w:p>
    <w:p>
      <w:pPr>
        <w:ind w:left="880" w:right="20" w:hanging="224"/>
        <w:spacing w:after="0" w:line="250"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after excluding (i)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and mailing services and (ii) marketing fees. We exclude these amounts to arrive at this supplemental non-GAAP financial measure as we view these services as ancillary to the primary services we provide to our clients.</w:t>
      </w:r>
    </w:p>
    <w:p>
      <w:pPr>
        <w:spacing w:after="0" w:line="176" w:lineRule="exact"/>
        <w:rPr>
          <w:rFonts w:ascii="Arial" w:cs="Arial" w:eastAsia="Arial" w:hAnsi="Arial"/>
          <w:sz w:val="18"/>
          <w:szCs w:val="18"/>
          <w:color w:val="auto"/>
        </w:rPr>
      </w:pPr>
    </w:p>
    <w:p>
      <w:pPr>
        <w:ind w:left="880" w:right="80" w:hanging="224"/>
        <w:spacing w:after="0" w:line="242"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Adjusted Gross Margin</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18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p>
    <w:p>
      <w:pPr>
        <w:spacing w:after="0" w:line="17" w:lineRule="exact"/>
        <w:rPr>
          <w:rFonts w:ascii="Arial" w:cs="Arial" w:eastAsia="Arial" w:hAnsi="Arial"/>
          <w:sz w:val="18"/>
          <w:szCs w:val="18"/>
          <w:color w:val="auto"/>
        </w:rPr>
      </w:pPr>
    </w:p>
    <w:p>
      <w:pPr>
        <w:ind w:left="880" w:right="500" w:hanging="8"/>
        <w:spacing w:after="0" w:line="234" w:lineRule="auto"/>
        <w:tabs>
          <w:tab w:leader="none" w:pos="11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(iv) other income (expense), net,</w:t>
      </w:r>
    </w:p>
    <w:p>
      <w:pPr>
        <w:spacing w:after="0" w:line="1" w:lineRule="exact"/>
        <w:rPr>
          <w:rFonts w:ascii="Arial" w:cs="Arial" w:eastAsia="Arial" w:hAnsi="Arial"/>
          <w:sz w:val="18"/>
          <w:szCs w:val="18"/>
          <w:color w:val="auto"/>
        </w:rPr>
      </w:pPr>
    </w:p>
    <w:p>
      <w:pPr>
        <w:ind w:left="880" w:right="220" w:hanging="8"/>
        <w:spacing w:after="0"/>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93"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on a consolidated basis for the periods presented.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Less Ancillary Services and Adjusted Gross Margin: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 Except for Gross Margin and Adjusted</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Margin)</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7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40" w:type="dxa"/>
            <w:vAlign w:val="bottom"/>
          </w:tcPr>
          <w:p>
            <w:pPr>
              <w:spacing w:after="0"/>
              <w:rPr>
                <w:sz w:val="17"/>
                <w:szCs w:val="17"/>
                <w:color w:val="auto"/>
              </w:rPr>
            </w:pPr>
          </w:p>
        </w:tc>
        <w:tc>
          <w:tcPr>
            <w:tcW w:w="12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36.7</w:t>
            </w:r>
          </w:p>
        </w:tc>
        <w:tc>
          <w:tcPr>
            <w:tcW w:w="180" w:type="dxa"/>
            <w:vAlign w:val="bottom"/>
          </w:tcPr>
          <w:p>
            <w:pPr>
              <w:spacing w:after="0"/>
              <w:rPr>
                <w:sz w:val="17"/>
                <w:szCs w:val="17"/>
                <w:color w:val="auto"/>
              </w:rPr>
            </w:pPr>
          </w:p>
        </w:tc>
        <w:tc>
          <w:tcPr>
            <w:tcW w:w="12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47.8</w:t>
            </w:r>
          </w:p>
        </w:tc>
        <w:tc>
          <w:tcPr>
            <w:tcW w:w="160" w:type="dxa"/>
            <w:vAlign w:val="bottom"/>
          </w:tcPr>
          <w:p>
            <w:pPr>
              <w:spacing w:after="0"/>
              <w:rPr>
                <w:sz w:val="17"/>
                <w:szCs w:val="17"/>
                <w:color w:val="auto"/>
              </w:rPr>
            </w:pPr>
          </w:p>
        </w:tc>
        <w:tc>
          <w:tcPr>
            <w:tcW w:w="12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Hosting and amortization costs within technology and development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Adjusted to:</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Exclude printing and mailing costs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7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Costs of revenue less ancillary services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Adjusted Gross Profit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55.7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79.5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Twelve Months</w:t>
            </w:r>
          </w:p>
        </w:tc>
        <w:tc>
          <w:tcPr>
            <w:tcW w:w="0" w:type="dxa"/>
            <w:vAlign w:val="bottom"/>
          </w:tcPr>
          <w:p>
            <w:pPr>
              <w:spacing w:after="0"/>
              <w:rPr>
                <w:sz w:val="1"/>
                <w:szCs w:val="1"/>
                <w:color w:val="auto"/>
              </w:rPr>
            </w:pPr>
          </w:p>
        </w:tc>
      </w:tr>
      <w:tr>
        <w:trPr>
          <w:trHeight w:val="203"/>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20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1300"/>
              <w:spacing w:after="0" w:line="202" w:lineRule="exact"/>
              <w:rPr>
                <w:sz w:val="20"/>
                <w:szCs w:val="20"/>
                <w:color w:val="auto"/>
              </w:rPr>
            </w:pPr>
            <w:r>
              <w:rPr>
                <w:rFonts w:ascii="Arial" w:cs="Arial" w:eastAsia="Arial" w:hAnsi="Arial"/>
                <w:sz w:val="18"/>
                <w:szCs w:val="18"/>
                <w:b w:val="1"/>
                <w:bCs w:val="1"/>
                <w:color w:val="auto"/>
              </w:rPr>
              <w:t>Platform and</w:t>
            </w:r>
          </w:p>
        </w:tc>
        <w:tc>
          <w:tcPr>
            <w:tcW w:w="20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32"/>
        </w:trPr>
        <w:tc>
          <w:tcPr>
            <w:tcW w:w="1660" w:type="dxa"/>
            <w:vAlign w:val="bottom"/>
            <w:tcBorders>
              <w:bottom w:val="single" w:sz="8" w:color="auto"/>
            </w:tcBorders>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400" w:type="dxa"/>
            <w:vAlign w:val="bottom"/>
          </w:tcPr>
          <w:p>
            <w:pPr>
              <w:spacing w:after="0"/>
              <w:rPr>
                <w:sz w:val="20"/>
                <w:szCs w:val="20"/>
                <w:color w:val="auto"/>
              </w:rPr>
            </w:pPr>
          </w:p>
        </w:tc>
        <w:tc>
          <w:tcPr>
            <w:tcW w:w="2620" w:type="dxa"/>
            <w:vAlign w:val="bottom"/>
            <w:gridSpan w:val="3"/>
          </w:tcPr>
          <w:p>
            <w:pPr>
              <w:ind w:left="20"/>
              <w:spacing w:after="0"/>
              <w:rPr>
                <w:sz w:val="20"/>
                <w:szCs w:val="20"/>
                <w:color w:val="auto"/>
              </w:rPr>
            </w:pPr>
            <w:r>
              <w:rPr>
                <w:rFonts w:ascii="Arial" w:cs="Arial" w:eastAsia="Arial" w:hAnsi="Arial"/>
                <w:sz w:val="18"/>
                <w:szCs w:val="18"/>
                <w:b w:val="1"/>
                <w:bCs w:val="1"/>
                <w:color w:val="auto"/>
              </w:rPr>
              <w:t>Usage-Based Fee</w:t>
            </w:r>
          </w:p>
        </w:tc>
        <w:tc>
          <w:tcPr>
            <w:tcW w:w="1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6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42.2</w:t>
            </w:r>
          </w:p>
        </w:tc>
        <w:tc>
          <w:tcPr>
            <w:tcW w:w="1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Pass-through cost for printing and</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rPr>
              <w:t>mailing</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36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1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2"/>
          </w:tcPr>
          <w:p>
            <w:pPr>
              <w:spacing w:after="0" w:line="196" w:lineRule="exact"/>
              <w:rPr>
                <w:sz w:val="20"/>
                <w:szCs w:val="20"/>
                <w:color w:val="auto"/>
              </w:rPr>
            </w:pPr>
            <w:r>
              <w:rPr>
                <w:rFonts w:ascii="Arial" w:cs="Arial" w:eastAsia="Arial" w:hAnsi="Arial"/>
                <w:sz w:val="18"/>
                <w:szCs w:val="18"/>
                <w:color w:val="auto"/>
              </w:rPr>
              <w:t>Percentage of Revenue</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68.0%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940"/>
              <w:spacing w:after="0" w:line="196"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7"/>
                <w:szCs w:val="17"/>
                <w:color w:val="auto"/>
              </w:rPr>
            </w:pPr>
          </w:p>
        </w:tc>
        <w:tc>
          <w:tcPr>
            <w:tcW w:w="1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less Ancillary</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Services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340" w:type="dxa"/>
            <w:vAlign w:val="bottom"/>
            <w:gridSpan w:val="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3220" w:type="dxa"/>
            <w:vAlign w:val="bottom"/>
            <w:gridSpan w:val="2"/>
            <w:vMerge w:val="restart"/>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7"/>
          </w:tcPr>
          <w:p>
            <w:pPr>
              <w:ind w:left="200"/>
              <w:spacing w:after="0" w:line="202" w:lineRule="exact"/>
              <w:rPr>
                <w:sz w:val="20"/>
                <w:szCs w:val="20"/>
                <w:color w:val="auto"/>
              </w:rPr>
            </w:pPr>
            <w:r>
              <w:rPr>
                <w:rFonts w:ascii="Arial" w:cs="Arial" w:eastAsia="Arial" w:hAnsi="Arial"/>
                <w:sz w:val="18"/>
                <w:szCs w:val="18"/>
                <w:b w:val="1"/>
                <w:bCs w:val="1"/>
                <w:color w:val="auto"/>
              </w:rPr>
              <w:t>Platform and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7"/>
          </w:tcPr>
          <w:p>
            <w:pPr>
              <w:jc w:val="center"/>
              <w:ind w:right="220"/>
              <w:spacing w:after="0" w:line="202" w:lineRule="exact"/>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2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460" w:type="dxa"/>
            <w:vAlign w:val="bottom"/>
          </w:tcPr>
          <w:p>
            <w:pPr>
              <w:spacing w:after="0"/>
              <w:rPr>
                <w:sz w:val="20"/>
                <w:szCs w:val="20"/>
                <w:color w:val="auto"/>
              </w:rPr>
            </w:pPr>
          </w:p>
        </w:tc>
        <w:tc>
          <w:tcPr>
            <w:tcW w:w="2380" w:type="dxa"/>
            <w:vAlign w:val="bottom"/>
            <w:gridSpan w:val="10"/>
          </w:tcPr>
          <w:p>
            <w:pPr>
              <w:spacing w:after="0"/>
              <w:rPr>
                <w:sz w:val="20"/>
                <w:szCs w:val="20"/>
                <w:color w:val="auto"/>
              </w:rPr>
            </w:pPr>
            <w:r>
              <w:rPr>
                <w:rFonts w:ascii="Arial" w:cs="Arial" w:eastAsia="Arial" w:hAnsi="Arial"/>
                <w:sz w:val="18"/>
                <w:szCs w:val="18"/>
                <w:b w:val="1"/>
                <w:bCs w:val="1"/>
                <w:color w:val="auto"/>
              </w:rPr>
              <w:t>Usage-Based Fee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6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12.6</w:t>
            </w:r>
          </w:p>
        </w:tc>
        <w:tc>
          <w:tcPr>
            <w:tcW w:w="4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8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220" w:type="dxa"/>
            <w:vAlign w:val="bottom"/>
            <w:gridSpan w:val="3"/>
          </w:tcPr>
          <w:p>
            <w:pPr>
              <w:spacing w:after="0" w:line="196" w:lineRule="exact"/>
              <w:rPr>
                <w:sz w:val="20"/>
                <w:szCs w:val="20"/>
                <w:color w:val="auto"/>
              </w:rPr>
            </w:pPr>
            <w:r>
              <w:rPr>
                <w:rFonts w:ascii="Arial" w:cs="Arial" w:eastAsia="Arial" w:hAnsi="Arial"/>
                <w:sz w:val="18"/>
                <w:szCs w:val="18"/>
                <w:color w:val="auto"/>
              </w:rPr>
              <w:t>Percentage of Revenue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72.0%</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4"/>
          </w:tcPr>
          <w:p>
            <w:pPr>
              <w:jc w:val="right"/>
              <w:ind w:right="300"/>
              <w:spacing w:after="0" w:line="196" w:lineRule="exact"/>
              <w:rPr>
                <w:sz w:val="20"/>
                <w:szCs w:val="20"/>
                <w:color w:val="auto"/>
              </w:rPr>
            </w:pPr>
            <w:r>
              <w:rPr>
                <w:rFonts w:ascii="Arial" w:cs="Arial" w:eastAsia="Arial" w:hAnsi="Arial"/>
                <w:sz w:val="18"/>
                <w:szCs w:val="18"/>
                <w:color w:val="auto"/>
              </w:rPr>
              <w:t>28.0%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79.9%</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EBITDA and Adjusted EBITDA:</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8"/>
              </w:rPr>
              <w:t>Three Months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8"/>
          </w:tcPr>
          <w:p>
            <w:pPr>
              <w:ind w:left="260"/>
              <w:spacing w:after="0" w:line="202" w:lineRule="exact"/>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ind w:left="250"/>
              <w:spacing w:after="0" w:line="202" w:lineRule="exact"/>
              <w:rPr>
                <w:sz w:val="20"/>
                <w:szCs w:val="20"/>
                <w:color w:val="auto"/>
              </w:rPr>
            </w:pPr>
            <w:r>
              <w:rPr>
                <w:rFonts w:ascii="Arial" w:cs="Arial" w:eastAsia="Arial" w:hAnsi="Arial"/>
                <w:sz w:val="18"/>
                <w:szCs w:val="18"/>
                <w:b w:val="1"/>
                <w:bCs w:val="1"/>
                <w:color w:val="auto"/>
              </w:rPr>
              <w:t>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3220" w:type="dxa"/>
            <w:vAlign w:val="bottom"/>
            <w:gridSpan w:val="2"/>
            <w:vMerge w:val="restart"/>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9"/>
              </w:rPr>
              <w:t>March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2019</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140"/>
              <w:spacing w:after="0" w:line="182" w:lineRule="exact"/>
              <w:rPr>
                <w:sz w:val="20"/>
                <w:szCs w:val="20"/>
                <w:color w:val="auto"/>
              </w:rPr>
            </w:pPr>
            <w:r>
              <w:rPr>
                <w:rFonts w:ascii="Arial" w:cs="Arial" w:eastAsia="Arial" w:hAnsi="Arial"/>
                <w:sz w:val="18"/>
                <w:szCs w:val="18"/>
                <w:b w:val="1"/>
                <w:bCs w:val="1"/>
                <w:color w:val="auto"/>
                <w:w w:val="99"/>
              </w:rPr>
              <w:t>2020</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2020</w:t>
            </w:r>
          </w:p>
        </w:tc>
        <w:tc>
          <w:tcPr>
            <w:tcW w:w="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(11.1)</w:t>
            </w: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Change in fair value of preferred stock liability</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15"/>
                <w:szCs w:val="15"/>
                <w:color w:val="auto"/>
              </w:rPr>
              <w:t>(3)</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3"/>
          </w:tcPr>
          <w:p>
            <w:pPr>
              <w:ind w:left="6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340" w:right="40" w:hanging="224"/>
        <w:spacing w:after="0" w:line="241"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 ended December 31, 2019, other (income) expense consisted of interest income of $0.6 million and losses from remeasurement of foreign currency transactions into their functional currency of $0.1 million. For the year ended December 31, 2020, other (income) expense consisted of interest income of $0.1 million and gains from the remeasurement of foreign currency transactions into their functional currency of $0.6 million. For the three months ended March 31, 2020, other (income) expense consisted of interest income of less than $0.1 million and losses from remeasurement of foreign currency transactions into their functional currency of less than $0.1 million. For the three months ended March 31, 2021, other (income) expense consisted of losses from the remeasurement of foreign currency transactions into their functional currency of $0.4 million.</w:t>
      </w:r>
    </w:p>
    <w:p>
      <w:pPr>
        <w:spacing w:after="0" w:line="2" w:lineRule="exact"/>
        <w:rPr>
          <w:rFonts w:ascii="Arial" w:cs="Arial" w:eastAsia="Arial" w:hAnsi="Arial"/>
          <w:sz w:val="14"/>
          <w:szCs w:val="14"/>
          <w:color w:val="auto"/>
        </w:rPr>
      </w:pPr>
    </w:p>
    <w:p>
      <w:pPr>
        <w:ind w:left="340" w:hanging="224"/>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Acquisition related costs consisted of legal and advisory fees incurred in connection with the Simplee acquisition.</w:t>
      </w:r>
    </w:p>
    <w:p>
      <w:pPr>
        <w:spacing w:after="0" w:line="1" w:lineRule="exact"/>
        <w:rPr>
          <w:rFonts w:ascii="Arial" w:cs="Arial" w:eastAsia="Arial" w:hAnsi="Arial"/>
          <w:sz w:val="14"/>
          <w:szCs w:val="14"/>
          <w:color w:val="auto"/>
        </w:rPr>
      </w:pPr>
    </w:p>
    <w:p>
      <w:pPr>
        <w:ind w:left="340" w:hanging="224"/>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Simplee’s employees in connection with integration of the business.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9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46"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6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20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9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unprecedented and rapid spread of COVID-19 as well as the shelter-in-place orders, promotion of social distancing measures, restrictions to businesses deemed non-essential, and travel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We will continue to evaluate the nature and extent of these potential impacts to our business, consolidated financial statements, and liquidity.</w:t>
      </w:r>
    </w:p>
    <w:p>
      <w:pPr>
        <w:spacing w:after="0" w:line="17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 ended December 31, 2020 or the three months ended March 31, 2021. We continue to monitor any effects that may result from the CARES Act or other government relief programs that are made available.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total revenue that we generate from our healthcare clients will continue.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207"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We also reduced our workforce by approximately 12% during the spring of 2020.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Revenue</w:t>
      </w:r>
    </w:p>
    <w:p>
      <w:pPr>
        <w:spacing w:after="0" w:line="203"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64"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Platform and Usage-Based Fee Revenue</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93" w:lineRule="exact"/>
        <w:rPr>
          <w:sz w:val="20"/>
          <w:szCs w:val="20"/>
          <w:color w:val="auto"/>
        </w:rPr>
      </w:pPr>
    </w:p>
    <w:p>
      <w:pPr>
        <w:ind w:left="120" w:right="80" w:firstLine="440"/>
        <w:spacing w:after="0" w:line="234"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w:t>
      </w:r>
    </w:p>
    <w:p>
      <w:pPr>
        <w:ind w:left="380" w:hanging="264"/>
        <w:spacing w:after="0" w:line="238"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hardware and software engineering, consultant services and other costs associated with our technology platform and products,</w:t>
      </w:r>
    </w:p>
    <w:p>
      <w:pPr>
        <w:ind w:left="340" w:hanging="224"/>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research materials and facilities, and (g) depreciation and maintenance expense.</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assets, marketing program expenses, travel-related expenses and costs to market and promote our solutions through advertisements, marketing events, partnership arrangements, and direct customer acquisition.</w:t>
      </w:r>
    </w:p>
    <w:p>
      <w:pPr>
        <w:spacing w:after="0" w:line="170"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 -to-market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incurred on our Loan and Security Agreement (LSA) with a lender. During 2019, we borrowed</w:t>
      </w:r>
    </w:p>
    <w:p>
      <w:pPr>
        <w:ind w:left="120"/>
        <w:spacing w:after="0"/>
        <w:rPr>
          <w:sz w:val="20"/>
          <w:szCs w:val="20"/>
          <w:color w:val="auto"/>
        </w:rPr>
      </w:pPr>
      <w:r>
        <w:rPr>
          <w:rFonts w:ascii="Arial" w:cs="Arial" w:eastAsia="Arial" w:hAnsi="Arial"/>
          <w:sz w:val="17"/>
          <w:szCs w:val="17"/>
          <w:color w:val="auto"/>
        </w:rPr>
        <w:t>$25.0 million under the LSA to complete our acquisition of OnPlan Holdings LLC. On April 25, 2020, we entered into a Joinder and Second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LSA to refinance the LSA. As part of the refinancing, the lender re-advanced $4.2 million of principal paid on the loan</w:t>
      </w:r>
    </w:p>
    <w:p>
      <w:pPr>
        <w:ind w:left="120"/>
        <w:spacing w:after="0" w:line="234" w:lineRule="auto"/>
        <w:rPr>
          <w:sz w:val="20"/>
          <w:szCs w:val="20"/>
          <w:color w:val="auto"/>
        </w:rPr>
      </w:pPr>
      <w:r>
        <w:rPr>
          <w:rFonts w:ascii="Arial" w:cs="Arial" w:eastAsia="Arial" w:hAnsi="Arial"/>
          <w:sz w:val="18"/>
          <w:szCs w:val="18"/>
          <w:color w:val="auto"/>
        </w:rPr>
        <w:t>through May 1, 2020. The LSA is interest only until May 2023 and bears annual interest at a rate equal to the greater of (i) 5.25% above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prime rate or (ii) 8.50%. Previously, our interest rate was at an annual fixed rate of 8.5%.</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 for net share settlement 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We will no longer have the change in fair value of preferred stock warrant liability in our consolidated statements of operations and comprehensive loss after the closing of this offering.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9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2020 and 2021</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296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3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w:t>
            </w:r>
          </w:p>
        </w:tc>
        <w:tc>
          <w:tcPr>
            <w:tcW w:w="66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and service costs</w:t>
            </w:r>
          </w:p>
        </w:tc>
        <w:tc>
          <w:tcPr>
            <w:tcW w:w="16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4.5</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46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Total costs and operating expense</w:t>
            </w:r>
          </w:p>
        </w:tc>
        <w:tc>
          <w:tcPr>
            <w:tcW w:w="16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51.5</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15.7</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(0.6)</w:t>
            </w:r>
          </w:p>
        </w:tc>
        <w:tc>
          <w:tcPr>
            <w:tcW w:w="12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(0.0)</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preferred stock warrant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(0.7)</w:t>
            </w:r>
          </w:p>
        </w:tc>
        <w:tc>
          <w:tcPr>
            <w:tcW w:w="11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14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(0.4)</w:t>
            </w:r>
          </w:p>
        </w:tc>
        <w:tc>
          <w:tcPr>
            <w:tcW w:w="12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(0.4)</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7.9</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(12.4)</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0.4</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Revenue was $45.0 million for the three months ended March 31, 2021, compared to $32.7 million for the three months ended March 31, 2020, an increase of $12.3 million or 37.6%.</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300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Transaction revenue</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25.2</w:t>
            </w:r>
          </w:p>
        </w:tc>
        <w:tc>
          <w:tcPr>
            <w:tcW w:w="34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c>
          <w:tcPr>
            <w:tcW w:w="64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5.1</w:t>
            </w:r>
          </w:p>
        </w:tc>
        <w:tc>
          <w:tcPr>
            <w:tcW w:w="11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12.3</w:t>
            </w:r>
          </w:p>
        </w:tc>
        <w:tc>
          <w:tcPr>
            <w:tcW w:w="11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Transaction revenue was $32.4 million for the three months ended March 31, 2021, compared to $25.2 million for the three months ended March 31, 2020, an increase of $7.2 million or 28.6%. The increase in transaction revenue was primarily driven by transactions originating in regions where we generate more transaction volume. Total payment volume increased 42.4% during the three months ended March 31, 2021 to $1.7 billion. This increase was partially offset by a $0.1 million decrease in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marketing services revenue. Our marketing services revenue declined as a result of our payment partners using fewer of our marketing services in the three months ended March 31, 2021 compared to the three months ended March 31, 2020.</w:t>
      </w:r>
    </w:p>
    <w:p>
      <w:pPr>
        <w:spacing w:after="0" w:line="170" w:lineRule="exact"/>
        <w:rPr>
          <w:sz w:val="20"/>
          <w:szCs w:val="20"/>
          <w:color w:val="auto"/>
        </w:rPr>
      </w:pPr>
    </w:p>
    <w:p>
      <w:pPr>
        <w:ind w:left="120" w:firstLine="440"/>
        <w:spacing w:after="0" w:line="234" w:lineRule="auto"/>
        <w:rPr>
          <w:sz w:val="20"/>
          <w:szCs w:val="20"/>
          <w:color w:val="auto"/>
        </w:rPr>
      </w:pPr>
      <w:r>
        <w:rPr>
          <w:rFonts w:ascii="Arial" w:cs="Arial" w:eastAsia="Arial" w:hAnsi="Arial"/>
          <w:sz w:val="18"/>
          <w:szCs w:val="18"/>
          <w:color w:val="auto"/>
        </w:rPr>
        <w:t>Platform and usage-based fee revenue was $12.6 million for the three months ended March 31, 2021, compared to $7.5 million for the three months ended March 31, 2020, an increase of $5.1 million or 68.0%. The increase in platform and usage-based fee revenue was driven primarily by the Simplee acquisition, which accounted for $4.7 million of the increase over the same period in 2020, of which</w:t>
      </w:r>
    </w:p>
    <w:p>
      <w:pPr>
        <w:spacing w:after="0" w:line="2"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$1.9 million was related to ancillary printing and mailing services. The remainder of the increase was attributable to increased usage by our clients.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18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Payment processing services costs were $16.1 million for the three months ended March 31, 2021, compared to $11.6 million for the three months ended March 31, 2020, an increase of $4.5 million or 38.8%. The increase in payment processing services costs is correlated with the increase in total payment volume of 70% over the same period, and was offset by lower processing costs related to bank, credit card and alternative payment transactions.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Technology and development expenses were $7.5 million for the three months ended March 31, 2021, compared to $5.3 million for the three months ended March 31, 2020, an increase of $2.2 million or 41.5%. The increase in technology and development cost was primarily driven by an increase in stock-based compensation expense, personnel costs, and an increase in amortization expense. Personnel costs were $3.8 million for the three months ended March 31, 2021, compared to $3.3 million for the three months ended March 31, 2020 an increase of $0.5 million or 15.2%. The increase in stock-based compensation expense was $1.1 million for the three months ended March 31, 2021, compared to $0.2 million for the three months ended March 31, 2020, an increase of $0.9 million. The increase in personnel costs was primarily driven by an increase in headcount within our technology and development teams partially offset by the capitalization of internally developed software costs during the period of $1.4 million. Amortization of intangible assets was</w:t>
      </w:r>
    </w:p>
    <w:p>
      <w:pPr>
        <w:spacing w:after="0" w:line="6"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$1.0 million for the three months ended March 31, 2021, compared to $0.7 million for the three months ended March 31, 2020, an increase of $0.3 million or 42.9%. The increase in amortization expense was the result of the acquisition of Simplee.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w:t>
      </w:r>
    </w:p>
    <w:p>
      <w:pPr>
        <w:spacing w:after="0" w:line="20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Selling and marketing expenses were $12.0 million for the three months ended March 31, 2021, compared to $8.6 million for the three months ended March 31, 2020, an increase of $3.4 million or 39.5%. The increase in selling and marketing expenses was primarily driven by an increase in personnel costs, and an increase in amortization expenses, partially offset by a decrease in travel related expenses. Stock-based compensation was $2.6 million for the three months ended March 31, 2021, compared to $0.3 million for the three months ended March 31, 2020, an increase of $2.3 million. Personnel costs increased by $0.9 million. The increase in personnel costs was primarily driven by an increase in headcount within our selling and marketing teams and commissions earned on sales during the period. Amortization of intangibles was $0.6 million for the three months ended March 31, 2021, compared to $0.4 million for the three months ended March 31, 2020, an increase of $0.2 million or 50.0%. The increase in amortization expense was the result of the acquisition of Simplee which added $48.3 million of acquired customer relationships, which have a weighted-average amortization period of 12 years. Travel related costs during the three months ended March 31, 2021 decreased by $0.5 million compared to the same period in 2020.</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General and administrative expenses were $15.9 million for the three months ended March 31, 2021, compared to $ 10.3 million for the three months ended March 31, 2020, an increase of $5.6 million or 54.4%. The increase in general and administrative expenses was primarily driven by the increase in stock-based compensation, professional fees and the change in the fair value of contingent consideration. These increases were partially offset by decreases in travel and acquisition related costs. Stock-based compensation was $6.6 million for the three months ended March 31, 2021, compared to $0.4 million for the three months ended March 31, 2020, an increase of $6.2 million. The increase in compensation is directly attributable to incremental compensation charges taken in relation to a secondary sale during the period that involved stockholders who were also our employees. Professional fees were $1.3 million for the three months ended March 31, 2021, compared to $0.9 million for the three months ended March 31, 2020, an increase of $0.4 million. The change in the fair value of contingent consideration related to acquisitions was ($0.0) million for the three months ended March 31, 2021, compared to ($0.3) million for the three months ended March 31, 2020, an increase of $0.3 million.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remained essentially unchanged at $0.6 million for the three months ended March 31, 2021 and 2020.</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change in fair value of preferred stock warrant liability was $1.0 million for the three months ended March 31, 2021, compared to $0.3 million for the three months ended March 31, 2020, an increase of $0.7 million. The increase in the fair value of the preferred stock warrant liability was due to the increase in the value of our preferred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Other income (expense), net, was ($0.4) million for the three months ended March 31, 2021, compared to less than $0.1 million for the three months ended March 31, 2020. Losses from the remeasurement of foreign currency transactions into their functional currencies were $0.4 million for the three months ended March 31, 2021, compared to less than $0.1 million for the three months ended March 31,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was $0.2 million during the three months ended March 31, 2021, compared to a benefit of</w:t>
      </w:r>
    </w:p>
    <w:p>
      <w:pPr>
        <w:ind w:left="120" w:right="200"/>
        <w:spacing w:after="0" w:line="238" w:lineRule="auto"/>
        <w:rPr>
          <w:sz w:val="20"/>
          <w:szCs w:val="20"/>
          <w:color w:val="auto"/>
        </w:rPr>
      </w:pPr>
      <w:r>
        <w:rPr>
          <w:rFonts w:ascii="Arial" w:cs="Arial" w:eastAsia="Arial" w:hAnsi="Arial"/>
          <w:sz w:val="18"/>
          <w:szCs w:val="18"/>
          <w:color w:val="auto"/>
        </w:rPr>
        <w:t>$7.7 million for the three months ended March 31, 2020, a reduction of $7.9 million. During the three months ended March 31, 2020, we recorded an income tax benefit of $7.7 million, which was primarily attributable to a non-recurring benefit of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2.4% for the three months ended March 31, 2021 compared to (192.5%) for the three months ended March 31, 2020.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year ended December 31, 2019 and 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35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2019</w:t>
            </w: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8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34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w:t>
            </w:r>
          </w:p>
        </w:tc>
        <w:tc>
          <w:tcPr>
            <w:tcW w:w="62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costs and operating expenses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147.6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35.2</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4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(0.6)</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Revenue was $131.8 million for the year ended December 31, 2020, compared to $94.9 million for the year ended December 31, 2019, an increase of $36.9 million or 38.9%. Revenue is comprised of transaction revenue and platform and usage-based fee revenue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2460" w:type="dxa"/>
            <w:vAlign w:val="bottom"/>
            <w:vMerge w:val="restart"/>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Transaction revenue</w:t>
            </w:r>
          </w:p>
        </w:tc>
        <w:tc>
          <w:tcPr>
            <w:tcW w:w="10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86.6</w:t>
            </w: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3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64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33.9</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131.8</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36.9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Transaction revenue was $89.6 million for the year ended December 31, 2020, compared to $86.6 million for the year ended December 31, 2019, an increase of $3.0 million or 3.5%. Although total payment volume from transactions included in transaction revenue were unchanged in 2020 compared to 2019, the increase in transaction revenue was primarily driven by an increase in the relative percentage of our total payment volume originating in regions where we generate higher transaction revenue. This increase was offset by a $4.1 million or 74.5% decrease in marketing services revenue. Our marketing services revenue declined as a result of our payment partners using fewer of our marketing services in 2020 compared to 2019.</w:t>
      </w:r>
    </w:p>
    <w:p>
      <w:pPr>
        <w:spacing w:after="0" w:line="164"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Platform and usage-based fee revenue was $42.2 million for the year ended December 31, 2020, compared to $8.3 million for the year ended December 31, 2019, an increase of $33.9 million or 408.4%. The increase in platform and usage-based fee revenue was driven primarily by the Simplee acquisition contributing $34.1 million in 2020, of which $14.6 million was related to ancillary printing and mailing services.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were $47.8 million for the year ended December 31, 2020, compared to $36.7 million for the year ended December 31, 2019, an increase of $11.1 million or 30.2%. The increase in payment processing services costs is correlated with the increase in total payment volume of 30.5%, offset by lower processing costs incurred related to bank, credit card and alternative payment transactions.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Technology and development expenses were $ 24.5 million for the year ended December 31, 2020, compared to $15.0 million for the year ended December 31, 2019, an increase of $9.5 million or 63.3%. The increase in technology and development cost was primarily driven by an increase in personnel cost and an increase in amortization expense. Personnel costs were $17.8 million for the year ended December 31, 2020, compared to $9.3 million for the year ended December 31, 2019, an increase of $8.5 million or 91.4%. The increase in personnel costs was primarily driven by an increase in headcount within our technology and development teams. Amortization of intangible assets was $2.1 million for the year ended December 31, 2020, compared to $1.8 million for the year ended December 31, 2019, an increase of $0.3 million or 16.7%. The increase in amortization expense was the result of the acquisition of Simplee which added $10.5 million of acquired developed technology in connection with this acquisition, which has a weighted-average amortization period of eight years.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8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Selling and marketing expenses were $32.6 million for the year ended December 31, 2020, compared to $26.6 million for the year ended December 31, 2019, an increase of $6.0 million or 22.6%. The increase in selling and marketing expenses was primarily driven by an increase in personnel costs and an increase in amortization expenses, offset by a decrease in travel related expenses. Personnel costs were $23.1 million for the year ended December 31, 2020, compared to $18.5 million for the year ended December 31, 2019, an increase of $4.6 million or 24.9%. The increase in personnel costs was primarily driven by an increase in headcount within our selling and marketing teams. Amortization of intangibles was $2.7 million for the year ended December 31, 2020, compared to $0.4 million for the year ended December 31, 2019, an increase of $ 2.3 million or 575.0%. The increase in amortization expense was the result of the acquisition of Simplee which added $48.3 million of acquired customer relationships, which have a weighted-average amortization period of 12 years. These increases were offset by reductions in travel-related expenses of $1.9 million due to COVID-19.</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General and administrative expenses were $42.7 million for the year ended December 31, 2020, compared to $34.1 million for the year ended December 31, 2019, an increase of $8.6 million or 25.2%. The increase in general and administrative expenses was primarily driven by the change in the fair value of contingent consideration, an increase personnel costs and an increase in professional services fees. The change in the fair value of contingent consideration related to acquisitions was $5.4 million for the year ended December 31, 2020, compared to $ 0.7 million in 2019, an increase of $4.7 million or 671.4%. Personnel costs were $ 19.6 million for the year ended December 31, 2020, compared to $16.6 million for the year ended December 31, 2019, an increase of $3.0 million or 18.1%. The increase in personnel costs was primarily driven by retention bonuses offered to Simplee employees as a result of our acquisition of Simplee. Professional fees were $5.3 million for the year ended December 31, 2020, compared to $3.8 million for the year ended December 31, 2019, an increase of $1.5 million or 39.5%. This increase was also attributable to our acquisition of Simplee. These increases were offset by a reduction in various other expenses due to COVID-19.</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Interest expense was $2.5 million for each of the years ended December 31, 2019 and December 31, 2020. During March 2020, we refinanced our LSA which resulted in $4.2 million in net proceeds, and a new interest rate per year.</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in fair value of preferred stock warrant liability was $0.7 million for the year ended December 31, 2020, compared to</w:t>
      </w:r>
    </w:p>
    <w:p>
      <w:pPr>
        <w:ind w:left="120" w:right="240"/>
        <w:spacing w:after="0" w:line="246" w:lineRule="auto"/>
        <w:rPr>
          <w:sz w:val="20"/>
          <w:szCs w:val="20"/>
          <w:color w:val="auto"/>
        </w:rPr>
      </w:pPr>
      <w:r>
        <w:rPr>
          <w:rFonts w:ascii="Arial" w:cs="Arial" w:eastAsia="Arial" w:hAnsi="Arial"/>
          <w:sz w:val="18"/>
          <w:szCs w:val="18"/>
          <w:color w:val="auto"/>
        </w:rPr>
        <w:t>$0.1 million for the year ended December 31, 2019, an increase of $0.6 million. The increase in preferred stock warrant liability was the result of an increase in the value of our preferred stock.</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Other income (expense), net, was $0.7 million for the year ended December 31, 2020, compared to $0.5 million for the year ended December 31, 2019, an increase of $ 0.2 million or 40.0%. Interest income was $0.1 million for the year ended December 31, 2020, compared to $0.6 million for the year ended December 31, 2019, a decrease of $0.5 million or 83.0% The decrease was attributable to lower interest rates on deposits, and a change in our investment policy due to the uncertainty caused by COVID-19. Gains from the remeasurement of foreign currency transactions into their functional currencies were $0.6 million for the year ended December 31, 2020, compared to losses of $0.1 million for the year ended December 31, 2019, an increase of $0.7 million. The increase was the result of the changes in foreign exchange rates against the U.S. Dollar, our financial reporting currency.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Provision for (benefit from) income taxes was ($ 7.2) million during the year ended December 31, 2020, compared to $0.5 million for the year ended December 31, 2019, an improvement of ($7.7) million or 1,540%. During the year ended December 31, 2020, we recorded an income tax benefit of $7.2 million, which was primarily attributable to a non-recurring benefit of $ 8.4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39.3% for the year ended December 31, 2020 compared to (3.0%) for the year ended December 31, 2019.</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w:t>
      </w:r>
    </w:p>
    <w:p>
      <w:pPr>
        <w:spacing w:after="0" w:line="20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following tables present our unaudited consolidated statements of operation data for each of the last six quarters in the period ended March 31, 2021, as well as the percentage of each line item to our total revenue for each quarter presented.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w w:val="99"/>
              </w:rPr>
              <w:t>(In Thousands)</w:t>
            </w:r>
          </w:p>
        </w:tc>
        <w:tc>
          <w:tcPr>
            <w:tcW w:w="2560" w:type="dxa"/>
            <w:vAlign w:val="bottom"/>
            <w:vMerge w:val="restart"/>
          </w:tcPr>
          <w:p>
            <w:pPr>
              <w:spacing w:after="0"/>
              <w:rPr>
                <w:sz w:val="14"/>
                <w:szCs w:val="14"/>
                <w:color w:val="auto"/>
              </w:rPr>
            </w:pPr>
          </w:p>
        </w:tc>
        <w:tc>
          <w:tcPr>
            <w:tcW w:w="1280" w:type="dxa"/>
            <w:vAlign w:val="bottom"/>
            <w:gridSpan w:val="3"/>
          </w:tcPr>
          <w:p>
            <w:pPr>
              <w:jc w:val="right"/>
              <w:ind w:right="220"/>
              <w:spacing w:after="0" w:line="165" w:lineRule="exact"/>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4"/>
                <w:szCs w:val="14"/>
                <w:color w:val="auto"/>
              </w:rPr>
            </w:pPr>
          </w:p>
        </w:tc>
        <w:tc>
          <w:tcPr>
            <w:tcW w:w="96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4"/>
                <w:szCs w:val="14"/>
                <w:color w:val="auto"/>
              </w:rPr>
            </w:pPr>
          </w:p>
        </w:tc>
        <w:tc>
          <w:tcPr>
            <w:tcW w:w="1020" w:type="dxa"/>
            <w:vAlign w:val="bottom"/>
            <w:gridSpan w:val="2"/>
          </w:tcPr>
          <w:p>
            <w:pPr>
              <w:jc w:val="center"/>
              <w:ind w:right="340"/>
              <w:spacing w:after="0" w:line="165" w:lineRule="exact"/>
              <w:rPr>
                <w:sz w:val="20"/>
                <w:szCs w:val="20"/>
                <w:color w:val="auto"/>
              </w:rPr>
            </w:pPr>
            <w:r>
              <w:rPr>
                <w:rFonts w:ascii="Arial" w:cs="Arial" w:eastAsia="Arial" w:hAnsi="Arial"/>
                <w:sz w:val="16"/>
                <w:szCs w:val="16"/>
                <w:b w:val="1"/>
                <w:bCs w:val="1"/>
                <w:color w:val="auto"/>
                <w:w w:val="99"/>
              </w:rPr>
              <w:t>June 30,</w:t>
            </w:r>
          </w:p>
        </w:tc>
        <w:tc>
          <w:tcPr>
            <w:tcW w:w="132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4"/>
                <w:szCs w:val="14"/>
                <w:color w:val="auto"/>
              </w:rPr>
            </w:pPr>
          </w:p>
        </w:tc>
        <w:tc>
          <w:tcPr>
            <w:tcW w:w="140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December 31,</w:t>
            </w:r>
          </w:p>
        </w:tc>
        <w:tc>
          <w:tcPr>
            <w:tcW w:w="76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160" w:type="dxa"/>
            <w:vAlign w:val="bottom"/>
            <w:tcBorders>
              <w:bottom w:val="single" w:sz="8" w:color="auto"/>
            </w:tcBorders>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22,084</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32,709</w:t>
            </w:r>
          </w:p>
        </w:tc>
        <w:tc>
          <w:tcPr>
            <w:tcW w:w="20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6"/>
                <w:szCs w:val="16"/>
                <w:color w:val="auto"/>
              </w:rPr>
              <w:t>$ 23,757</w:t>
            </w:r>
          </w:p>
        </w:tc>
        <w:tc>
          <w:tcPr>
            <w:tcW w:w="2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42,086</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6"/>
                <w:szCs w:val="16"/>
                <w:color w:val="auto"/>
              </w:rPr>
              <w:t>33,231</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44,991</w:t>
            </w: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Arial" w:cs="Arial" w:eastAsia="Arial" w:hAnsi="Arial"/>
                <w:sz w:val="16"/>
                <w:szCs w:val="16"/>
                <w:color w:val="auto"/>
              </w:rPr>
              <w:t>Costs and operating expenses: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Payment processing services costs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8,258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11,609</w:t>
            </w: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10,868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11,551</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16,091</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Technology and development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4,007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5,348</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6,378</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6,079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6,696</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Selling and marketing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8,577</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8,125</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7,640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8,270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General and administrative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9,862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10,265</w:t>
            </w:r>
          </w:p>
        </w:tc>
        <w:tc>
          <w:tcPr>
            <w:tcW w:w="200" w:type="dxa"/>
            <w:vAlign w:val="bottom"/>
          </w:tcPr>
          <w:p>
            <w:pPr>
              <w:spacing w:after="0"/>
              <w:rPr>
                <w:sz w:val="16"/>
                <w:szCs w:val="16"/>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13,548</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9,172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9,695</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15,914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costs and operating expenses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38,919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36,212</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51,458</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(7,041)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(3,090)</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(15,162)</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5,418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(2,981)</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(6,467)</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(925)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(597)</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(679)</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(673)</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91"/>
        </w:trPr>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Change in fair value of preferred stock</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 liability</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625</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other expenses, net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(891)</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(428)</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Income (loss) before provision for income taxes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(7,800)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(3,981)</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(15,725)</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4,839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(3,409)</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(8,453)</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(7,681)</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272</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622</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(7,994)</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 (15,997)</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5,221</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(4,031)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stock-based compensation as follows: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3"/>
          </w:tcPr>
          <w:p>
            <w:pPr>
              <w:jc w:val="right"/>
              <w:ind w:right="180"/>
              <w:spacing w:after="0" w:line="14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920" w:type="dxa"/>
            <w:vAlign w:val="bottom"/>
            <w:gridSpan w:val="3"/>
          </w:tcPr>
          <w:p>
            <w:pPr>
              <w:jc w:val="right"/>
              <w:ind w:right="340"/>
              <w:spacing w:after="0" w:line="143" w:lineRule="exact"/>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20" w:type="dxa"/>
            <w:vAlign w:val="bottom"/>
            <w:gridSpan w:val="3"/>
          </w:tcPr>
          <w:p>
            <w:pPr>
              <w:jc w:val="right"/>
              <w:ind w:right="180"/>
              <w:spacing w:after="0" w:line="14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Borders>
              <w:bottom w:val="single" w:sz="8" w:color="auto"/>
            </w:tcBorders>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Payment processing services costs</w:t>
            </w: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gridSpan w:val="2"/>
            <w:vMerge w:val="continue"/>
            <w:shd w:val="clear" w:color="auto" w:fill="CCEEFF"/>
          </w:tcPr>
          <w:p>
            <w:pPr>
              <w:spacing w:after="0"/>
              <w:rPr>
                <w:sz w:val="12"/>
                <w:szCs w:val="12"/>
                <w:color w:val="auto"/>
              </w:rPr>
            </w:pPr>
          </w:p>
        </w:tc>
        <w:tc>
          <w:tcPr>
            <w:tcW w:w="112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80"/>
              <w:spacing w:after="0"/>
              <w:rPr>
                <w:sz w:val="20"/>
                <w:szCs w:val="20"/>
                <w:color w:val="auto"/>
              </w:rPr>
            </w:pPr>
            <w:r>
              <w:rPr>
                <w:rFonts w:ascii="Arial" w:cs="Arial" w:eastAsia="Arial" w:hAnsi="Arial"/>
                <w:sz w:val="14"/>
                <w:szCs w:val="14"/>
                <w:color w:val="auto"/>
              </w:rPr>
              <w:t>Technology and development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Selling and marketing</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80"/>
              <w:spacing w:after="0"/>
              <w:rPr>
                <w:sz w:val="20"/>
                <w:szCs w:val="20"/>
                <w:color w:val="auto"/>
              </w:rPr>
            </w:pPr>
            <w:r>
              <w:rPr>
                <w:rFonts w:ascii="Arial" w:cs="Arial" w:eastAsia="Arial" w:hAnsi="Arial"/>
                <w:sz w:val="14"/>
                <w:szCs w:val="14"/>
                <w:color w:val="auto"/>
              </w:rPr>
              <w:t>General and administrative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421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483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6,635</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989</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1,036</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10,364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64"/>
        </w:trPr>
        <w:tc>
          <w:tcPr>
            <w:tcW w:w="2720" w:type="dxa"/>
            <w:vAlign w:val="bottom"/>
          </w:tcPr>
          <w:p>
            <w:pPr>
              <w:spacing w:after="0"/>
              <w:rPr>
                <w:sz w:val="14"/>
                <w:szCs w:val="14"/>
                <w:color w:val="auto"/>
              </w:rPr>
            </w:pPr>
          </w:p>
        </w:tc>
        <w:tc>
          <w:tcPr>
            <w:tcW w:w="1600" w:type="dxa"/>
            <w:vAlign w:val="bottom"/>
            <w:gridSpan w:val="2"/>
          </w:tcPr>
          <w:p>
            <w:pPr>
              <w:jc w:val="center"/>
              <w:ind w:right="540"/>
              <w:spacing w:after="0" w:line="165" w:lineRule="exact"/>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jc w:val="center"/>
              <w:ind w:right="480"/>
              <w:spacing w:after="0" w:line="165" w:lineRule="exact"/>
              <w:rPr>
                <w:sz w:val="20"/>
                <w:szCs w:val="20"/>
                <w:color w:val="auto"/>
              </w:rPr>
            </w:pPr>
            <w:r>
              <w:rPr>
                <w:rFonts w:ascii="Arial" w:cs="Arial" w:eastAsia="Arial" w:hAnsi="Arial"/>
                <w:sz w:val="16"/>
                <w:szCs w:val="16"/>
                <w:b w:val="1"/>
                <w:bCs w:val="1"/>
                <w:color w:val="auto"/>
              </w:rPr>
              <w:t>March 31,</w:t>
            </w:r>
          </w:p>
        </w:tc>
        <w:tc>
          <w:tcPr>
            <w:tcW w:w="1200" w:type="dxa"/>
            <w:vAlign w:val="bottom"/>
            <w:gridSpan w:val="2"/>
          </w:tcPr>
          <w:p>
            <w:pPr>
              <w:jc w:val="center"/>
              <w:ind w:right="520"/>
              <w:spacing w:after="0" w:line="165" w:lineRule="exact"/>
              <w:rPr>
                <w:sz w:val="20"/>
                <w:szCs w:val="20"/>
                <w:color w:val="auto"/>
              </w:rPr>
            </w:pPr>
            <w:r>
              <w:rPr>
                <w:rFonts w:ascii="Arial" w:cs="Arial" w:eastAsia="Arial" w:hAnsi="Arial"/>
                <w:sz w:val="16"/>
                <w:szCs w:val="16"/>
                <w:b w:val="1"/>
                <w:bCs w:val="1"/>
                <w:color w:val="auto"/>
                <w:w w:val="99"/>
              </w:rPr>
              <w:t>June 30,</w:t>
            </w:r>
          </w:p>
        </w:tc>
        <w:tc>
          <w:tcPr>
            <w:tcW w:w="1620" w:type="dxa"/>
            <w:vAlign w:val="bottom"/>
            <w:gridSpan w:val="2"/>
          </w:tcPr>
          <w:p>
            <w:pPr>
              <w:jc w:val="right"/>
              <w:ind w:right="500"/>
              <w:spacing w:after="0" w:line="165" w:lineRule="exact"/>
              <w:rPr>
                <w:sz w:val="20"/>
                <w:szCs w:val="20"/>
                <w:color w:val="auto"/>
              </w:rPr>
            </w:pPr>
            <w:r>
              <w:rPr>
                <w:rFonts w:ascii="Arial" w:cs="Arial" w:eastAsia="Arial" w:hAnsi="Arial"/>
                <w:sz w:val="16"/>
                <w:szCs w:val="16"/>
                <w:b w:val="1"/>
                <w:bCs w:val="1"/>
                <w:color w:val="auto"/>
              </w:rPr>
              <w:t>September 30,</w:t>
            </w:r>
          </w:p>
        </w:tc>
        <w:tc>
          <w:tcPr>
            <w:tcW w:w="1620" w:type="dxa"/>
            <w:vAlign w:val="bottom"/>
            <w:gridSpan w:val="2"/>
          </w:tcPr>
          <w:p>
            <w:pPr>
              <w:jc w:val="right"/>
              <w:ind w:right="560"/>
              <w:spacing w:after="0" w:line="165" w:lineRule="exact"/>
              <w:rPr>
                <w:sz w:val="20"/>
                <w:szCs w:val="20"/>
                <w:color w:val="auto"/>
              </w:rPr>
            </w:pPr>
            <w:r>
              <w:rPr>
                <w:rFonts w:ascii="Arial" w:cs="Arial" w:eastAsia="Arial" w:hAnsi="Arial"/>
                <w:sz w:val="16"/>
                <w:szCs w:val="16"/>
                <w:b w:val="1"/>
                <w:bCs w:val="1"/>
                <w:color w:val="auto"/>
                <w:w w:val="99"/>
              </w:rPr>
              <w:t>December 31,</w:t>
            </w:r>
          </w:p>
        </w:tc>
        <w:tc>
          <w:tcPr>
            <w:tcW w:w="7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4"/>
                <w:szCs w:val="14"/>
                <w:color w:val="auto"/>
              </w:rPr>
            </w:pPr>
          </w:p>
        </w:tc>
      </w:tr>
      <w:tr>
        <w:trPr>
          <w:trHeight w:val="207"/>
        </w:trPr>
        <w:tc>
          <w:tcPr>
            <w:tcW w:w="2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r>
      <w:tr>
        <w:trPr>
          <w:trHeight w:val="183"/>
        </w:trPr>
        <w:tc>
          <w:tcPr>
            <w:tcW w:w="27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Revenue</w:t>
            </w:r>
          </w:p>
        </w:tc>
        <w:tc>
          <w:tcPr>
            <w:tcW w:w="160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100%</w:t>
            </w:r>
          </w:p>
        </w:tc>
        <w:tc>
          <w:tcPr>
            <w:tcW w:w="126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100%</w:t>
            </w:r>
          </w:p>
        </w:tc>
        <w:tc>
          <w:tcPr>
            <w:tcW w:w="120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100%</w:t>
            </w:r>
          </w:p>
        </w:tc>
        <w:tc>
          <w:tcPr>
            <w:tcW w:w="162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100%</w:t>
            </w:r>
          </w:p>
        </w:tc>
        <w:tc>
          <w:tcPr>
            <w:tcW w:w="162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6"/>
                <w:szCs w:val="16"/>
                <w:color w:val="auto"/>
              </w:rPr>
              <w:t>100%</w:t>
            </w:r>
          </w:p>
        </w:tc>
        <w:tc>
          <w:tcPr>
            <w:tcW w:w="10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100%</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Costs and operating expenses: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1"/>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 processing</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services costs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35</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46</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33</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r>
      <w:tr>
        <w:trPr>
          <w:trHeight w:val="191"/>
        </w:trPr>
        <w:tc>
          <w:tcPr>
            <w:tcW w:w="2720" w:type="dxa"/>
            <w:vAlign w:val="bottom"/>
          </w:tcPr>
          <w:p>
            <w:pPr>
              <w:ind w:left="320"/>
              <w:spacing w:after="0"/>
              <w:rPr>
                <w:sz w:val="20"/>
                <w:szCs w:val="20"/>
                <w:color w:val="auto"/>
              </w:rPr>
            </w:pPr>
            <w:r>
              <w:rPr>
                <w:rFonts w:ascii="Arial" w:cs="Arial" w:eastAsia="Arial" w:hAnsi="Arial"/>
                <w:sz w:val="16"/>
                <w:szCs w:val="16"/>
                <w:color w:val="auto"/>
              </w:rPr>
              <w:t>Technology and</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7"/>
        </w:trPr>
        <w:tc>
          <w:tcPr>
            <w:tcW w:w="2720" w:type="dxa"/>
            <w:vAlign w:val="bottom"/>
          </w:tcPr>
          <w:p>
            <w:pPr>
              <w:ind w:left="480"/>
              <w:spacing w:after="0"/>
              <w:rPr>
                <w:sz w:val="20"/>
                <w:szCs w:val="20"/>
                <w:color w:val="auto"/>
              </w:rPr>
            </w:pPr>
            <w:r>
              <w:rPr>
                <w:rFonts w:ascii="Arial" w:cs="Arial" w:eastAsia="Arial" w:hAnsi="Arial"/>
                <w:sz w:val="16"/>
                <w:szCs w:val="16"/>
                <w:color w:val="auto"/>
              </w:rPr>
              <w:t>development</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18</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17</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27</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14</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20</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r>
      <w:tr>
        <w:trPr>
          <w:trHeight w:val="189"/>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and marketing</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34</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18</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w:t>
            </w:r>
          </w:p>
        </w:tc>
      </w:tr>
      <w:tr>
        <w:trPr>
          <w:trHeight w:val="196"/>
        </w:trPr>
        <w:tc>
          <w:tcPr>
            <w:tcW w:w="27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45</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31</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57</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22</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29</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35</w:t>
            </w:r>
          </w:p>
        </w:tc>
      </w:tr>
      <w:tr>
        <w:trPr>
          <w:trHeight w:val="191"/>
        </w:trPr>
        <w:tc>
          <w:tcPr>
            <w:tcW w:w="2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costs and</w:t>
            </w: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operating expenses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109</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164</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87</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r>
      <w:tr>
        <w:trPr>
          <w:trHeight w:val="20"/>
        </w:trPr>
        <w:tc>
          <w:tcPr>
            <w:tcW w:w="2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(32)</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(9)</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(64)</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13</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(9)</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r>
      <w:tr>
        <w:trPr>
          <w:trHeight w:val="18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72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(4)</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(2)</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(3)</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(1)</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r>
      <w:tr>
        <w:trPr>
          <w:trHeight w:val="191"/>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preferred stock warrant</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liability</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r>
      <w:tr>
        <w:trPr>
          <w:trHeight w:val="196"/>
        </w:trPr>
        <w:tc>
          <w:tcPr>
            <w:tcW w:w="272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0</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r>
      <w:tr>
        <w:trPr>
          <w:trHeight w:val="191"/>
        </w:trPr>
        <w:tc>
          <w:tcPr>
            <w:tcW w:w="2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expenses,</w:t>
            </w: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r>
      <w:tr>
        <w:trPr>
          <w:trHeight w:val="198"/>
        </w:trPr>
        <w:tc>
          <w:tcPr>
            <w:tcW w:w="2720" w:type="dxa"/>
            <w:vAlign w:val="bottom"/>
          </w:tcPr>
          <w:p>
            <w:pPr>
              <w:spacing w:after="0"/>
              <w:rPr>
                <w:sz w:val="20"/>
                <w:szCs w:val="20"/>
                <w:color w:val="auto"/>
              </w:rPr>
            </w:pPr>
            <w:r>
              <w:rPr>
                <w:rFonts w:ascii="Arial" w:cs="Arial" w:eastAsia="Arial" w:hAnsi="Arial"/>
                <w:sz w:val="16"/>
                <w:szCs w:val="16"/>
                <w:color w:val="auto"/>
              </w:rPr>
              <w:t>Income (loss) before provision for</w:t>
            </w:r>
          </w:p>
        </w:tc>
        <w:tc>
          <w:tcPr>
            <w:tcW w:w="10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7"/>
        </w:trPr>
        <w:tc>
          <w:tcPr>
            <w:tcW w:w="2720" w:type="dxa"/>
            <w:vAlign w:val="bottom"/>
          </w:tcPr>
          <w:p>
            <w:pPr>
              <w:ind w:left="160"/>
              <w:spacing w:after="0"/>
              <w:rPr>
                <w:sz w:val="20"/>
                <w:szCs w:val="20"/>
                <w:color w:val="auto"/>
              </w:rPr>
            </w:pPr>
            <w:r>
              <w:rPr>
                <w:rFonts w:ascii="Arial" w:cs="Arial" w:eastAsia="Arial" w:hAnsi="Arial"/>
                <w:sz w:val="16"/>
                <w:szCs w:val="16"/>
                <w:color w:val="auto"/>
              </w:rPr>
              <w:t>income taxes</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(35)</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(12)</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11</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r>
      <w:tr>
        <w:trPr>
          <w:trHeight w:val="191"/>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w:t>
            </w:r>
          </w:p>
        </w:tc>
      </w:tr>
      <w:tr>
        <w:trPr>
          <w:trHeight w:val="20"/>
        </w:trPr>
        <w:tc>
          <w:tcPr>
            <w:tcW w:w="2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Net income (loss)</w:t>
            </w: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(36)%</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11%</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(67)%</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12%</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(12)%</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0"/>
        </w:trPr>
        <w:tc>
          <w:tcPr>
            <w:tcW w:w="2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Revenue Trends</w:t>
      </w:r>
    </w:p>
    <w:p>
      <w:pPr>
        <w:spacing w:after="0" w:line="189"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revenue is subject to seasonality due to the timing our clients customers payments. Our total revenue, adjusting for seasonality, has increased on a quarter over quarter basis primarily due to the increase in customers and the increase in transactions processed per customer. Additionally, revenue has increased in part due to the acquisition of Simplee in February 2020.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Operating Expenses Trends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 the period from December 31, 2019 through March 31, 2020 our operating expenses increased consecutively due primarily to the increase in personnel-related costs, including stock-based compensation expense and retention costs for acquired employees, as we invested in additional headcount quarter-over-quarter to support the growth of our business. During the quarter ended March 31, 2020, due to the COVID-19 pandemic, we took action to reduce headcount costs, professional fees, and other costs. From September 30, 2020 through March 31, 2021 our operating expenses in each subsequent quarter presented increased primarily due to increase in personnel-related costs, including stock-based compensation expense and retention costs for acquired employees, as we invested in additional headcount quarter-over-quarter. We also continued to experience an increase in our operating expenses related to the change in fair value of the contingent consideration liability related to the acquisition of Simplee.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Other Income Trends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Our other expense (net) fluctuated on a quarter-over-quarter primarily due to the changes in fair value of the preferred stock warrant liability, and due to changes in foreign exchange rates versus the U.S. dollar in the respective periods.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8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have historically sourced our liquidity requirements primarily through the issuance and sale of our preferred stock and borrowings under our debt agreements. To date, we have received net cash proceeds of $273.3 million from sales of our preferred stock and net cash proceeds of $24.3 million from our credit facilities. As of March 31, 2021, we had cash and cash equivalents of $146.3 million. The principal uses for liquidity have been to operate our business and to finance acquisitions and capital expenditures. We believe we have sufficient liquidity to satisfy our operating and capital expenditure needs for at least the next 12 months, however, we continue to evaluate and take action, as necessary, to preserve adequate liquidity and ensure that our business can continue to operate during these uncertain times.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0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420"/>
              <w:spacing w:after="0" w:line="202" w:lineRule="exact"/>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7"/>
                <w:szCs w:val="17"/>
                <w:color w:val="auto"/>
              </w:rPr>
            </w:pPr>
          </w:p>
        </w:tc>
        <w:tc>
          <w:tcPr>
            <w:tcW w:w="1560" w:type="dxa"/>
            <w:vAlign w:val="bottom"/>
            <w:gridSpan w:val="4"/>
          </w:tcPr>
          <w:p>
            <w:pPr>
              <w:jc w:val="center"/>
              <w:ind w:right="120"/>
              <w:spacing w:after="0" w:line="202" w:lineRule="exact"/>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25"/>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670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2"/>
        </w:trPr>
        <w:tc>
          <w:tcPr>
            <w:tcW w:w="1000" w:type="dxa"/>
            <w:vAlign w:val="bottom"/>
            <w:tcBorders>
              <w:bottom w:val="single" w:sz="8" w:color="auto"/>
            </w:tcBorders>
            <w:vMerge w:val="continue"/>
          </w:tcPr>
          <w:p>
            <w:pPr>
              <w:spacing w:after="0"/>
              <w:rPr>
                <w:sz w:val="17"/>
                <w:szCs w:val="17"/>
                <w:color w:val="auto"/>
              </w:rPr>
            </w:pPr>
          </w:p>
        </w:tc>
        <w:tc>
          <w:tcPr>
            <w:tcW w:w="6700" w:type="dxa"/>
            <w:vAlign w:val="bottom"/>
            <w:vMerge w:val="continue"/>
          </w:tcPr>
          <w:p>
            <w:pPr>
              <w:spacing w:after="0"/>
              <w:rPr>
                <w:sz w:val="17"/>
                <w:szCs w:val="17"/>
                <w:color w:val="auto"/>
              </w:rPr>
            </w:pPr>
          </w:p>
        </w:tc>
        <w:tc>
          <w:tcPr>
            <w:tcW w:w="5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3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 (14.2)</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 (47.1)</w:t>
            </w: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$(14.8)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(81.5)</w:t>
            </w: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(80.0)</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119.0</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(0.3)</w:t>
            </w: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(3.50)</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23.00</w:t>
            </w:r>
          </w:p>
        </w:tc>
        <w:tc>
          <w:tcPr>
            <w:tcW w:w="10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(10.5)</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$ 42.3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70"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During the three months ended March 31, 2021, cash used in operating activities of $14.8 million was primarily the result of net loss of $8.7 million adjusted for non-cash expenses of $13.8 million, which primarily include depreciation and amortization of $2.1 million, stock-based compensation expenses of $ 10.4 million, and the change in fair value of preferred stock warrant liability of $1.0 million, offset by $19.6 million related to changes in our operating assets and liabilities. Net cash used by changes in operating assets and liabilities consisted primarily of a $ 28.1 million decrease in funds payable to customers due to the timing of when we settle the amounts we owe to our clients, a $3.2 million decrease in contingent consideration, and a $1.7 million decrease in prepaid expenses and other assets, offset by a 13.3 million decrease in funds receivables from payment partners due to the timing of when our payment partners settle the amounts they owe to us, and a $1.1 million decrease in unbilled receivables.</w:t>
      </w:r>
    </w:p>
    <w:p>
      <w:pPr>
        <w:spacing w:after="0" w:line="167" w:lineRule="exact"/>
        <w:rPr>
          <w:sz w:val="20"/>
          <w:szCs w:val="20"/>
          <w:color w:val="auto"/>
        </w:rPr>
      </w:pPr>
    </w:p>
    <w:p>
      <w:pPr>
        <w:ind w:left="120" w:right="420" w:firstLine="440"/>
        <w:spacing w:after="0" w:line="261" w:lineRule="auto"/>
        <w:rPr>
          <w:sz w:val="20"/>
          <w:szCs w:val="20"/>
          <w:color w:val="auto"/>
        </w:rPr>
      </w:pPr>
      <w:r>
        <w:rPr>
          <w:rFonts w:ascii="Arial" w:cs="Arial" w:eastAsia="Arial" w:hAnsi="Arial"/>
          <w:sz w:val="17"/>
          <w:szCs w:val="17"/>
          <w:color w:val="auto"/>
        </w:rPr>
        <w:t>During the three months ended March 31, 2020, cash used in operating activities of $47.1 million was primarily the result of net income of $3.7 million adjusted for non-cash expenses of $6.0 million, which primarily include a tax benefit related to the change in deferred taxes of $8.6 million due to the release of the valuation allowance, depreciation and amortization of $1.5 million, stock-based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compensation expenses of $0.8 million, revaluation of contingent consideration of $0.3 million, change in fair value of preferred stock warrant liability of $0.3 million and by changes in operating assets and liabilities of $44.7 million. Net cash provided by changes in operating assets and liabilities consisted primarily of a $51.2 million decrease in funds payable to customers, a $1.2 million increase in prepaid expenses and other assets, a $2.1 million increase in accounts receivables, a $0.1 million decrease in accounts payable and accrued expenses and a $0.7 million decrease in contingent consideration, offset by a $10.1 million decrease in funds receivable from payment partners and a $1.0 million decrease in unbilled receivables.</w:t>
      </w:r>
    </w:p>
    <w:p>
      <w:pPr>
        <w:spacing w:after="0" w:line="178"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$11.1 million adjusted for non-cash expenses of $9.0 million, which primarily include depreciation and amortization of $6.8 million, stock-based compensation expenses of $3.8 million, revaluation of contingent consideration of $ 5.4 million and the change in fair value of preferred stock warrant liability of $0.7 million, offset by $8.5 million related to deferred taxes and $12.1 million related to changes in our operating assets and liabilities. Net cash used by changes in operating assets and liabilities consisted primarily of a $6.0 million increase in funds receivable from payment partners, a $5.3 million decrease in funds payable to customers, a $3.8 million increase in prepaid expenses and other assets, a $1.6 million increase in accounts receivable, a $0.7 decrease in contingent consideration and a $0.4 million increase in unbilled receivables, offset by a $5.7 million increase in accounts payable and accrued expenses.</w:t>
      </w:r>
    </w:p>
    <w:p>
      <w:pPr>
        <w:spacing w:after="0" w:line="16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During 2019, cash provided by operating activities of $4.1 million was primarily the result of net loss of $20.1 million adjusted for non-cash expenses of $8.0 million, which primarily include depreciation and amortization of $3.7 million, stock-based compensation expenses of $2.9 million, revaluation of contingent consideration of $0.7 million, change in fair value of preferred stock warrant liability of $0.1 million and benefited by changes in operating assets and liabilities of $16.2 million. Net cash provided by changes in operating assets and liabilities consisted primarily of a $13.3 million increase in funds payable to customers, a $2.3 million increase in accounts payable and accrued expenses, a $ 1.2 million decrease in funds receivable from payment partners, a $0.8 million increase in deferred revenue and a $0.4 million increase in other liabilities, offset by a $1.1 million increase in unbilled receivables, a $0.4 million increase in accounts receivable and a $0.4 million increase in prepaid expenses and other assets.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During the three months ended March 31, 2021, cash used in investing activities of $1.5 million was primarily the result of the capitalization of internally-developed software costs.</w:t>
      </w:r>
    </w:p>
    <w:p>
      <w:pPr>
        <w:spacing w:after="0" w:line="156"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During the three months ended March 31, 2020, cash used in investing activities of $ 79.9 million was primarily the result of our acquisition of Simplee for a purchase price of $79.4 million in cash and $0.5 million related to the capitalization of internally-developed software costs.</w:t>
      </w:r>
    </w:p>
    <w:p>
      <w:pPr>
        <w:spacing w:after="0" w:line="162"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price of $79.4 million in cash, and $2.1 million related to purchases of computer equipment and software.</w:t>
      </w:r>
    </w:p>
    <w:p>
      <w:pPr>
        <w:spacing w:after="0" w:line="170"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During 2019, cash used in investing activities of $3.7 million was the result of leasehold improvements and purchases of computer equipment and software costs.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During the three months ended March 31, 2021, cash provided by financing activities of $58.2 million was the result of our sale of preferred stock for aggregate proceeds of $59.7 million and proceeds from the exercise of stock options of $2.4 million, partially offset by payments for contingent consideration of $3.8 million related to our acquisition of Simplee and $0.2 million related to offering costs associated with our initial public offering.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During the three months ended March 31, 2020, cash used in financing activities of $116.9 million was the result of our sale of preferred stock for aggregate proceeds of $119.8 million and $0.5 million from the proceeds of the exercise of stock options. The increase was offset by $2.1 million related to payments on our long-term debt and $1.3 million related to contingent consideration paid during the period.</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March 31, 2021,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unaudited condensed consolidated financial statements included elsewhere in this prospectus for additional details related to our LSA.</w:t>
      </w:r>
    </w:p>
    <w:p>
      <w:pPr>
        <w:spacing w:after="0" w:line="178"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During 2020, cash provided by financing activities of $119.0 million was the result of our sale of preferred stock for aggregate proceeds of $ 119.8 million and proceeds from the exercise of stock options of $ 0.8 million, primarily offset by payments for contingent consideration of $1.3 million related to our acquisition of OnPlan Holdings, LLC during 2018.</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During 2019, cash used in financing activities of $3.9 million was the result of proceeds from issuance of long-term debt of</w:t>
      </w:r>
    </w:p>
    <w:p>
      <w:pPr>
        <w:ind w:left="120" w:right="440"/>
        <w:spacing w:after="0" w:line="246" w:lineRule="auto"/>
        <w:rPr>
          <w:sz w:val="20"/>
          <w:szCs w:val="20"/>
          <w:color w:val="auto"/>
        </w:rPr>
      </w:pPr>
      <w:r>
        <w:rPr>
          <w:rFonts w:ascii="Arial" w:cs="Arial" w:eastAsia="Arial" w:hAnsi="Arial"/>
          <w:sz w:val="18"/>
          <w:szCs w:val="18"/>
          <w:color w:val="auto"/>
        </w:rPr>
        <w:t>$10.0 million and proceeds from the exercise of stock options of $ 0.5 million, primarily offset by payments for contingent and deferred consideration of $14.1 million related to our acquisition of OnPlan Holdings, LLC during 2018.</w:t>
      </w:r>
    </w:p>
    <w:p>
      <w:pPr>
        <w:spacing w:after="0" w:line="1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December 31, 2020 and March 31, 2021,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unaudited condensed consolidated financial statements included elsewhere in this prospectus for additional details related to our LSA.</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3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8"/>
          </w:tcPr>
          <w:p>
            <w:pPr>
              <w:ind w:left="680"/>
              <w:spacing w:after="0"/>
              <w:rPr>
                <w:sz w:val="20"/>
                <w:szCs w:val="20"/>
                <w:color w:val="auto"/>
              </w:rPr>
            </w:pPr>
            <w:r>
              <w:rPr>
                <w:rFonts w:ascii="Arial" w:cs="Arial" w:eastAsia="Arial" w:hAnsi="Arial"/>
                <w:sz w:val="18"/>
                <w:szCs w:val="18"/>
                <w:b w:val="1"/>
                <w:bCs w:val="1"/>
                <w:color w:val="auto"/>
              </w:rPr>
              <w:t>Payments Due by Year</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spacing w:after="0" w:line="173" w:lineRule="exact"/>
              <w:rPr>
                <w:sz w:val="20"/>
                <w:szCs w:val="20"/>
                <w:color w:val="auto"/>
              </w:rPr>
            </w:pPr>
            <w:r>
              <w:rPr>
                <w:rFonts w:ascii="Arial" w:cs="Arial" w:eastAsia="Arial" w:hAnsi="Arial"/>
                <w:sz w:val="18"/>
                <w:szCs w:val="18"/>
                <w:b w:val="1"/>
                <w:bCs w:val="1"/>
                <w:color w:val="auto"/>
              </w:rPr>
              <w:t>Less Than</w:t>
            </w:r>
          </w:p>
        </w:tc>
        <w:tc>
          <w:tcPr>
            <w:tcW w:w="1200" w:type="dxa"/>
            <w:vAlign w:val="bottom"/>
            <w:gridSpan w:val="3"/>
          </w:tcPr>
          <w:p>
            <w:pPr>
              <w:jc w:val="right"/>
              <w:ind w:right="640"/>
              <w:spacing w:after="0" w:line="173" w:lineRule="exact"/>
              <w:rPr>
                <w:sz w:val="20"/>
                <w:szCs w:val="20"/>
                <w:color w:val="auto"/>
              </w:rPr>
            </w:pPr>
            <w:r>
              <w:rPr>
                <w:rFonts w:ascii="Arial" w:cs="Arial" w:eastAsia="Arial" w:hAnsi="Arial"/>
                <w:sz w:val="18"/>
                <w:szCs w:val="18"/>
                <w:b w:val="1"/>
                <w:bCs w:val="1"/>
                <w:color w:val="auto"/>
              </w:rPr>
              <w:t>1 to 3</w:t>
            </w:r>
          </w:p>
        </w:tc>
        <w:tc>
          <w:tcPr>
            <w:tcW w:w="1180" w:type="dxa"/>
            <w:vAlign w:val="bottom"/>
            <w:gridSpan w:val="3"/>
          </w:tcPr>
          <w:p>
            <w:pPr>
              <w:ind w:left="80"/>
              <w:spacing w:after="0" w:line="173" w:lineRule="exact"/>
              <w:rPr>
                <w:sz w:val="20"/>
                <w:szCs w:val="20"/>
                <w:color w:val="auto"/>
              </w:rPr>
            </w:pPr>
            <w:r>
              <w:rPr>
                <w:rFonts w:ascii="Arial" w:cs="Arial" w:eastAsia="Arial" w:hAnsi="Arial"/>
                <w:sz w:val="18"/>
                <w:szCs w:val="18"/>
                <w:b w:val="1"/>
                <w:bCs w:val="1"/>
                <w:color w:val="auto"/>
              </w:rPr>
              <w:t>4 to 5</w:t>
            </w:r>
          </w:p>
        </w:tc>
        <w:tc>
          <w:tcPr>
            <w:tcW w:w="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More Than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99"/>
              </w:rPr>
              <w:t>(In Thousands)</w:t>
            </w:r>
          </w:p>
        </w:tc>
        <w:tc>
          <w:tcPr>
            <w:tcW w:w="378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1 Year</w:t>
            </w:r>
          </w:p>
        </w:tc>
        <w:tc>
          <w:tcPr>
            <w:tcW w:w="12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Years</w:t>
            </w: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Years</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5 Years</w:t>
            </w:r>
          </w:p>
        </w:tc>
        <w:tc>
          <w:tcPr>
            <w:tcW w:w="0" w:type="dxa"/>
            <w:vAlign w:val="bottom"/>
          </w:tcPr>
          <w:p>
            <w:pPr>
              <w:spacing w:after="0"/>
              <w:rPr>
                <w:sz w:val="1"/>
                <w:szCs w:val="1"/>
                <w:color w:val="auto"/>
              </w:rPr>
            </w:pPr>
          </w:p>
        </w:tc>
      </w:tr>
      <w:tr>
        <w:trPr>
          <w:trHeight w:val="188"/>
        </w:trPr>
        <w:tc>
          <w:tcPr>
            <w:tcW w:w="130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4,471</w:t>
            </w:r>
          </w:p>
        </w:tc>
        <w:tc>
          <w:tcPr>
            <w:tcW w:w="38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444</w:t>
            </w:r>
          </w:p>
        </w:tc>
        <w:tc>
          <w:tcPr>
            <w:tcW w:w="98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Debt obligations</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25,000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7,292</w:t>
            </w:r>
          </w:p>
        </w:tc>
        <w:tc>
          <w:tcPr>
            <w:tcW w:w="100" w:type="dxa"/>
            <w:vAlign w:val="bottom"/>
          </w:tcPr>
          <w:p>
            <w:pPr>
              <w:spacing w:after="0"/>
              <w:rPr>
                <w:sz w:val="17"/>
                <w:szCs w:val="17"/>
                <w:color w:val="auto"/>
              </w:rPr>
            </w:pPr>
          </w:p>
        </w:tc>
        <w:tc>
          <w:tcPr>
            <w:tcW w:w="10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8"/>
              </w:rPr>
              <w:t>17,708</w:t>
            </w: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29,471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10,011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8"/>
              </w:rPr>
              <w:t>18,152</w:t>
            </w: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While our significant accounting policies are described in greater detail in Note 2, “Summary of Significant Accounting Policies,” to our consolidated financial statements included elsewhere in this prospectus, we believe that the following critical accounting policies are most important to the judgments and estimates used in the preparation of our consolidated financial statements.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Intangible assets consist of acquired developed technology, customer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7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customer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6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No significant residual value is estimated for intangible assets.</w:t>
      </w:r>
    </w:p>
    <w:p>
      <w:pPr>
        <w:spacing w:after="0" w:line="176"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useful lives and other prospective financial information.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In connection with the acquisition of Simplee, we entered into an agreement to make certain earn-out payments based on the achievement of applicable objectives as well as the achievement of certain revenue targets established for the years ended December 31, 2020 and 2021, which qualified as contingent consideration that is required to be recognized at fair value on the acquisition date. The earn-outs are payable at the one-year and two-year acquisition anniversary dates based on the prior year calendar revenue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targets and the probability of retaining key customers.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Increases or decreases in any of the probabilities of success in which revenue targets are expected to be achieved would result in a higher or lower liability, respectively. Increases or decreases in the discount rate would result in a lower or higher liability, respectively. The maximum amount we would be required to pay, related to Simplee acquisition, is $20.0 million. The fair value of the contingent consideration at December 31, 2019 and 2020 and March 31, 2021 was $0, $12.5 million and $5.5 million, respectively.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capitalize certain costs related to internal-use software during the application development stage, including third-party consulting costs and compensation expenses related to employees who devote time to the development of the projects. We record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We also capitalize costs related to specific upgrades and enhancements when it is probable the expenditures will result in additional functionality. Once the additional functionality is available for general use, capitalization ceases and the asset begins being amortized. We periodically assess whether triggering events are present to review internal-use software for impairment. Changes in our estimates related to internal-use software would increase or decrease operating expenses or amortization recorded during the period. Currently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We capitalized $1.8 million, $1.4 million and $0.4 million of costs related to internal-use software during the year ended December 31, 2020 and three months ended March 31, 2021 and 2020, respectively. Software developed for internal use is amortized straight-line over its estimated useful life of five years.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Warrants to Purchase Preferred Stock</w:t>
      </w:r>
    </w:p>
    <w:p>
      <w:pPr>
        <w:spacing w:after="0" w:line="207" w:lineRule="exact"/>
        <w:rPr>
          <w:sz w:val="20"/>
          <w:szCs w:val="20"/>
          <w:color w:val="auto"/>
        </w:rPr>
      </w:pPr>
    </w:p>
    <w:p>
      <w:pPr>
        <w:ind w:left="120" w:right="100" w:firstLine="440"/>
        <w:spacing w:after="0" w:line="251" w:lineRule="auto"/>
        <w:rPr>
          <w:sz w:val="20"/>
          <w:szCs w:val="20"/>
          <w:color w:val="auto"/>
        </w:rPr>
      </w:pPr>
      <w:r>
        <w:rPr>
          <w:rFonts w:ascii="Arial" w:cs="Arial" w:eastAsia="Arial" w:hAnsi="Arial"/>
          <w:sz w:val="17"/>
          <w:szCs w:val="17"/>
          <w:color w:val="auto"/>
        </w:rPr>
        <w:t>We classify warrants to purchase shares of our convertible preferred stock as liabilities on our balance sheets as these are free standing instruments that may be required us to transfer assets upon exercise. The warrant liability associated with these warrants was recorded at fair value on the issuance date of each warrant and is subsequently marked to market each reporting period based on changes in the warrants’ fair value calculated using the Black-Scholes model. Inputs used in the fair value calculation include exercise price, risk-free interest rate, expected dividend yield, remaining contractual term and expected volatility. We determine the fair value per share of the underlying preferred stock by taking into consideration the most recent sales of our convertible preferred stock, results obtained from third-party valuations and additional factors that we deem relevant. Historically, we have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We have estimated a 0% dividend yield based on the fact that we have never paid or declared dividends.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2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Year Ended</w:t>
            </w:r>
          </w:p>
        </w:tc>
        <w:tc>
          <w:tcPr>
            <w:tcW w:w="24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5940" w:type="dxa"/>
            <w:vAlign w:val="bottom"/>
          </w:tcPr>
          <w:p>
            <w:pPr>
              <w:spacing w:after="0"/>
              <w:rPr>
                <w:sz w:val="19"/>
                <w:szCs w:val="19"/>
                <w:color w:val="auto"/>
              </w:rPr>
            </w:pPr>
          </w:p>
        </w:tc>
        <w:tc>
          <w:tcPr>
            <w:tcW w:w="262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5940" w:type="dxa"/>
            <w:vAlign w:val="bottom"/>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17"/>
                <w:szCs w:val="17"/>
                <w:color w:val="auto"/>
              </w:rPr>
            </w:pPr>
          </w:p>
        </w:tc>
        <w:tc>
          <w:tcPr>
            <w:tcW w:w="7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2020</w:t>
            </w: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$ 4.67</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$ 6.48</w:t>
            </w:r>
          </w:p>
        </w:tc>
        <w:tc>
          <w:tcPr>
            <w:tcW w:w="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5.75</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0.7%</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0.6%</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44.0%</w:t>
            </w:r>
          </w:p>
        </w:tc>
        <w:tc>
          <w:tcPr>
            <w:tcW w:w="16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42.5%</w:t>
            </w: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w:t>
            </w:r>
          </w:p>
        </w:tc>
        <w:tc>
          <w:tcPr>
            <w:tcW w:w="160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bl>
    <w:p>
      <w:pPr>
        <w:spacing w:after="0" w:line="17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Changes in fair value of the warrants are recognized on the consolidated statements of operations and comprehensive loss. We will continue to adjust the warrant liability for changes in fair value until the earlier of the expiration or exercise of the warrants, or upon their automatic conversion into warrants to purchase common stock in connection with a qualified IPO such that they qualify for equity classification and no further remeasurement is required. There were no warrants to purchase preferred stock issued during the years ended on December 31, 2019 or 2020 or for the three months ended March 31, 2021.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0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80"/>
        <w:spacing w:after="0"/>
        <w:rPr>
          <w:sz w:val="20"/>
          <w:szCs w:val="20"/>
          <w:color w:val="auto"/>
        </w:rPr>
      </w:pPr>
      <w:r>
        <w:rPr>
          <w:rFonts w:ascii="Arial" w:cs="Arial" w:eastAsia="Arial" w:hAnsi="Arial"/>
          <w:sz w:val="18"/>
          <w:szCs w:val="18"/>
          <w:color w:val="auto"/>
        </w:rPr>
        <w:t>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7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 costs line in the consolidated statements of operations and comprehensive loss.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20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7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64"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5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93"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9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7"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62"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38" w:lineRule="exact"/>
        <w:rPr>
          <w:sz w:val="20"/>
          <w:szCs w:val="20"/>
          <w:color w:val="auto"/>
        </w:rPr>
      </w:pPr>
    </w:p>
    <w:p>
      <w:pPr>
        <w:ind w:left="120" w:right="220" w:firstLine="44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for option grants is determined using the simplified method. The simplified method deems the term to be the average of the time-to-vesting and the contractual life of the stock-based awards.</w:t>
      </w:r>
    </w:p>
    <w:p>
      <w:pPr>
        <w:spacing w:after="0" w:line="150" w:lineRule="exact"/>
        <w:rPr>
          <w:sz w:val="20"/>
          <w:szCs w:val="20"/>
          <w:color w:val="auto"/>
        </w:rPr>
      </w:pPr>
    </w:p>
    <w:p>
      <w:pPr>
        <w:jc w:val="both"/>
        <w:ind w:left="120" w:right="20" w:firstLine="440"/>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privately held and do not have any trading history for our common stock and non-voting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40"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20"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non-voting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w:t>
      </w:r>
    </w:p>
    <w:p>
      <w:pPr>
        <w:spacing w:after="0" w:line="133"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and non-voting common stock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the fair 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78"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75"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conditions in the industry and economy in general;</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96"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96" w:lineRule="exact"/>
        <w:rPr>
          <w:rFonts w:ascii="Arial" w:cs="Arial" w:eastAsia="Arial" w:hAnsi="Arial"/>
          <w:sz w:val="18"/>
          <w:szCs w:val="18"/>
          <w:color w:val="auto"/>
        </w:rPr>
      </w:pPr>
    </w:p>
    <w:p>
      <w:pPr>
        <w:ind w:left="880" w:right="44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U.S. and global capital market conditions;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7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preparing for the issuance of our consolidated financial statements for the year ended December 31, 2020, we performed a retrospective fair value assessment and concluded that the fair value of our common stock underlying stock options that we granted on November 17, 2020 was $4.81 per share for accounting purposes. We applied the fair value of our common stock from our retrospective fair value assessment to determine the fair value of these awards and calculate stock-based compensation expense for accounting purposes. This reassessed value was based, in part, upon a third-party valuation of our common stock prepared as of November 17, 2020 on a retrospective basis. The third-party valuation was prepared using the hybrid method and used market and income approaches to determine our enterprise value.</w:t>
      </w:r>
    </w:p>
    <w:p>
      <w:pPr>
        <w:spacing w:after="0" w:line="16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value of our common stock in connection with our accounting for granted stock options and other such awards we may grant, as the fair value of our common stock will be determined based on the quoted market price of our common stock.</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6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178"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unaudited condensed consolidated financial statements appearing elsewhere in this prospectus, such standards will not have a material impact on our consolidated financial statements or do not otherwise apply to our operations.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207"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our integrated solutions that are both global and local, combine tailored invoicing with flexible payment options, and deliver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6" w:lineRule="exact"/>
        <w:rPr>
          <w:sz w:val="20"/>
          <w:szCs w:val="20"/>
          <w:color w:val="auto"/>
        </w:rPr>
      </w:pPr>
    </w:p>
    <w:p>
      <w:pPr>
        <w:ind w:left="120" w:right="220" w:firstLine="440"/>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205740</wp:posOffset>
            </wp:positionV>
            <wp:extent cx="3634740" cy="3677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3474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0" w:lineRule="exact"/>
        <w:rPr>
          <w:rFonts w:ascii="Arial" w:cs="Arial" w:eastAsia="Arial" w:hAnsi="Arial"/>
          <w:sz w:val="18"/>
          <w:szCs w:val="18"/>
          <w:color w:val="auto"/>
        </w:rPr>
      </w:pPr>
    </w:p>
    <w:p>
      <w:pPr>
        <w:ind w:left="880" w:right="2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 —making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0" w:hanging="224"/>
        <w:spacing w:after="0" w:line="256"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129540</wp:posOffset>
            </wp:positionV>
            <wp:extent cx="4277360" cy="3857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7736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78"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7"/>
          <w:szCs w:val="17"/>
          <w:color w:val="auto"/>
        </w:rPr>
        <w:t>Our business model is designed to encourage rapid, widespread utilization of our solutions. We enable our clients to scale the use of Flywire to an unlimited number of customers with favorable unit economics. In 2020, we enabled over $7.5 billion of total payment volume across more than 130 currencies. In the quarter ended March 31, 2021, we enabled approximately $2.9 billion in total payment volume.</w:t>
      </w:r>
    </w:p>
    <w:p>
      <w:pPr>
        <w:spacing w:after="0" w:line="127"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the COVID-19 pandemic on our clients and the industries we serve, we had an annual dollar-based net retention rate of 100%, added over 400 new clients, and maintained strong client retention of approximately 97%. In addition, our client and customer service combines high-tech and high-touch functions backed by 24x7 multilingual customer support, resulting in high client and customer satisfaction. For the year ended December 31, 2020, we had an NPS of 64, which exceeds the average NPS of traditional financial institutions.</w:t>
      </w:r>
    </w:p>
    <w:p>
      <w:pPr>
        <w:spacing w:after="0" w:line="17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chart below illustrates the year-over-year increases in aggregate revenue less ancillary services from our clients by cohorts that consist of (1) all clients as of December 31, 2017, which we refer to as the pre-2018 cohort, and (2) new clients that we added during the particular year ended December 31 for each year thereafter, which comprise the cohort for that particular year. We believe that this analysis illustrates that our services can continue to provide value to our clients on an ongoing basis and also demonstrates our ability to grow our business with clients over time. A client is included in a particular cohort based on the year in which a client first receives a payment from their customer using our services. We expect cohort revenue less ancillary services will fluctuate from one period to another depending on, among other factors, our ability to increase revenue less ancillary services from our clients within a given cohort and other changes to products and services we offer to such clients. While we believe these cohorts are a fair representation of our overall client base, there is no assurance that they will be representative of any future group of clients or periods.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of $131.8 million for the years ended December 31, 2019 and 2020, respectively, and incurred net losses of $20.1 million and $ 11.1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880" w:hanging="224"/>
        <w:spacing w:after="0" w:line="244"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and machine learning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76"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right="300"/>
        <w:spacing w:after="0"/>
        <w:rPr>
          <w:sz w:val="20"/>
          <w:szCs w:val="20"/>
          <w:color w:val="auto"/>
        </w:rPr>
      </w:pPr>
      <w:r>
        <w:rPr>
          <w:rFonts w:ascii="Arial" w:cs="Arial" w:eastAsia="Arial" w:hAnsi="Arial"/>
          <w:sz w:val="18"/>
          <w:szCs w:val="18"/>
          <w:color w:val="auto"/>
        </w:rPr>
        <w:t>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81" w:lineRule="exact"/>
        <w:rPr>
          <w:sz w:val="20"/>
          <w:szCs w:val="20"/>
          <w:color w:val="auto"/>
        </w:rPr>
      </w:pPr>
    </w:p>
    <w:p>
      <w:pPr>
        <w:ind w:left="880" w:right="60" w:hanging="224"/>
        <w:spacing w:after="0" w:line="24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78" w:lineRule="exact"/>
        <w:rPr>
          <w:rFonts w:ascii="Arial" w:cs="Arial" w:eastAsia="Arial" w:hAnsi="Arial"/>
          <w:sz w:val="18"/>
          <w:szCs w:val="18"/>
          <w:color w:val="auto"/>
        </w:rPr>
      </w:pPr>
    </w:p>
    <w:p>
      <w:pPr>
        <w:ind w:left="880" w:right="320" w:hanging="224"/>
        <w:spacing w:after="0" w:line="24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9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880" w:right="240" w:hanging="224"/>
        <w:spacing w:after="0" w:line="244"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76"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880" w:right="20" w:hanging="224"/>
        <w:spacing w:after="0" w:line="24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880" w:right="800" w:hanging="224"/>
        <w:spacing w:after="0" w:line="271"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60"/>
        <w:spacing w:after="0" w:line="246" w:lineRule="auto"/>
        <w:rPr>
          <w:sz w:val="20"/>
          <w:szCs w:val="20"/>
          <w:color w:val="auto"/>
        </w:rPr>
      </w:pPr>
      <w:r>
        <w:rPr>
          <w:rFonts w:ascii="Arial" w:cs="Arial" w:eastAsia="Arial" w:hAnsi="Arial"/>
          <w:sz w:val="18"/>
          <w:szCs w:val="18"/>
          <w:color w:val="auto"/>
        </w:rPr>
        <w:t>around the clock multilingual support, we believe that we give customers the confidence that their payments are delivered securely, accurately, and on time.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27" w:lineRule="exact"/>
        <w:rPr>
          <w:sz w:val="20"/>
          <w:szCs w:val="20"/>
          <w:color w:val="auto"/>
        </w:rPr>
      </w:pPr>
    </w:p>
    <w:p>
      <w:pPr>
        <w:ind w:left="120" w:right="760" w:firstLine="440"/>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enabled over $7.5 billion in payment volume across multiple payment types, including local bank transfer, credit, debit and other alternative payment methods such as Alipay, Boleto, PayPal / Venmo, and Trustly. In the quarter ended March 31, 2021, we enabled approximately $2.9 billion in total payment volume.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designed our next-gen payments platform to be:</w:t>
      </w:r>
    </w:p>
    <w:p>
      <w:pPr>
        <w:spacing w:after="0" w:line="190" w:lineRule="exact"/>
        <w:rPr>
          <w:sz w:val="20"/>
          <w:szCs w:val="20"/>
          <w:color w:val="auto"/>
        </w:rPr>
      </w:pPr>
    </w:p>
    <w:p>
      <w:pPr>
        <w:ind w:left="880" w:right="12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53"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211"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3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By utilizing predictive analytics, machine learning, and artificial intelligence, we handle the complexities of money movement across borders while providing fast, compliant, and transparent receipt of payments. Our artificial intelligence (AI) and machine learning (ML) enabled fraud detection risk engine has trained against millions of ACH, check, card, and wire transactions. As a result, the enhanced power of our risk engine enables us to mitigate fraud.</w:t>
      </w:r>
    </w:p>
    <w:p>
      <w:pPr>
        <w:spacing w:after="0" w:line="164"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880" w:right="40" w:hanging="224"/>
        <w:spacing w:after="0" w:line="24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4972050" cy="22459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720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With Flywire’s network, our clients can take advantage of our “local-in / local -out strategy”—providing access to pay-in options, such as local bank transfers, card-based payments, and alternative payment methods, while enabling pay-out capabilities in our clients’ preferred local payment methods.</w:t>
      </w:r>
    </w:p>
    <w:p>
      <w:pPr>
        <w:spacing w:after="0" w:line="16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094730" cy="3180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9473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200" w:hanging="424"/>
        <w:spacing w:after="0" w:line="258"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88"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75" w:lineRule="exact"/>
        <w:rPr>
          <w:sz w:val="20"/>
          <w:szCs w:val="20"/>
          <w:color w:val="auto"/>
        </w:rPr>
      </w:pPr>
    </w:p>
    <w:p>
      <w:pPr>
        <w:ind w:left="880" w:right="80" w:hanging="224"/>
        <w:spacing w:after="0" w:line="24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73" w:lineRule="exact"/>
        <w:rPr>
          <w:rFonts w:ascii="Arial" w:cs="Arial" w:eastAsia="Arial" w:hAnsi="Arial"/>
          <w:sz w:val="18"/>
          <w:szCs w:val="18"/>
          <w:color w:val="auto"/>
        </w:rPr>
      </w:pPr>
    </w:p>
    <w:p>
      <w:pPr>
        <w:ind w:left="880" w:hanging="224"/>
        <w:spacing w:after="0" w:line="24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76" w:lineRule="exact"/>
        <w:rPr>
          <w:rFonts w:ascii="Arial" w:cs="Arial" w:eastAsia="Arial" w:hAnsi="Arial"/>
          <w:sz w:val="18"/>
          <w:szCs w:val="18"/>
          <w:color w:val="auto"/>
        </w:rPr>
      </w:pPr>
    </w:p>
    <w:p>
      <w:pPr>
        <w:ind w:left="880" w:right="80" w:hanging="224"/>
        <w:spacing w:after="0" w:line="25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300" w:hanging="224"/>
        <w:spacing w:after="0" w:line="25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130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68" w:lineRule="exact"/>
        <w:rPr>
          <w:rFonts w:ascii="Arial" w:cs="Arial" w:eastAsia="Arial" w:hAnsi="Arial"/>
          <w:sz w:val="18"/>
          <w:szCs w:val="18"/>
          <w:color w:val="auto"/>
        </w:rPr>
      </w:pPr>
    </w:p>
    <w:p>
      <w:pPr>
        <w:ind w:left="880" w:right="120" w:hanging="224"/>
        <w:spacing w:after="0" w:line="261"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Tailored and scalable regulatory and compliance infrastructure</w:t>
      </w:r>
      <w:r>
        <w:rPr>
          <w:rFonts w:ascii="Arial" w:cs="Arial" w:eastAsia="Arial" w:hAnsi="Arial"/>
          <w:sz w:val="17"/>
          <w:szCs w:val="17"/>
          <w:color w:val="auto"/>
        </w:rPr>
        <w:t>. This foundational element underpins our global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We have fraud and transaction monitoring tools designed to accommodate multiple industry verticals. We combine this with the application of know-your customer, or KYC, and anti-money laundering, or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9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90"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391"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68"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53" w:lineRule="exact"/>
        <w:rPr>
          <w:rFonts w:ascii="Arial" w:cs="Arial" w:eastAsia="Arial" w:hAnsi="Arial"/>
          <w:sz w:val="18"/>
          <w:szCs w:val="18"/>
          <w:color w:val="auto"/>
        </w:rPr>
      </w:pPr>
    </w:p>
    <w:p>
      <w:pPr>
        <w:ind w:left="880" w:right="200" w:hanging="224"/>
        <w:spacing w:after="0" w:line="24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128905</wp:posOffset>
            </wp:positionV>
            <wp:extent cx="4972050" cy="3351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7205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840"/>
          </w:cols>
          <w:pgMar w:left="320" w:top="459" w:right="7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20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83"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b w:val="1"/>
          <w:bCs w:val="1"/>
          <w:i w:val="1"/>
          <w:iCs w:val="1"/>
          <w:color w:val="auto"/>
        </w:rPr>
        <w:t>Globalization—and the rise of a “borderless” economy—requires global, cross-border and local payment and regulatory expertise</w:t>
      </w:r>
    </w:p>
    <w:p>
      <w:pPr>
        <w:spacing w:after="0" w:line="17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20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Additionally, we believe the COVID-19 pandemic will serve as a catalyst in accelerating digital transaction volumes as customer preferences continue to shift to contactless, online and mobile.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193"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enhance efficiency as demanded by organizations or their customers. This legacy infrastructure has the following limitations:</w:t>
      </w:r>
    </w:p>
    <w:p>
      <w:pPr>
        <w:spacing w:after="0" w:line="190" w:lineRule="exact"/>
        <w:rPr>
          <w:sz w:val="20"/>
          <w:szCs w:val="20"/>
          <w:color w:val="auto"/>
        </w:rPr>
      </w:pPr>
    </w:p>
    <w:p>
      <w:pPr>
        <w:ind w:left="880" w:hanging="224"/>
        <w:spacing w:after="0" w:line="24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78" w:lineRule="exact"/>
        <w:rPr>
          <w:rFonts w:ascii="Arial" w:cs="Arial" w:eastAsia="Arial" w:hAnsi="Arial"/>
          <w:sz w:val="18"/>
          <w:szCs w:val="18"/>
          <w:color w:val="auto"/>
        </w:rPr>
      </w:pPr>
    </w:p>
    <w:p>
      <w:pPr>
        <w:ind w:left="880" w:right="380" w:hanging="224"/>
        <w:spacing w:after="0" w:line="244"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76"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In 2020, only 51% of invoices were electronic according to Ardent Partners, and more than one-third of B2B / government to business payments were made by cash or check according to Mastercard.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These inefficiencies are costly. According to a study by Deloitte, middle-market businesses incur $3.3 trillion in operational costs when reconciling invoices as a result of inadequate legacy solutions, such as disparate file formats and lack of back-office support for automated remittances.</w:t>
      </w:r>
    </w:p>
    <w:p>
      <w:pPr>
        <w:spacing w:after="0" w:line="176" w:lineRule="exact"/>
        <w:rPr>
          <w:sz w:val="20"/>
          <w:szCs w:val="20"/>
          <w:color w:val="auto"/>
        </w:rPr>
      </w:pPr>
    </w:p>
    <w:p>
      <w:pPr>
        <w:jc w:val="both"/>
        <w:ind w:left="120" w:right="60" w:firstLine="440"/>
        <w:spacing w:after="0" w:line="247" w:lineRule="auto"/>
        <w:rPr>
          <w:sz w:val="20"/>
          <w:szCs w:val="20"/>
          <w:color w:val="auto"/>
        </w:rPr>
      </w:pPr>
      <w:r>
        <w:rPr>
          <w:rFonts w:ascii="Arial" w:cs="Arial" w:eastAsia="Arial" w:hAnsi="Arial"/>
          <w:sz w:val="17"/>
          <w:szCs w:val="17"/>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14"/>
          <w:szCs w:val="14"/>
          <w:color w:val="auto"/>
        </w:rPr>
        <w:t>(1)</w:t>
      </w:r>
      <w:r>
        <w:rPr>
          <w:rFonts w:ascii="Arial" w:cs="Arial" w:eastAsia="Arial" w:hAnsi="Arial"/>
          <w:sz w:val="17"/>
          <w:szCs w:val="17"/>
          <w:color w:val="auto"/>
        </w:rPr>
        <w:t>, healthcare ($500 billion)</w:t>
      </w:r>
    </w:p>
    <w:p>
      <w:pPr>
        <w:spacing w:after="0" w:line="1" w:lineRule="exact"/>
        <w:rPr>
          <w:sz w:val="20"/>
          <w:szCs w:val="20"/>
          <w:color w:val="auto"/>
        </w:rPr>
      </w:pPr>
    </w:p>
    <w:p>
      <w:pPr>
        <w:ind w:left="360" w:hanging="244"/>
        <w:spacing w:after="0"/>
        <w:tabs>
          <w:tab w:leader="none" w:pos="3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and travel (approximately $530 billion).</w:t>
      </w:r>
      <w:r>
        <w:rPr>
          <w:rFonts w:ascii="Arial" w:cs="Arial" w:eastAsia="Arial" w:hAnsi="Arial"/>
          <w:sz w:val="15"/>
          <w:szCs w:val="15"/>
          <w:color w:val="auto"/>
        </w:rPr>
        <w:t>(3)</w:t>
      </w:r>
    </w:p>
    <w:p>
      <w:pPr>
        <w:spacing w:after="0" w:line="174"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207"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880" w:hanging="224"/>
        <w:spacing w:after="0" w:line="242" w:lineRule="auto"/>
        <w:tabs>
          <w:tab w:leader="none" w:pos="8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net dollar-based retention rate, which was approximately 126% and 128% in 2018 and 2019, respectively, and 100% in 2020, despite the impact of the COVID-19 pandemic on our clients and the industries we serve. As our clients transform and digitize their operational workflows, we plan to encourage them to add additional solutions, such as tailored invoicing, payment plans, and eStore marketplace.</w:t>
      </w:r>
    </w:p>
    <w:p>
      <w:pPr>
        <w:spacing w:after="0" w:line="178" w:lineRule="exact"/>
        <w:rPr>
          <w:rFonts w:ascii="Arial" w:cs="Arial" w:eastAsia="Arial" w:hAnsi="Arial"/>
          <w:sz w:val="18"/>
          <w:szCs w:val="18"/>
          <w:color w:val="auto"/>
        </w:rPr>
      </w:pPr>
    </w:p>
    <w:p>
      <w:pPr>
        <w:jc w:val="both"/>
        <w:ind w:left="880" w:right="200" w:hanging="224"/>
        <w:spacing w:after="0" w:line="253" w:lineRule="auto"/>
        <w:tabs>
          <w:tab w:leader="none" w:pos="8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69" w:lineRule="exact"/>
        <w:rPr>
          <w:rFonts w:ascii="Arial" w:cs="Arial" w:eastAsia="Arial" w:hAnsi="Arial"/>
          <w:sz w:val="18"/>
          <w:szCs w:val="18"/>
          <w:color w:val="auto"/>
        </w:rPr>
      </w:pPr>
    </w:p>
    <w:p>
      <w:pPr>
        <w:ind w:left="440" w:right="240" w:hanging="324"/>
        <w:spacing w:after="0" w:line="182" w:lineRule="auto"/>
        <w:tabs>
          <w:tab w:leader="none" w:pos="4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440" w:right="260" w:hanging="324"/>
        <w:spacing w:after="0" w:line="182" w:lineRule="auto"/>
        <w:tabs>
          <w:tab w:leader="none" w:pos="4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440" w:right="300" w:hanging="324"/>
        <w:spacing w:after="0" w:line="182" w:lineRule="auto"/>
        <w:tabs>
          <w:tab w:leader="none" w:pos="4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23"/>
          <w:szCs w:val="23"/>
          <w:color w:val="auto"/>
          <w:vertAlign w:val="superscript"/>
        </w:rPr>
      </w:pPr>
    </w:p>
    <w:p>
      <w:pPr>
        <w:ind w:left="440" w:right="400" w:hanging="324"/>
        <w:spacing w:after="0" w:line="183"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-865505</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100" w:hanging="224"/>
        <w:spacing w:after="0" w:line="24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880" w:right="120" w:hanging="224"/>
        <w:spacing w:after="0" w:line="24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w:t>
      </w:r>
      <w:r>
        <w:rPr>
          <w:rFonts w:ascii="Arial" w:cs="Arial" w:eastAsia="Arial" w:hAnsi="Arial"/>
          <w:sz w:val="18"/>
          <w:szCs w:val="18"/>
          <w:b w:val="1"/>
          <w:bCs w:val="1"/>
          <w:color w:val="auto"/>
        </w:rPr>
        <w:t xml:space="preserve"> </w:t>
      </w:r>
      <w:r>
        <w:rPr>
          <w:rFonts w:ascii="Arial" w:cs="Arial" w:eastAsia="Arial" w:hAnsi="Arial"/>
          <w:sz w:val="18"/>
          <w:szCs w:val="18"/>
          <w:color w:val="auto"/>
        </w:rPr>
        <w:t>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9"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UniPay, OnPlan, and Simplee acquisitions. We believe our approach and breadth of experience in integrating culturally-aligned businesses position us to maximize the value we derive from future acquisitions.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Flywire Culture and Team</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organization, our culture is founded on our shared experiences, unique and diverse</w:t>
      </w:r>
    </w:p>
    <w:p>
      <w:pPr>
        <w:ind w:left="120"/>
        <w:spacing w:after="0" w:line="234" w:lineRule="auto"/>
        <w:rPr>
          <w:sz w:val="20"/>
          <w:szCs w:val="20"/>
          <w:color w:val="auto"/>
        </w:rPr>
      </w:pPr>
      <w:r>
        <w:rPr>
          <w:rFonts w:ascii="Arial" w:cs="Arial" w:eastAsia="Arial" w:hAnsi="Arial"/>
          <w:sz w:val="18"/>
          <w:szCs w:val="18"/>
          <w:color w:val="auto"/>
        </w:rPr>
        <w:t>backgrounds, and belief in our mission to deliver on the most important and complex payments.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 team of over 500 FlyMates, we strive for excellence as one team, guided by our core values, including:</w:t>
      </w:r>
    </w:p>
    <w:p>
      <w:pPr>
        <w:spacing w:after="0" w:line="190" w:lineRule="exact"/>
        <w:rPr>
          <w:sz w:val="20"/>
          <w:szCs w:val="20"/>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211" w:lineRule="exact"/>
        <w:rPr>
          <w:rFonts w:ascii="Arial" w:cs="Arial" w:eastAsia="Arial" w:hAnsi="Arial"/>
          <w:sz w:val="18"/>
          <w:szCs w:val="18"/>
          <w:color w:val="auto"/>
        </w:rPr>
      </w:pPr>
    </w:p>
    <w:p>
      <w:pPr>
        <w:ind w:left="5480" w:right="3640" w:hanging="4824"/>
        <w:spacing w:after="0" w:line="443" w:lineRule="auto"/>
        <w:tabs>
          <w:tab w:leader="none" w:pos="87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207" w:lineRule="exact"/>
        <w:rPr>
          <w:sz w:val="20"/>
          <w:szCs w:val="20"/>
          <w:color w:val="auto"/>
        </w:rPr>
      </w:pPr>
    </w:p>
    <w:p>
      <w:pPr>
        <w:ind w:left="120" w:right="2840" w:firstLine="440"/>
        <w:spacing w:after="0" w:line="248" w:lineRule="auto"/>
        <w:rPr>
          <w:sz w:val="20"/>
          <w:szCs w:val="20"/>
          <w:color w:val="auto"/>
        </w:rPr>
      </w:pPr>
      <w:r>
        <w:rPr>
          <w:rFonts w:ascii="Arial" w:cs="Arial" w:eastAsia="Arial" w:hAnsi="Arial"/>
          <w:sz w:val="17"/>
          <w:szCs w:val="17"/>
          <w:color w:val="auto"/>
        </w:rPr>
        <w:t>Our leadership team defines our culture and strategy and collectively has decades of experience leading companies through rapid growth at scale. Representing approximately 40 nationalities and</w:t>
      </w:r>
    </w:p>
    <w:p>
      <w:pPr>
        <w:spacing w:after="0" w:line="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spoken languages, our diverse team of FlyMates deliver critical domain expertise and regionally tailored skill sets to our clients 24x7. We believe our team’s relentless client focus and adherence to our shared values are evident in our NPS of 64, and will continue to define our future success.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70"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Illustration of Our Solution</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5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46220" cy="2665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462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40"/>
          </w:cols>
          <w:pgMar w:left="320" w:top="459" w:right="6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64"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7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and Architecture</w:t>
      </w:r>
    </w:p>
    <w:p>
      <w:pPr>
        <w:spacing w:after="0" w:line="175"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72"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134620</wp:posOffset>
            </wp:positionV>
            <wp:extent cx="4371975" cy="30175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719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90" w:lineRule="exact"/>
        <w:rPr>
          <w:sz w:val="20"/>
          <w:szCs w:val="20"/>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211"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anti-money laundering risk.</w:t>
      </w:r>
    </w:p>
    <w:p>
      <w:pPr>
        <w:spacing w:after="0" w:line="153"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API</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AWS for our cloud redundancy, and tools such as Site24x7, Pingdom, Cloudflare, and PagerDuty for an uninterrupted experience for our clients.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Payment Card Industry Data Security Standard (PCI DSS), and Americans with Disabilities Act (ADA) compliance, as well as systems and processes designed to ensure compliance with the GDPR in Europe, the California Consumer Protection Act (CCPA), the Personal Information Protection and Electronic Documents Act in Canada, FERPA, and HIPAA, among others.</w:t>
      </w:r>
    </w:p>
    <w:p>
      <w:pPr>
        <w:spacing w:after="0" w:line="16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75" w:lineRule="exact"/>
        <w:rPr>
          <w:sz w:val="20"/>
          <w:szCs w:val="20"/>
          <w:color w:val="auto"/>
        </w:rPr>
      </w:pPr>
    </w:p>
    <w:p>
      <w:pPr>
        <w:ind w:left="880" w:right="400" w:hanging="224"/>
        <w:spacing w:after="0" w:line="25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our business. For example, we managed potential Brexit implications and were able to obtain additional licensing in Europe so that our critical services to our clients and their customers would not be impacted.</w:t>
      </w:r>
    </w:p>
    <w:p>
      <w:pPr>
        <w:spacing w:after="0" w:line="163" w:lineRule="exact"/>
        <w:rPr>
          <w:rFonts w:ascii="Arial" w:cs="Arial" w:eastAsia="Arial" w:hAnsi="Arial"/>
          <w:sz w:val="18"/>
          <w:szCs w:val="18"/>
          <w:color w:val="auto"/>
        </w:rPr>
      </w:pPr>
    </w:p>
    <w:p>
      <w:pPr>
        <w:ind w:left="880" w:right="100"/>
        <w:spacing w:after="0" w:line="238" w:lineRule="auto"/>
        <w:rPr>
          <w:rFonts w:ascii="Arial" w:cs="Arial" w:eastAsia="Arial" w:hAnsi="Arial"/>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82" w:lineRule="exact"/>
        <w:rPr>
          <w:rFonts w:ascii="Arial" w:cs="Arial" w:eastAsia="Arial" w:hAnsi="Arial"/>
          <w:sz w:val="18"/>
          <w:szCs w:val="18"/>
          <w:color w:val="auto"/>
        </w:rPr>
      </w:pPr>
    </w:p>
    <w:p>
      <w:pPr>
        <w:ind w:left="880" w:right="160" w:hanging="224"/>
        <w:spacing w:after="0" w:line="25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68"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 addition, we have FlyMates in the compliance and risk management function located around the world where we have operations to address the needs of the business in real-time.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6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203"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friction in client and customer experiences;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lack of a scaled global network;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limited software and payments offerings;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inability to adapt to new technology; and</w:t>
      </w:r>
    </w:p>
    <w:p>
      <w:pPr>
        <w:spacing w:after="0" w:line="211" w:lineRule="exact"/>
        <w:rPr>
          <w:rFonts w:ascii="Arial" w:cs="Arial" w:eastAsia="Arial" w:hAnsi="Arial"/>
          <w:sz w:val="18"/>
          <w:szCs w:val="18"/>
          <w:color w:val="auto"/>
        </w:rPr>
      </w:pPr>
    </w:p>
    <w:p>
      <w:pPr>
        <w:ind w:left="560" w:right="5140" w:firstLine="96"/>
        <w:spacing w:after="0" w:line="458" w:lineRule="auto"/>
        <w:tabs>
          <w:tab w:leader="none" w:pos="876"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75"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March 1, 2021, we had 106 registered trademarks and trademark applications, and were the registered holder of a variety of U.S. and international domain names.</w:t>
      </w:r>
    </w:p>
    <w:p>
      <w:pPr>
        <w:spacing w:after="0" w:line="1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34"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Industry Standards</w:t>
      </w:r>
    </w:p>
    <w:p>
      <w:pPr>
        <w:spacing w:after="0" w:line="20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registered as a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6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BSA is the primary compendium of U.S. laws and regulations regarding anti-money laundering and countering the financing of terrorism (AML/CFT). As required under the BSA, we have implemented and continue to expand an AML/CFT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78" w:lineRule="exact"/>
        <w:rPr>
          <w:sz w:val="20"/>
          <w:szCs w:val="20"/>
          <w:color w:val="auto"/>
        </w:rPr>
      </w:pPr>
    </w:p>
    <w:p>
      <w:pPr>
        <w:jc w:val="both"/>
        <w:ind w:left="120" w:right="280" w:firstLine="440"/>
        <w:spacing w:after="0" w:line="238"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or penalties for AML/CFT and sanctions violations we face may be severe and our efforts to remediate issues may be costly, may result in diversion of management and staff time and effort, and may still not guarantee compliance.</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Most states in the United States require a license to offer money transmission services.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AML/CFT programs. The adoption of new money transmitter or money services business statutes, or changes in regulators’ interpretation of existing state and federal money transmitter or money services business statutes or regulations, could subject Flywire to new registration, licensing or other requirements. Any determination that Flywire is in</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fact required to be licensed under such state money transmission or money services businesses statutes may require substantial expenditures of time and money and could lead to liability in the nature of penalties or fines, as well as cause us to be required to cease operations in some of the U.S. jurisdictions we serve.</w:t>
      </w:r>
    </w:p>
    <w:p>
      <w:pPr>
        <w:spacing w:after="0" w:line="17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We are in the process of procuring money transmitter licenses (or the statutory equivalent) in those U.S. jurisdictions that require them in order to be able to offer additional business lines in the future. We have procured and maintain money transmitter licenses in 29 U.S. jurisdictions, and actively work to comply with new license requirements as they arise. These licenses subject us, among other things, to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U.K. (regulated by the Financial Conduct Authority (FCA)) and Lithuania (regulated by the Bank of Lithuania (BOL)). When serving clients in these regulated markets, we are generally required to implement governance structures, AML/CFT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75"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64"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7"/>
          <w:szCs w:val="17"/>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4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80"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64"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also subject to the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collect and use a wide variety of information (including personal information) for various purposes in our business, including:</w:t>
      </w:r>
    </w:p>
    <w:p>
      <w:pPr>
        <w:ind w:left="120" w:hanging="4"/>
        <w:spacing w:after="0" w:line="238"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help ensure the integrity of our services, (ii) to meet KYC, transaction monitoring and AML/CFT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7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66"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Many of the foreign jurisdictions where we or our customers do business, including the European Union,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8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7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Employees</w:t>
      </w:r>
    </w:p>
    <w:p>
      <w:pPr>
        <w:spacing w:after="0" w:line="207"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As of March 31, 2021, we had 473 full-time employees. We also engage part-time and temporary employees, as well as consultants as needed to support our operations. As a collective team of over 500 FlyMates, we strive for excellence as one team, guided by our core values, including, global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collaboration, authenticity, fulfillment, execution, ambitious innovation and evolved learning. Our leadership team defines our culture and strategy and collectively has decades of experience leading companies through rapid growth at scale.</w:t>
      </w:r>
    </w:p>
    <w:p>
      <w:pPr>
        <w:spacing w:after="0" w:line="170"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We have not experienced any work stoppages and we consider our relations with our employees to be good.</w:t>
      </w:r>
    </w:p>
    <w:p>
      <w:pPr>
        <w:spacing w:after="0" w:line="156"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07"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information technology, sales and marketing, engineering, and customer success.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maintain other leased locations in the U.S. and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and directors, including their ages as of May 10,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26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Pr>
          <w:p>
            <w:pPr>
              <w:spacing w:after="0"/>
              <w:rPr>
                <w:sz w:val="21"/>
                <w:szCs w:val="21"/>
                <w:color w:val="auto"/>
              </w:rPr>
            </w:pPr>
          </w:p>
        </w:tc>
        <w:tc>
          <w:tcPr>
            <w:tcW w:w="67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Position(s)</w:t>
            </w:r>
          </w:p>
        </w:tc>
      </w:tr>
      <w:tr>
        <w:trPr>
          <w:trHeight w:val="175"/>
        </w:trPr>
        <w:tc>
          <w:tcPr>
            <w:tcW w:w="37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Pr>
          <w:p>
            <w:pPr>
              <w:spacing w:after="0"/>
              <w:rPr>
                <w:sz w:val="15"/>
                <w:szCs w:val="15"/>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Massaro</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Rob Orgel</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Ellis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Butterfield</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General Counsel and Chief Compliance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David King</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Sharon Butler</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Executive Vice President of Global Education</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John Talaga</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of Healthcare</w:t>
            </w:r>
          </w:p>
        </w:tc>
      </w:tr>
      <w:tr>
        <w:trPr>
          <w:trHeight w:val="29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(1)(2)</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71</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Alex Finkelstein</w:t>
            </w:r>
            <w:r>
              <w:rPr>
                <w:rFonts w:ascii="Arial" w:cs="Arial" w:eastAsia="Arial" w:hAnsi="Arial"/>
                <w:sz w:val="15"/>
                <w:szCs w:val="15"/>
                <w:color w:val="auto"/>
              </w:rPr>
              <w:t>(2)(3)</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05"/>
        </w:trPr>
        <w:tc>
          <w:tcPr>
            <w:tcW w:w="3760" w:type="dxa"/>
            <w:vAlign w:val="bottom"/>
            <w:gridSpan w:val="2"/>
          </w:tcPr>
          <w:p>
            <w:pPr>
              <w:ind w:left="360"/>
              <w:spacing w:after="0" w:line="205" w:lineRule="exact"/>
              <w:rPr>
                <w:sz w:val="20"/>
                <w:szCs w:val="20"/>
                <w:color w:val="auto"/>
              </w:rPr>
            </w:pPr>
            <w:r>
              <w:rPr>
                <w:rFonts w:ascii="Arial" w:cs="Arial" w:eastAsia="Arial" w:hAnsi="Arial"/>
                <w:sz w:val="18"/>
                <w:szCs w:val="18"/>
                <w:color w:val="auto"/>
              </w:rPr>
              <w:t>Matt Harris</w:t>
            </w:r>
            <w:r>
              <w:rPr>
                <w:rFonts w:ascii="Arial" w:cs="Arial" w:eastAsia="Arial" w:hAnsi="Arial"/>
                <w:sz w:val="15"/>
                <w:szCs w:val="15"/>
                <w:color w:val="auto"/>
              </w:rPr>
              <w:t>(3)</w:t>
            </w:r>
          </w:p>
        </w:tc>
        <w:tc>
          <w:tcPr>
            <w:tcW w:w="440" w:type="dxa"/>
            <w:vAlign w:val="bottom"/>
          </w:tcPr>
          <w:p>
            <w:pPr>
              <w:jc w:val="center"/>
              <w:spacing w:after="0" w:line="205" w:lineRule="exact"/>
              <w:rPr>
                <w:sz w:val="20"/>
                <w:szCs w:val="20"/>
                <w:color w:val="auto"/>
              </w:rPr>
            </w:pPr>
            <w:r>
              <w:rPr>
                <w:rFonts w:ascii="Arial" w:cs="Arial" w:eastAsia="Arial" w:hAnsi="Arial"/>
                <w:sz w:val="18"/>
                <w:szCs w:val="18"/>
                <w:color w:val="auto"/>
                <w:w w:val="99"/>
              </w:rPr>
              <w:t>48</w:t>
            </w:r>
          </w:p>
        </w:tc>
        <w:tc>
          <w:tcPr>
            <w:tcW w:w="6820" w:type="dxa"/>
            <w:vAlign w:val="bottom"/>
            <w:gridSpan w:val="2"/>
          </w:tcPr>
          <w:p>
            <w:pPr>
              <w:ind w:left="100"/>
              <w:spacing w:after="0" w:line="205" w:lineRule="exact"/>
              <w:rPr>
                <w:sz w:val="20"/>
                <w:szCs w:val="20"/>
                <w:color w:val="auto"/>
              </w:rPr>
            </w:pPr>
            <w:r>
              <w:rPr>
                <w:rFonts w:ascii="Arial" w:cs="Arial" w:eastAsia="Arial" w:hAnsi="Arial"/>
                <w:sz w:val="18"/>
                <w:szCs w:val="18"/>
                <w:color w:val="auto"/>
              </w:rPr>
              <w:t>Director</w:t>
            </w:r>
          </w:p>
        </w:tc>
      </w:tr>
      <w:tr>
        <w:trPr>
          <w:trHeight w:val="200"/>
        </w:trPr>
        <w:tc>
          <w:tcPr>
            <w:tcW w:w="376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Jo Natauri</w:t>
            </w:r>
          </w:p>
        </w:tc>
        <w:tc>
          <w:tcPr>
            <w:tcW w:w="440" w:type="dxa"/>
            <w:vAlign w:val="bottom"/>
          </w:tcPr>
          <w:p>
            <w:pPr>
              <w:jc w:val="center"/>
              <w:spacing w:after="0" w:line="200" w:lineRule="exact"/>
              <w:rPr>
                <w:sz w:val="20"/>
                <w:szCs w:val="20"/>
                <w:color w:val="auto"/>
              </w:rPr>
            </w:pPr>
            <w:r>
              <w:rPr>
                <w:rFonts w:ascii="Arial" w:cs="Arial" w:eastAsia="Arial" w:hAnsi="Arial"/>
                <w:sz w:val="18"/>
                <w:szCs w:val="18"/>
                <w:color w:val="auto"/>
                <w:w w:val="99"/>
              </w:rPr>
              <w:t>43</w:t>
            </w:r>
          </w:p>
        </w:tc>
        <w:tc>
          <w:tcPr>
            <w:tcW w:w="68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Director</w:t>
            </w:r>
          </w:p>
        </w:tc>
      </w:tr>
      <w:tr>
        <w:trPr>
          <w:trHeight w:val="219"/>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Edwin Santos</w:t>
            </w:r>
            <w:r>
              <w:rPr>
                <w:rFonts w:ascii="Arial" w:cs="Arial" w:eastAsia="Arial" w:hAnsi="Arial"/>
                <w:sz w:val="15"/>
                <w:szCs w:val="15"/>
                <w:color w:val="auto"/>
              </w:rPr>
              <w:t>(1)(2)</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82"/>
        </w:numPr>
        <w:rPr>
          <w:rFonts w:ascii="Arial" w:cs="Arial" w:eastAsia="Arial" w:hAnsi="Arial"/>
          <w:sz w:val="15"/>
          <w:szCs w:val="15"/>
          <w:color w:val="auto"/>
        </w:rPr>
      </w:pPr>
      <w:r>
        <w:rPr>
          <w:rFonts w:ascii="Arial" w:cs="Arial" w:eastAsia="Arial" w:hAnsi="Arial"/>
          <w:sz w:val="18"/>
          <w:szCs w:val="18"/>
          <w:color w:val="auto"/>
        </w:rPr>
        <w:t>Member of the nominating and corporate governance committee.</w:t>
      </w:r>
    </w:p>
    <w:p>
      <w:pPr>
        <w:ind w:left="660" w:hanging="544"/>
        <w:spacing w:after="0" w:line="234"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8"/>
          <w:szCs w:val="18"/>
          <w:color w:val="auto"/>
        </w:rPr>
        <w:t>Member of the audit committee.</w:t>
      </w:r>
    </w:p>
    <w:p>
      <w:pPr>
        <w:ind w:left="660" w:hanging="544"/>
        <w:spacing w:after="0"/>
        <w:tabs>
          <w:tab w:leader="none" w:pos="660" w:val="left"/>
        </w:tabs>
        <w:numPr>
          <w:ilvl w:val="0"/>
          <w:numId w:val="82"/>
        </w:numPr>
        <w:rPr>
          <w:rFonts w:ascii="Arial" w:cs="Arial" w:eastAsia="Arial" w:hAnsi="Arial"/>
          <w:sz w:val="15"/>
          <w:szCs w:val="15"/>
          <w:color w:val="auto"/>
        </w:rPr>
      </w:pPr>
      <w:r>
        <w:rPr>
          <w:rFonts w:ascii="Arial" w:cs="Arial" w:eastAsia="Arial" w:hAnsi="Arial"/>
          <w:sz w:val="18"/>
          <w:szCs w:val="18"/>
          <w:color w:val="auto"/>
        </w:rPr>
        <w:t>Member of the compensation committee.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5"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i w:val="1"/>
          <w:iCs w:val="1"/>
          <w:color w:val="auto"/>
        </w:rPr>
        <w:t xml:space="preserve">Michael Massaro </w:t>
      </w:r>
      <w:r>
        <w:rPr>
          <w:rFonts w:ascii="Arial" w:cs="Arial" w:eastAsia="Arial" w:hAnsi="Arial"/>
          <w:sz w:val="18"/>
          <w:szCs w:val="18"/>
          <w:color w:val="auto"/>
        </w:rPr>
        <w:t>has served as our Chief Executive Officer and a member of our board of directors since December 2013.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PWC, LLP. He earned his Bachelor of Science degree in Management Information Systems from Babson College.</w:t>
      </w:r>
    </w:p>
    <w:p>
      <w:pPr>
        <w:spacing w:after="0" w:line="15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Rob Orgel </w:t>
      </w:r>
      <w:r>
        <w:rPr>
          <w:rFonts w:ascii="Arial" w:cs="Arial" w:eastAsia="Arial" w:hAnsi="Arial"/>
          <w:sz w:val="18"/>
          <w:szCs w:val="18"/>
          <w:color w:val="auto"/>
        </w:rPr>
        <w:t>has served as our President and Chief Operating Officer since November 2019. Mr. Orgel leads Flywire’s global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w:t>
      </w:r>
    </w:p>
    <w:p>
      <w:pPr>
        <w:spacing w:after="0" w:line="148"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i w:val="1"/>
          <w:iCs w:val="1"/>
          <w:color w:val="auto"/>
        </w:rPr>
        <w:t xml:space="preserve">Michael Ellis </w:t>
      </w:r>
      <w:r>
        <w:rPr>
          <w:rFonts w:ascii="Arial" w:cs="Arial" w:eastAsia="Arial" w:hAnsi="Arial"/>
          <w:sz w:val="18"/>
          <w:szCs w:val="18"/>
          <w:color w:val="auto"/>
        </w:rPr>
        <w:t>has served as our Chief Financial Officer since April 2015. Mr. Ellis has over 15 years experience in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technology/payment companies in the role of Chief Financial Officer. Prior to Flywire, Mr. Ellis was the Chief Financial Officer at CashStar, a provider of digital gifting solutions for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57" w:lineRule="auto"/>
        <w:rPr>
          <w:sz w:val="20"/>
          <w:szCs w:val="20"/>
          <w:color w:val="auto"/>
        </w:rPr>
      </w:pPr>
      <w:r>
        <w:rPr>
          <w:rFonts w:ascii="Arial" w:cs="Arial" w:eastAsia="Arial" w:hAnsi="Arial"/>
          <w:sz w:val="17"/>
          <w:szCs w:val="17"/>
          <w:color w:val="auto"/>
        </w:rPr>
        <w:t>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Peter Butterfield </w:t>
      </w:r>
      <w:r>
        <w:rPr>
          <w:rFonts w:ascii="Arial" w:cs="Arial" w:eastAsia="Arial" w:hAnsi="Arial"/>
          <w:sz w:val="18"/>
          <w:szCs w:val="18"/>
          <w:color w:val="auto"/>
        </w:rPr>
        <w:t>has served as our General Counsel and Chief Compliance Officer since March 2015. Prior to joining Flywire,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Butterfield held various senior management roles within Devonshire Investors, the private equity arm of Fidelity Investments, and its</w:t>
      </w:r>
    </w:p>
    <w:p>
      <w:pPr>
        <w:ind w:left="120"/>
        <w:spacing w:after="0" w:line="234" w:lineRule="auto"/>
        <w:rPr>
          <w:sz w:val="20"/>
          <w:szCs w:val="20"/>
          <w:color w:val="auto"/>
        </w:rPr>
      </w:pPr>
      <w:r>
        <w:rPr>
          <w:rFonts w:ascii="Arial" w:cs="Arial" w:eastAsia="Arial" w:hAnsi="Arial"/>
          <w:sz w:val="18"/>
          <w:szCs w:val="18"/>
          <w:color w:val="auto"/>
        </w:rPr>
        <w:t>operating companies from 2001 to 2015. During that time, Mr. Butterfield lived and worked for over a decade in Tokyo and Singapore</w:t>
      </w:r>
    </w:p>
    <w:p>
      <w:pPr>
        <w:ind w:left="120"/>
        <w:spacing w:after="0" w:line="235" w:lineRule="auto"/>
        <w:rPr>
          <w:sz w:val="20"/>
          <w:szCs w:val="20"/>
          <w:color w:val="auto"/>
        </w:rPr>
      </w:pPr>
      <w:r>
        <w:rPr>
          <w:rFonts w:ascii="Arial" w:cs="Arial" w:eastAsia="Arial" w:hAnsi="Arial"/>
          <w:sz w:val="18"/>
          <w:szCs w:val="18"/>
          <w:color w:val="auto"/>
        </w:rPr>
        <w:t>managing legal, risk, and compliance functions, and leading the ex-Japan APAC operations for KVH Co., Ltd. Mr. Butterfield holds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Bachelor of Arts in History and Government from Bowdoin College and a Juris Doctor degree from Columbia University.</w:t>
      </w:r>
    </w:p>
    <w:p>
      <w:pPr>
        <w:spacing w:after="0" w:line="15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David King </w:t>
      </w:r>
      <w:r>
        <w:rPr>
          <w:rFonts w:ascii="Arial" w:cs="Arial" w:eastAsia="Arial" w:hAnsi="Arial"/>
          <w:sz w:val="17"/>
          <w:szCs w:val="17"/>
          <w:color w:val="auto"/>
        </w:rPr>
        <w:t>has served as our Chief Technology Officer since June 2019 and is responsible for oversight of our global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w:t>
      </w:r>
    </w:p>
    <w:p>
      <w:pPr>
        <w:ind w:left="120"/>
        <w:spacing w:after="0"/>
        <w:rPr>
          <w:sz w:val="20"/>
          <w:szCs w:val="20"/>
          <w:color w:val="auto"/>
        </w:rPr>
      </w:pPr>
      <w:r>
        <w:rPr>
          <w:rFonts w:ascii="Arial" w:cs="Arial" w:eastAsia="Arial" w:hAnsi="Arial"/>
          <w:sz w:val="18"/>
          <w:szCs w:val="18"/>
          <w:color w:val="auto"/>
        </w:rPr>
        <w:t>Mr. King served as president of Nelnet’s higher education division and led its transformation to become an online medical education program. He also led data security at Nelnet. Mr. King holds a Bachelor of Science in Mathematics and Physics from Westminster College, and a Master of Science in Physics from Miami University.</w:t>
      </w:r>
    </w:p>
    <w:p>
      <w:pPr>
        <w:spacing w:after="0" w:line="144" w:lineRule="exact"/>
        <w:rPr>
          <w:sz w:val="20"/>
          <w:szCs w:val="20"/>
          <w:color w:val="auto"/>
        </w:rPr>
      </w:pPr>
    </w:p>
    <w:p>
      <w:pPr>
        <w:ind w:left="120" w:right="380" w:firstLine="440"/>
        <w:spacing w:after="0" w:line="245" w:lineRule="auto"/>
        <w:rPr>
          <w:sz w:val="20"/>
          <w:szCs w:val="20"/>
          <w:color w:val="auto"/>
        </w:rPr>
      </w:pPr>
      <w:r>
        <w:rPr>
          <w:rFonts w:ascii="Arial" w:cs="Arial" w:eastAsia="Arial" w:hAnsi="Arial"/>
          <w:sz w:val="18"/>
          <w:szCs w:val="18"/>
          <w:i w:val="1"/>
          <w:iCs w:val="1"/>
          <w:color w:val="auto"/>
        </w:rPr>
        <w:t xml:space="preserve">Sharon Butler </w:t>
      </w:r>
      <w:r>
        <w:rPr>
          <w:rFonts w:ascii="Arial" w:cs="Arial" w:eastAsia="Arial" w:hAnsi="Arial"/>
          <w:sz w:val="18"/>
          <w:szCs w:val="18"/>
          <w:color w:val="auto"/>
        </w:rPr>
        <w:t>has served as our Executive Vice President of Global Education since May 2016 Prior to serving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Education, Ms. Butler served as our Vice President of Global Sales from June 2014 to May 2015 and as our Global Sales Director from December 2010 to June 2014. Ms. Butler has a degree in Communications with a minor in Business from Bridgewater State University.</w:t>
      </w:r>
    </w:p>
    <w:p>
      <w:pPr>
        <w:spacing w:after="0" w:line="15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John Talaga </w:t>
      </w:r>
      <w:r>
        <w:rPr>
          <w:rFonts w:ascii="Arial" w:cs="Arial" w:eastAsia="Arial" w:hAnsi="Arial"/>
          <w:sz w:val="18"/>
          <w:szCs w:val="18"/>
          <w:color w:val="auto"/>
        </w:rPr>
        <w:t>has served as our Executive Vice President of Healthcare since January 2018, following our acquisition of OnPlan</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where he was a co-founder and leveraged his background in payments, analytics and billing to develop innovative payment plan solutions for the healthcare and education sectors. Before co-founding OnPlan in May 2014, Mr. Talaga led the healthcare vertical for doxo inc., a multi-biller payment network. Mr. Talaga co-founded HealthCom Partners in 2001, which launched healthcare billing online account management solutions. After HealthCom sold to McKesson (to form RelayHealth, Mr. Talaga led the patient billing and payment business at RelayHealth for five years before joining doxo in 2011. Mr. Talaga holds a Bachelor’s degree from the University of Dayton.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i w:val="1"/>
          <w:iCs w:val="1"/>
          <w:color w:val="auto"/>
        </w:rPr>
        <w:t xml:space="preserve">Matt Harris </w:t>
      </w:r>
      <w:r>
        <w:rPr>
          <w:rFonts w:ascii="Arial" w:cs="Arial" w:eastAsia="Arial" w:hAnsi="Arial"/>
          <w:sz w:val="18"/>
          <w:szCs w:val="18"/>
          <w:color w:val="auto"/>
        </w:rPr>
        <w:t>has served as a member of our board of directors since January 2015. Mr. Harris has also been a Partner at Bain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since September 2012. Prior to joining Bain, Mr. Harris founded Village Ventures, Inc., an early stage venture capital firm focused on the media and financial services sectors, and served as Managing Director from January 2000 to September 2012. Mr. Harris holds a Bachelor of Arts in Political Economy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157" w:lineRule="exact"/>
        <w:rPr>
          <w:sz w:val="20"/>
          <w:szCs w:val="20"/>
          <w:color w:val="auto"/>
        </w:rPr>
      </w:pPr>
    </w:p>
    <w:p>
      <w:pPr>
        <w:ind w:left="120" w:right="280" w:firstLine="440"/>
        <w:spacing w:after="0" w:line="267" w:lineRule="auto"/>
        <w:rPr>
          <w:sz w:val="20"/>
          <w:szCs w:val="20"/>
          <w:color w:val="auto"/>
        </w:rPr>
      </w:pPr>
      <w:r>
        <w:rPr>
          <w:rFonts w:ascii="Arial" w:cs="Arial" w:eastAsia="Arial" w:hAnsi="Arial"/>
          <w:sz w:val="18"/>
          <w:szCs w:val="18"/>
          <w:i w:val="1"/>
          <w:iCs w:val="1"/>
          <w:color w:val="auto"/>
        </w:rPr>
        <w:t xml:space="preserve">Alex Finkelstein </w:t>
      </w:r>
      <w:r>
        <w:rPr>
          <w:rFonts w:ascii="Arial" w:cs="Arial" w:eastAsia="Arial" w:hAnsi="Arial"/>
          <w:sz w:val="18"/>
          <w:szCs w:val="18"/>
          <w:color w:val="auto"/>
        </w:rPr>
        <w:t>has served as a member of our board of directors since 2011. Mr. Finkelstein has served as a General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Spark Capital, a venture capital firm, since 2005. Alex began his career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color w:val="auto"/>
        </w:rPr>
        <w:t>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Alex earned his Bachelor of Arts in Political Science from Middlebury College. We believe Mr. Finkelstein is qualified to serve on our board of directors because of his extensive business experience with technology companies, including experience in the formation, development and business strategy of multiple start-up companies.</w:t>
      </w:r>
    </w:p>
    <w:p>
      <w:pPr>
        <w:spacing w:after="0" w:line="14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i w:val="1"/>
          <w:iCs w:val="1"/>
          <w:color w:val="auto"/>
        </w:rPr>
        <w:t xml:space="preserve">Jo Natauri </w:t>
      </w:r>
      <w:r>
        <w:rPr>
          <w:rFonts w:ascii="Arial" w:cs="Arial" w:eastAsia="Arial" w:hAnsi="Arial"/>
          <w:sz w:val="18"/>
          <w:szCs w:val="18"/>
          <w:color w:val="auto"/>
        </w:rPr>
        <w:t>has served as a member of our board of directors since November 2020. Ms. Natauri is a Managing Director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head of Healthcare Investing within the Merchant Banking Division (MBD) of Goldman Sachs, a global investment banking, securities and investment management firm, a position she has held since May 2018. In her current role, Ms. Natauri oversees a portfolio of investments and serves on the boards, or as an observer on the boards, of several MBD portfolio companies. Prior to assuming her current role at MBD, Ms. Natauri was an investment banker with Goldman Sachs for 12 years, where she led coverage of large cap companies in healthcare and other industries. She was named managing director in 2008 and partner in 2012. Ms. Natauri serves on the board of Safe Horizon, the nation’s leading victim assistance organization. Ms. Natauri earned a Bachelor of Arts in economics and biology from the University of Virginia. We believe Ms. Natauri is qualified to serve on our board of directors because of her senior management experience as a Managing Director of Goldman Sachs, board and advisory experience with other companies in our industry and her experience in the areas of finance, strategy and institutional business transactions.</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i w:val="1"/>
          <w:iCs w:val="1"/>
          <w:color w:val="auto"/>
        </w:rPr>
        <w:t xml:space="preserve">Phillip Riese </w:t>
      </w:r>
      <w:r>
        <w:rPr>
          <w:rFonts w:ascii="Arial" w:cs="Arial" w:eastAsia="Arial" w:hAnsi="Arial"/>
          <w:sz w:val="18"/>
          <w:szCs w:val="18"/>
          <w:color w:val="auto"/>
        </w:rPr>
        <w:t>has served as a member and chair of our board of directors since August 2013. In November 1998, Mr. Riese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companies across the globe, including Monzo Bank Limited in the U.K., TravelPerk S.L.U. in Spain and Remitly, Inc., Betterment LLC and Cross River Bank in the U.S.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p>
      <w:pPr>
        <w:spacing w:after="0" w:line="14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 xml:space="preserve">Edwin Santos </w:t>
      </w:r>
      <w:r>
        <w:rPr>
          <w:rFonts w:ascii="Arial" w:cs="Arial" w:eastAsia="Arial" w:hAnsi="Arial"/>
          <w:sz w:val="18"/>
          <w:szCs w:val="18"/>
          <w:color w:val="auto"/>
        </w:rPr>
        <w:t>has served as a member of our board of directors since April 2021. Mr. Santos has had a distinguished career in</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Washington Trust Bancorp Inc. and Fidelity Institutional Asset Management, a Fidelity Investments company. He is also Past President of the Board of Trustees of Rocky Hill School, and a member of the Bryant University Board of Trustees. Mr. Santos holds a Bachelor’s degree in Business Administration and Accounting from Bryant University. We believe Mr. Santos is qualified to serve on our board of directors because of his professional competency and broad experience in the financial services industry.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19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07" w:lineRule="exact"/>
        <w:rPr>
          <w:sz w:val="20"/>
          <w:szCs w:val="20"/>
          <w:color w:val="auto"/>
        </w:rPr>
      </w:pPr>
    </w:p>
    <w:p>
      <w:pPr>
        <w:ind w:left="120" w:right="100" w:firstLine="440"/>
        <w:spacing w:after="0" w:line="234" w:lineRule="auto"/>
        <w:rPr>
          <w:sz w:val="20"/>
          <w:szCs w:val="20"/>
          <w:color w:val="auto"/>
        </w:rPr>
      </w:pPr>
      <w:r>
        <w:rPr>
          <w:rFonts w:ascii="Arial" w:cs="Arial" w:eastAsia="Arial" w:hAnsi="Arial"/>
          <w:sz w:val="18"/>
          <w:szCs w:val="18"/>
          <w:color w:val="auto"/>
        </w:rPr>
        <w:t>Our board of directors currently consists of six members. Pursuant to our amended and restated certificate of incorporation and amended and restated voting agreement as in effect prior to this offering, the seat occupied by Mr. Finkelstein is elected by the holders of our preferred stock (excluding our Series B1-NV Preferred Stock and our Series E-2 Preferred Stock); the seat occupied by Mr. Harris is also elected by the holders of our preferred stock (excluding our Series B1-NV Preferred Stock and our Series E-2 Preferred Stock); the seat occupied by Ms. Natauri is also elected by the holders of our preferred stock (excluding our Series B1-NV Preferred Stock and our Series E-2 Preferred Stock); the seat occupied by Mr. Massaro is elected by the holders of our common stock; the seat occupied by</w:t>
      </w:r>
    </w:p>
    <w:p>
      <w:pPr>
        <w:spacing w:after="0" w:line="4"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Mr. Riese is elected by the holders of all of our preferred stock and our common stock, voting together as a single class and on an as-converted basis; and the seat occupied by Mr. Santos is elected by the holders of all of our preferred stock and our common stock, voting together as a single class and on an as-converted basis.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amended and restated voting agreement and the provisions of our amended and restated certificate of incorporation by which all of our current directors were elected will terminate, and no contractual obligations regarding the election of our directors will remain, effective upon the completion of this offering. Each of our directors then serving will continue to serve until the election and qualification of his or her successor, or his or her earlier death, resignation, or removal.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Upon the completion of this offering, our board of directors will consist of six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02" w:lineRule="exact"/>
        <w:rPr>
          <w:sz w:val="20"/>
          <w:szCs w:val="20"/>
          <w:color w:val="auto"/>
        </w:rPr>
      </w:pPr>
    </w:p>
    <w:p>
      <w:pPr>
        <w:ind w:left="880" w:right="102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Class I directors will be Michael Massaro and Jo Natauri, and their terms will expire at the first annual meeting of stockholders to be held after the completion of this offering;</w:t>
      </w:r>
    </w:p>
    <w:p>
      <w:pPr>
        <w:spacing w:after="0" w:line="196"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Class II directors will be Alex Finkelstein and Matt Harris, and their terms will expire at the second annual meeting of stockholders to be held after the completion of this offering; and</w:t>
      </w:r>
    </w:p>
    <w:p>
      <w:pPr>
        <w:spacing w:after="0" w:line="196" w:lineRule="exact"/>
        <w:rPr>
          <w:rFonts w:ascii="Arial" w:cs="Arial" w:eastAsia="Arial" w:hAnsi="Arial"/>
          <w:sz w:val="18"/>
          <w:szCs w:val="18"/>
          <w:color w:val="auto"/>
        </w:rPr>
      </w:pPr>
    </w:p>
    <w:p>
      <w:pPr>
        <w:ind w:left="880" w:right="94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Class III directors will be Edwin Santos and Phillip Riese, and their terms will expire at the third annual meeting of stockholders to be held after the completion of this offering.</w:t>
      </w:r>
    </w:p>
    <w:p>
      <w:pPr>
        <w:spacing w:after="0" w:line="15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Upon the completion of this offering, our common stock will be listed on The Nasdaq Global Select Market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company’s board of directors, that person does not have a relationship that would interfere with the exercise of independent judgment in carrying out the responsibilities of a director.</w:t>
      </w:r>
    </w:p>
    <w:p>
      <w:pPr>
        <w:spacing w:after="0" w:line="170"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other than Mr. Massaro, our chief executive officer,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93"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members of our audit committee are Mr. Santos , Mr. Riese and Mr. Finkelstein. Mr. Santos is the chair of the audit committee. Each member of our audit committee can read and understand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fundamental financial statements. Each member of our audit committee is independent under the rules and regulations of the SEC and the listing standards of Nasdaq applicable to audit committee members. Our board of directors has determined that Mr. Santos qualifies as an audit committee financial expert within the meaning of SEC regulations and meets the financial sophistication requirements of Nasdaq.</w:t>
      </w:r>
    </w:p>
    <w:p>
      <w:pPr>
        <w:spacing w:after="0" w:line="159"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Effective at the time of the offering, 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7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07"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members of our compensation committee are Mr. Harris and Mr. Finkelstein. Mr. Harris is the chair of the compensation committee. Each member of our compensation committee is independent under the rules and regulations of the SEC and the listing standards of Nasdaq applicable to compensation committee members. Effective at the time of the offering,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6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Effective at the time of the offering, 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members of our nominating and corporate governance committee are Mr. Riese and Mr. Santos. Each member of our nominating and governance committee is independent under the rules and regulations of the SEC and the listing standards of Nasdaq applicable to nominating and governance committee members. Mr. Riese is the chair of the nominating and corporate governance committee. Effective at the time of the offering, our nominating and corporate governance committee will assist our board of directors with its oversight of and identification of individuals qualified to become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93"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7"/>
          <w:szCs w:val="17"/>
          <w:color w:val="auto"/>
        </w:rPr>
        <w:t>No member of our compensation committee is currently or has at any time during the past year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20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Our board of directors will adopt a Code of Conduct (the Code of Conduct) prior to the completion of this offering. The Code of Conduct will apply to all of our employees, officers, directors, contractors, consultants, suppliers and agents. Upon the completion of this offering, the full text of the Code of Conduct will be posted on our website at www.flywire.com under the Investor Relations section. We intend to disclose future amendments to, or waivers of, the Code of Conduct,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compensation paid to Mr. Massaro, our only employee director, is set forth below in the section titled “Executive Compensation.”</w:t>
      </w:r>
    </w:p>
    <w:p>
      <w:pPr>
        <w:ind w:left="120"/>
        <w:spacing w:after="0" w:line="234" w:lineRule="auto"/>
        <w:rPr>
          <w:sz w:val="20"/>
          <w:szCs w:val="20"/>
          <w:color w:val="auto"/>
        </w:rPr>
      </w:pPr>
      <w:r>
        <w:rPr>
          <w:rFonts w:ascii="Arial" w:cs="Arial" w:eastAsia="Arial" w:hAnsi="Arial"/>
          <w:sz w:val="18"/>
          <w:szCs w:val="18"/>
          <w:color w:val="auto"/>
        </w:rPr>
        <w:t>The following table provides information regarding compensation of our non-employee directors for director service, for the fiscal year</w:t>
      </w:r>
    </w:p>
    <w:p>
      <w:pPr>
        <w:ind w:left="120"/>
        <w:spacing w:after="0" w:line="235" w:lineRule="auto"/>
        <w:rPr>
          <w:sz w:val="20"/>
          <w:szCs w:val="20"/>
          <w:color w:val="auto"/>
        </w:rPr>
      </w:pPr>
      <w:r>
        <w:rPr>
          <w:rFonts w:ascii="Arial" w:cs="Arial" w:eastAsia="Arial" w:hAnsi="Arial"/>
          <w:sz w:val="18"/>
          <w:szCs w:val="18"/>
          <w:color w:val="auto"/>
        </w:rPr>
        <w:t>ended December 31, 2020. Other than as set forth in the table and described more fully below, during the fiscal year ended</w:t>
      </w:r>
    </w:p>
    <w:p>
      <w:pPr>
        <w:ind w:left="120"/>
        <w:spacing w:after="0" w:line="235" w:lineRule="auto"/>
        <w:rPr>
          <w:sz w:val="20"/>
          <w:szCs w:val="20"/>
          <w:color w:val="auto"/>
        </w:rPr>
      </w:pPr>
      <w:r>
        <w:rPr>
          <w:rFonts w:ascii="Arial" w:cs="Arial" w:eastAsia="Arial" w:hAnsi="Arial"/>
          <w:sz w:val="18"/>
          <w:szCs w:val="18"/>
          <w:color w:val="auto"/>
        </w:rPr>
        <w:t>December 31, 2020 we did not pay any fees to, make any equity awards or non-equity awards to, or pay any other compensation to the</w:t>
      </w:r>
    </w:p>
    <w:p>
      <w:pPr>
        <w:ind w:left="120"/>
        <w:spacing w:after="0" w:line="235" w:lineRule="auto"/>
        <w:rPr>
          <w:sz w:val="20"/>
          <w:szCs w:val="20"/>
          <w:color w:val="auto"/>
        </w:rPr>
      </w:pPr>
      <w:r>
        <w:rPr>
          <w:rFonts w:ascii="Arial" w:cs="Arial" w:eastAsia="Arial" w:hAnsi="Arial"/>
          <w:sz w:val="18"/>
          <w:szCs w:val="18"/>
          <w:color w:val="auto"/>
        </w:rPr>
        <w:t>non-employee members of our board of directors. Edwin Santos is not included in the table below since Mr. Santos was appointed to our</w:t>
      </w:r>
    </w:p>
    <w:p>
      <w:pPr>
        <w:ind w:left="120"/>
        <w:spacing w:after="0"/>
        <w:rPr>
          <w:sz w:val="20"/>
          <w:szCs w:val="20"/>
          <w:color w:val="auto"/>
        </w:rPr>
      </w:pPr>
      <w:r>
        <w:rPr>
          <w:rFonts w:ascii="Arial" w:cs="Arial" w:eastAsia="Arial" w:hAnsi="Arial"/>
          <w:sz w:val="18"/>
          <w:szCs w:val="18"/>
          <w:color w:val="auto"/>
        </w:rPr>
        <w:t>board of directors in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w w:val="97"/>
              </w:rPr>
              <w:t>Name</w:t>
            </w:r>
          </w:p>
        </w:tc>
        <w:tc>
          <w:tcPr>
            <w:tcW w:w="7160" w:type="dxa"/>
            <w:vAlign w:val="bottom"/>
            <w:vMerge w:val="restart"/>
          </w:tcPr>
          <w:p>
            <w:pPr>
              <w:spacing w:after="0"/>
              <w:rPr>
                <w:sz w:val="18"/>
                <w:szCs w:val="18"/>
                <w:color w:val="auto"/>
              </w:rPr>
            </w:pPr>
          </w:p>
        </w:tc>
        <w:tc>
          <w:tcPr>
            <w:tcW w:w="25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8"/>
              </w:rPr>
              <w:t>Option Awards ($)</w:t>
            </w:r>
            <w:r>
              <w:rPr>
                <w:rFonts w:ascii="Arial" w:cs="Arial" w:eastAsia="Arial" w:hAnsi="Arial"/>
                <w:sz w:val="15"/>
                <w:szCs w:val="15"/>
                <w:b w:val="1"/>
                <w:bCs w:val="1"/>
                <w:color w:val="auto"/>
                <w:w w:val="98"/>
              </w:rPr>
              <w:t>(2)</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0"/>
        </w:trPr>
        <w:tc>
          <w:tcPr>
            <w:tcW w:w="500" w:type="dxa"/>
            <w:vAlign w:val="bottom"/>
            <w:tcBorders>
              <w:bottom w:val="single" w:sz="8" w:color="auto"/>
            </w:tcBorders>
            <w:vMerge w:val="continue"/>
          </w:tcPr>
          <w:p>
            <w:pPr>
              <w:spacing w:after="0"/>
              <w:rPr>
                <w:sz w:val="16"/>
                <w:szCs w:val="16"/>
                <w:color w:val="auto"/>
              </w:rPr>
            </w:pPr>
          </w:p>
        </w:tc>
        <w:tc>
          <w:tcPr>
            <w:tcW w:w="7160" w:type="dxa"/>
            <w:vAlign w:val="bottom"/>
            <w:vMerge w:val="continue"/>
          </w:tcPr>
          <w:p>
            <w:pPr>
              <w:spacing w:after="0"/>
              <w:rPr>
                <w:sz w:val="16"/>
                <w:szCs w:val="16"/>
                <w:color w:val="auto"/>
              </w:rPr>
            </w:pPr>
          </w:p>
        </w:tc>
        <w:tc>
          <w:tcPr>
            <w:tcW w:w="1720" w:type="dxa"/>
            <w:vAlign w:val="bottom"/>
          </w:tcPr>
          <w:p>
            <w:pPr>
              <w:jc w:val="right"/>
              <w:ind w:right="692"/>
              <w:spacing w:after="0" w:line="170" w:lineRule="exact"/>
              <w:rPr>
                <w:sz w:val="20"/>
                <w:szCs w:val="20"/>
                <w:color w:val="auto"/>
              </w:rPr>
            </w:pPr>
            <w:r>
              <w:rPr>
                <w:rFonts w:ascii="Arial" w:cs="Arial" w:eastAsia="Arial" w:hAnsi="Arial"/>
                <w:sz w:val="15"/>
                <w:szCs w:val="15"/>
                <w:b w:val="1"/>
                <w:bCs w:val="1"/>
                <w:color w:val="auto"/>
              </w:rPr>
              <w:t>(3)</w:t>
            </w:r>
          </w:p>
        </w:tc>
        <w:tc>
          <w:tcPr>
            <w:tcW w:w="8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Alex Finkelstein</w:t>
            </w:r>
          </w:p>
        </w:tc>
        <w:tc>
          <w:tcPr>
            <w:tcW w:w="1720" w:type="dxa"/>
            <w:vAlign w:val="bottom"/>
            <w:tcBorders>
              <w:top w:val="single" w:sz="8" w:color="auto"/>
            </w:tcBorders>
            <w:shd w:val="clear" w:color="auto" w:fill="CCEEFF"/>
          </w:tcPr>
          <w:p>
            <w:pPr>
              <w:ind w:left="1440"/>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Matt Harris</w:t>
            </w:r>
          </w:p>
        </w:tc>
        <w:tc>
          <w:tcPr>
            <w:tcW w:w="2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 Natauri</w:t>
            </w:r>
          </w:p>
        </w:tc>
        <w:tc>
          <w:tcPr>
            <w:tcW w:w="2580" w:type="dxa"/>
            <w:vAlign w:val="bottom"/>
            <w:gridSpan w:val="2"/>
            <w:shd w:val="clear" w:color="auto" w:fill="CCEEFF"/>
          </w:tcPr>
          <w:p>
            <w:pPr>
              <w:ind w:left="1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660" w:type="dxa"/>
            <w:vAlign w:val="bottom"/>
            <w:gridSpan w:val="2"/>
          </w:tcPr>
          <w:p>
            <w:pPr>
              <w:spacing w:after="0"/>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w:t>
            </w:r>
          </w:p>
        </w:tc>
        <w:tc>
          <w:tcPr>
            <w:tcW w:w="2580" w:type="dxa"/>
            <w:vAlign w:val="bottom"/>
            <w:gridSpan w:val="2"/>
          </w:tcPr>
          <w:p>
            <w:pPr>
              <w:jc w:val="right"/>
              <w:ind w:right="860"/>
              <w:spacing w:after="0"/>
              <w:rPr>
                <w:sz w:val="20"/>
                <w:szCs w:val="20"/>
                <w:color w:val="auto"/>
              </w:rPr>
            </w:pPr>
            <w:r>
              <w:rPr>
                <w:rFonts w:ascii="Arial" w:cs="Arial" w:eastAsia="Arial" w:hAnsi="Arial"/>
                <w:sz w:val="18"/>
                <w:szCs w:val="18"/>
                <w:color w:val="auto"/>
              </w:rPr>
              <w:t>142,553</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142,553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right="60" w:hanging="544"/>
        <w:spacing w:after="0" w:line="238"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On May 5, 2020, Mr. Riese was granted an option to purchase 90,000 shares of our common stock at an exercise price of $3.95 per share. The option vests over a four-year period based on Mr. Riese’s continuous service with us through each vesting date, with 25% of the shares vesting on the first anniversary of the grant date and 1/48</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vesting upon the completion of each month of continuous service thereafter.</w:t>
      </w:r>
    </w:p>
    <w:p>
      <w:pPr>
        <w:spacing w:after="0" w:line="1" w:lineRule="exact"/>
        <w:rPr>
          <w:rFonts w:ascii="Arial" w:cs="Arial" w:eastAsia="Arial" w:hAnsi="Arial"/>
          <w:sz w:val="14"/>
          <w:szCs w:val="14"/>
          <w:color w:val="auto"/>
        </w:rPr>
      </w:pPr>
    </w:p>
    <w:p>
      <w:pPr>
        <w:ind w:left="660" w:right="160"/>
        <w:spacing w:after="0" w:line="249" w:lineRule="auto"/>
        <w:rPr>
          <w:rFonts w:ascii="Arial" w:cs="Arial" w:eastAsia="Arial" w:hAnsi="Arial"/>
          <w:sz w:val="14"/>
          <w:szCs w:val="14"/>
          <w:color w:val="auto"/>
        </w:rPr>
      </w:pPr>
      <w:r>
        <w:rPr>
          <w:rFonts w:ascii="Arial" w:cs="Arial" w:eastAsia="Arial" w:hAnsi="Arial"/>
          <w:sz w:val="14"/>
          <w:szCs w:val="14"/>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expects to approve a non-employee director compensation policy, which will take effect following the completion of this offering.</w:t>
      </w:r>
    </w:p>
    <w:p>
      <w:pPr>
        <w:spacing w:after="0" w:line="106" w:lineRule="exact"/>
        <w:rPr>
          <w:rFonts w:ascii="Arial" w:cs="Arial" w:eastAsia="Arial" w:hAnsi="Arial"/>
          <w:sz w:val="14"/>
          <w:szCs w:val="14"/>
          <w:color w:val="auto"/>
        </w:rPr>
      </w:pPr>
    </w:p>
    <w:p>
      <w:pPr>
        <w:ind w:left="660" w:right="180" w:hanging="544"/>
        <w:spacing w:after="0" w:line="249"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 date fair value of stock awards or option awards granted to the director, computed in accordance with FASB ASC Topic No. 718. See Note 2 to our consolidated financial statements included elsewhere in this prospectus for a discussion of the assumptions made by us in determining the grant date fair value of our equity awards.</w:t>
      </w:r>
    </w:p>
    <w:p>
      <w:pPr>
        <w:spacing w:after="0" w:line="106" w:lineRule="exact"/>
        <w:rPr>
          <w:rFonts w:ascii="Arial" w:cs="Arial" w:eastAsia="Arial" w:hAnsi="Arial"/>
          <w:sz w:val="14"/>
          <w:szCs w:val="14"/>
          <w:color w:val="auto"/>
        </w:rPr>
      </w:pPr>
    </w:p>
    <w:p>
      <w:pPr>
        <w:ind w:left="660" w:hanging="544"/>
        <w:spacing w:after="0"/>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Including the grant in fiscal 2020, Mr. Riese currently holds options to purchase 573,096 shares.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May 16, 2021, in connection with his appointment to our board of directors, Mr. Santos was granted, subject to the execution of the underwriting agreement for this offering, a restricted stock unit valued at $ 350,000 (the Santos RSU). The number of shares subject to the Santos RSU will be calculated using our public offering price and will vest in three equal annual installments on each anniversary of the date of grant.</w:t>
      </w:r>
    </w:p>
    <w:p>
      <w:pPr>
        <w:spacing w:after="0" w:line="17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May 16, 2021, in consideration of his continuous service as a member of our board of directors, Mr. Riese was granted, subject to the execution of the underwriting agreement for this offering, a restricted stock unit valued at $175,000 (the Riese RSU). The number of shares subject to the Riese RSU will be calculated using our public offering price and will vest in full on the earlier of the one-year anniversary of the date of grant or the first annual meeting following the date of grant.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93"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Our board of directors adopted the following compensation program in May 2021 for our non-employee directors following completion of this offering.</w:t>
      </w:r>
    </w:p>
    <w:p>
      <w:pPr>
        <w:spacing w:after="0" w:line="17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Each non-employee director will be paid an annual cash retainer of $30,000. Any non-employee director who serves as the chair of the board of directors will be paid an additional $20,000 annually. The chair of the audit committee will be paid an additional $20,000 annually, the chair of the compensation committee will be paid an additional $12,000 annually and the chair of the nominating and corporate governance committee will be paid an additional $8,000 annually. In addition to any fees received as chair of our committees, members of the audit committee will be paid an additional $10,000 annually, members of the compensation committee will be paid an additional $6,000 annually and members of the nominating and corporate governance committee will be paid an additional $4,000 annually. All retainers will be paid in arrears in substantially equal quarterly installments.</w:t>
      </w:r>
    </w:p>
    <w:p>
      <w:pPr>
        <w:spacing w:after="0" w:line="162" w:lineRule="exact"/>
        <w:rPr>
          <w:sz w:val="20"/>
          <w:szCs w:val="20"/>
          <w:color w:val="auto"/>
        </w:rPr>
      </w:pPr>
    </w:p>
    <w:p>
      <w:pPr>
        <w:jc w:val="both"/>
        <w:ind w:left="120" w:right="520" w:firstLine="440"/>
        <w:spacing w:after="0" w:line="274" w:lineRule="auto"/>
        <w:rPr>
          <w:sz w:val="20"/>
          <w:szCs w:val="20"/>
          <w:color w:val="auto"/>
        </w:rPr>
      </w:pPr>
      <w:r>
        <w:rPr>
          <w:rFonts w:ascii="Arial" w:cs="Arial" w:eastAsia="Arial" w:hAnsi="Arial"/>
          <w:sz w:val="17"/>
          <w:szCs w:val="17"/>
          <w:color w:val="auto"/>
        </w:rPr>
        <w:t>In addition, the compensation program for our non-employee directors will include both an initial award of restricted stock units (RSUs) upon joining our board of directors and an annual award of RSUs connection with each annual meeting of our stockholders.</w:t>
      </w:r>
    </w:p>
    <w:p>
      <w:pPr>
        <w:spacing w:after="0" w:line="175" w:lineRule="exact"/>
        <w:rPr>
          <w:sz w:val="20"/>
          <w:szCs w:val="20"/>
          <w:color w:val="auto"/>
        </w:rPr>
      </w:pPr>
    </w:p>
    <w:p>
      <w:pPr>
        <w:ind w:left="880" w:hanging="224"/>
        <w:spacing w:after="0" w:line="23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Annual Equity Award: Two days prior to each regular meeting of stockholders, each continuing non-employee director will automatically receive a RSU valued at $175,000 calculated based on the closing price of our common stock on the date of grant. It is expected that such RSU will vest on the earlier of the one-year anniversary from the date of grant or the first annual meeting following the date of grant, subject to the non-employee director’s continuous service as a member of our board of directors through such date. Such award will accelerate and fully vest upon a change in control, or such non-employee director’s earlier death or disability.</w:t>
      </w:r>
    </w:p>
    <w:p>
      <w:pPr>
        <w:spacing w:after="0" w:line="204"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Initial Equity Award: Each new non-employee director who joins our board of directors following this offering will automatically receive an initial RSU valued at $350,000 calculated based on the closing price of our common stock on the date of grant. It is expected that such RSU will vest in three equal annual installments on each anniversary of the date of grant, subject to the non-employee director’s continuous service as a member of our board of directors through such date. Such award will accelerate and fully vest upon a change in control, or such non-employee director’s earlier death or disability.</w:t>
      </w:r>
    </w:p>
    <w:p>
      <w:pPr>
        <w:spacing w:after="0" w:line="162"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Messrs. Harris and Finklestein as well as Ms. Natauri have waived the non-employee director RSUs and the cash compensation under our non-employee director compensation program.</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following tables and accompanying narrative set forth information about the fiscal 2020 compensation provided to our principal executive officer and the two most highly compensated executive officers (other than our principal executive officer) who were serving as executive officers as of December 31, 2020. These executive officers were Michael Massaro, our Chief Executive Officer, Rob Orgel, our President and Chief Operating Officer, and Michael Ellis, our Chief Financial Officer, and we refer to them in this section as our “named executive officers.”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9"/>
              </w:rPr>
              <w:t>Non-Equity</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9"/>
              </w:rPr>
              <w:t>Incentive Plan</w:t>
            </w:r>
          </w:p>
        </w:tc>
        <w:tc>
          <w:tcPr>
            <w:tcW w:w="9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Option</w:t>
            </w:r>
          </w:p>
        </w:tc>
        <w:tc>
          <w:tcPr>
            <w:tcW w:w="180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All Other</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Salary</w:t>
            </w:r>
          </w:p>
        </w:tc>
        <w:tc>
          <w:tcPr>
            <w:tcW w:w="202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9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Awards</w:t>
            </w:r>
          </w:p>
        </w:tc>
        <w:tc>
          <w:tcPr>
            <w:tcW w:w="180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7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w:t>
            </w:r>
          </w:p>
        </w:tc>
        <w:tc>
          <w:tcPr>
            <w:tcW w:w="3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5"/>
                <w:szCs w:val="15"/>
                <w:b w:val="1"/>
                <w:bCs w:val="1"/>
                <w:color w:val="auto"/>
                <w:w w:val="99"/>
              </w:rPr>
              <w:t>(1)</w:t>
            </w:r>
          </w:p>
        </w:tc>
        <w:tc>
          <w:tcPr>
            <w:tcW w:w="7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Michael Massaro,</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9,750</w:t>
            </w:r>
            <w:r>
              <w:rPr>
                <w:rFonts w:ascii="Arial" w:cs="Arial" w:eastAsia="Arial" w:hAnsi="Arial"/>
                <w:sz w:val="15"/>
                <w:szCs w:val="15"/>
                <w:color w:val="auto"/>
              </w:rPr>
              <w:t>(2)</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Executive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425,000</w:t>
            </w:r>
          </w:p>
        </w:tc>
        <w:tc>
          <w:tcPr>
            <w:tcW w:w="202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189,000</w:t>
            </w:r>
          </w:p>
        </w:tc>
        <w:tc>
          <w:tcPr>
            <w:tcW w:w="98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8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623,750</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Rob Orgel,</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180"/>
              <w:spacing w:after="0" w:line="203" w:lineRule="exact"/>
              <w:rPr>
                <w:sz w:val="20"/>
                <w:szCs w:val="20"/>
                <w:color w:val="auto"/>
              </w:rPr>
            </w:pPr>
            <w:r>
              <w:rPr>
                <w:rFonts w:ascii="Arial" w:cs="Arial" w:eastAsia="Arial" w:hAnsi="Arial"/>
                <w:sz w:val="18"/>
                <w:szCs w:val="18"/>
                <w:color w:val="auto"/>
              </w:rPr>
              <w:t>President and Chief Operating Officer</w:t>
            </w:r>
          </w:p>
        </w:tc>
        <w:tc>
          <w:tcPr>
            <w:tcW w:w="80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325,000</w:t>
            </w:r>
          </w:p>
        </w:tc>
        <w:tc>
          <w:tcPr>
            <w:tcW w:w="2020" w:type="dxa"/>
            <w:vAlign w:val="bottom"/>
            <w:gridSpan w:val="2"/>
          </w:tcPr>
          <w:p>
            <w:pPr>
              <w:jc w:val="right"/>
              <w:ind w:right="760"/>
              <w:spacing w:after="0" w:line="203" w:lineRule="exact"/>
              <w:rPr>
                <w:sz w:val="20"/>
                <w:szCs w:val="20"/>
                <w:color w:val="auto"/>
              </w:rPr>
            </w:pPr>
            <w:r>
              <w:rPr>
                <w:rFonts w:ascii="Arial" w:cs="Arial" w:eastAsia="Arial" w:hAnsi="Arial"/>
                <w:sz w:val="18"/>
                <w:szCs w:val="18"/>
                <w:color w:val="auto"/>
              </w:rPr>
              <w:t>162,750</w:t>
            </w:r>
          </w:p>
        </w:tc>
        <w:tc>
          <w:tcPr>
            <w:tcW w:w="98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487,750</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Ellis,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7,825</w:t>
            </w:r>
            <w:r>
              <w:rPr>
                <w:rFonts w:ascii="Arial" w:cs="Arial" w:eastAsia="Arial" w:hAnsi="Arial"/>
                <w:sz w:val="15"/>
                <w:szCs w:val="15"/>
                <w:color w:val="auto"/>
              </w:rPr>
              <w:t>(2)</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Financial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270,000</w:t>
            </w:r>
          </w:p>
        </w:tc>
        <w:tc>
          <w:tcPr>
            <w:tcW w:w="202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92,295</w:t>
            </w:r>
          </w:p>
        </w:tc>
        <w:tc>
          <w:tcPr>
            <w:tcW w:w="98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8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370,120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660" w:hanging="544"/>
        <w:spacing w:after="0"/>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Company paid Messrs. Massaro, Orgel, and Ellis bonuses for performance in the fiscal year ended December 31, 2020 that were paid on February 22, 2021.</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Company matching contributions to 401(k)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For 2020, the compensation program for Flywire’s named executive officers consisted of base salary and incentive compensation delivered in the form of an opportunity to earn cash bonuses.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Base salary is set at a level that is commensurate with the executive’s duties and authorities, contributions, prior experience and sustained performance. Currently, the base salaries for Messrs. Massaro, Orgel and Ellis are $450,000, $350,000 and $300,000,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Incentive Bonus</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Cash incentive bonus is also set at a level that is commensurate with the executive’s duties and authorities, contributions, prior experience and sustained performance. With respect to each of Messrs. Massaro, Orgel, and Ellis, we have entered into offer letter agreements, described below, which sets forth their initial target cash bonuses. The current target bonus amount, subject to satisfaction of corporate and personal objectives for Messrs. Massaro, Orgel, and Ellis is $230,000, $175,000, $150,000 respectively.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Cash Incentive Plan</w:t>
      </w:r>
    </w:p>
    <w:p>
      <w:pPr>
        <w:spacing w:after="0" w:line="20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The Management Cash Incentive Plan was approved by our board of directors on May 13, 2021, and will become effective on the date immediately prior to the effectiveness of the registration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statement for the Company’s proposed initial public offering. The Management Cash Incentive Plan is intended to provide management with the opportunity to earn incentive cash bonuses based on the achievement of certain performance criteria during a certain period as determined by the Company’s board of directors.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18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are full-time employees generally. We generally do not provide our named executive officers with perquisites or other personal benefits.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Benefits</w:t>
      </w:r>
    </w:p>
    <w:p>
      <w:pPr>
        <w:spacing w:after="0" w:line="203"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have established a 401(k) tax-deferred retirement savings plan, which permits participants, including our named executive officers, to make contributions by salary deduction pursuant to Section 401(k) of the Internal Revenue Code. We are responsible for administrative costs of the 401(k) plan. We match 50% of every dollar contributed up to 6% of salary, subject to certain limitations under the Internal Revenue Code. For 2020, Messrs. Massaro and Ellis received an employer matching contribution of $9,750 and $7,825,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Flywire’s Named Executive Officers and Potential Payments Upon Termination or Change in Control</w:t>
      </w:r>
    </w:p>
    <w:p>
      <w:pPr>
        <w:spacing w:after="0" w:line="19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have entered into offer letters with each of Messrs. Massaro, Orgel, and Ellis, each of which will be replaced upon completion of this offering with a new employment agreement, as summarized below. The employment agreements provide for at-will employment and, other than in the context of a termination without “Cause” or a “Resignation for Good Reason” (as such terms are defined in the employment agreements), may be terminated at any time. The severance benefits and the acceleration benefits, if any, that Messrs. Massaro, Orgel, and Ellis are entitled to pursuant to their employment agreements and equity award agreements are summarized below.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Massaro</w:t>
      </w:r>
    </w:p>
    <w:p>
      <w:pPr>
        <w:spacing w:after="0" w:line="193"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We entered into an offer letter with Mr. Massaro when he joined as our V.P. of Sales and Business Development on March 16, 2012. Pursuant to the terms of the offer letter, Mr. Massaro received a base salary at an initial annual rate of $185,000 per year. Mr. Massaro was eligible to receive an annual bonus equal to up to $50,000, based on his personal performance and that of Flywire. He was also eligible for additional variable commission based on sales and business development incentives for outstanding performance as mutually agreed upon based on personal and team goals. In December 2013, Mr. Massaro was promoted to Chief Executive Officer. Mr. Massaro’s annual base salary and target cash incentive bonus are reviewed annually and have been periodically increased. Subject to and effective upon the completion of this offering, the offer letter will be replaced with a new employment agreement. Pursuant to the terms of the new employment agreement, Mr. Massaro will receive a base salary at an annual rate of $ 450,000 per year. He will also be eligible to receive an annual discretionary performance bonus of up to $230,000 in fiscal year 2021 and $260,000 in fiscal year 2022, subject to his achievement of targets to be developed by him and to be approved by our board of directors or its compensation committee.</w:t>
      </w:r>
    </w:p>
    <w:p>
      <w:pPr>
        <w:spacing w:after="0" w:line="5"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Mr. Massaro’s performance and his attainment of such bonus goals will be evaluated and approved by the compensation committee of our board of directors on an annual basis. Mr. Massaro is eligible to participate in a number of benefit programs.</w:t>
      </w:r>
    </w:p>
    <w:p>
      <w:pPr>
        <w:spacing w:after="0" w:line="15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January 21, 2021, Mr. Massaro was granted (i) an option to purchase 300,000 shares of our common stock at an exercise price of $3.95 per share, which vests in equal monthly installments over a five-year period, with 1/60</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after January 21, 2021, and (ii) an option to purchase 300,000 shares of our common stock at an exercise price of $3.95 per share, which vests in equal monthly installments over a four-year period, with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after January 21, 2021.</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Mr. Massaro’s employment is terminated without “Cause” (as defined below) or as a result of his “Resignation for Good Reason” (as defined below), he will be eligible to receive credit for an additional six months of vesting service with respect to any outstanding equity awards as of the completion of this offering. If Mr. Massaro’s employment is terminated without “Cause” or as a result of his “Resignation for Good Reason” in the three months prior to a change in control, upon a change in control, or within 12 months following a change in control, then 100% of any unvested option shares and equity awards that are subject to time-based vesting shall be vested and non-forfeitable. In the event that, prior to such termination, any unvested options held by Mr. Massaro were terminated without payment upon the closing of the change in control, then, in lieu of the acceleration of vesting set forth in the preceding sentence, Mr. Massaro shall receive a cash payment equal in value to the difference between (i) the amount payable per share in the change in control, times the number of option shares that would have been accelerated pursuant to the preceding sentence and (ii) the aggregate exercise price of such shares.</w:t>
      </w:r>
    </w:p>
    <w:p>
      <w:pPr>
        <w:spacing w:after="0" w:line="17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Mr. Massaro’s employment is terminated without “Cause” or as a result of his “Resignation for Good Reason,” he will be eligible to receive (i) salary continuation at his then current base salary for 12 months following such termination, plus (ii) a lump sum payment equal to his accrued and unpaid annual bonus if he is terminated after the end of a fiscal year, but prior to payment of such bonus, plus (iii) the payment of COBRA continuation premiums for up to 12 months. If such termination without “Cause” or “Resignation for Good Reason” occurs in the three months prior to a change in control, upon a change in control, or within 12 months following a change in control, then Mr. Massaro will be entitled to receive (a) a lump sum cash payment equal to one and one half (1.5) multiplied by the sum of (1) his then current base salary and (2) his annual target bonus, and (b) the payment of COBRA continuation premiums for up to 18 months. Such severance payments are conditioned upon Mr. Massaro executing a general release of all claims that he may have against us. Our obligation to make severance payments during the applicable severance period will cease immediately upon Mr. Massaro’s breach of his restrictive covenants (described below) after being provided written notice of such breach and his failure to cure such breach within 30 days of such notice.</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“Cause” is defined in the employment agreement as (i) a material failure by Mr. Massaro to comply with our written policies or rules after being provided written notice and failing to remedy such failure within 30 days after such notice; (ii) Mr. Massaro’s conviction of, or plea of “guilty” or “no contest” to, a crime involving moral turpitude, deceit, dishonesty or fraud that has caused harm to us or any affiliate of our; (iii) Mr. Massaro’s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our financial or business interests by Mr. Massaro, or his use or possession of illegal drugs in the workplace; (v) the material breach by Mr. Massaro of any of his obligations under any agreement between him and us after being provided written notice and failing to remedy such failure within 30 days after such notice; or (vi) Mr. Massaro’s failure to cooperate in good faith with a governmental or internal investigation of Flywire or its directors, officers or employees, if we have requested his cooperation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foregoing, no act, or failure to act, will be deemed “willful” or “intentional” if done or omitted to be done by Mr. Massaro in good faith with a reasonable belief that his act, or failure to act, was in the best interest of Flywire.</w:t>
      </w:r>
    </w:p>
    <w:p>
      <w:pPr>
        <w:spacing w:after="0" w:line="16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“Resignation for Good Reason” is defined in the employment agreement as a separation as a result of Mr. Massaro’s resignation within 12 months after one of the following conditions has come into existence without his written consent: (i) a material diminution in Mr. Massaro’s compensation (except for across-the-board reductions affecting our similarly situated employees generally); (ii) a material diminution in Mr. Massaro’s title, duties, authority and responsibilities within Flywire;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hanging="4"/>
        <w:spacing w:after="0" w:line="238" w:lineRule="auto"/>
        <w:tabs>
          <w:tab w:leader="none" w:pos="4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relocation of Mr. Massaro’s principal workplace by more than 50 miles away from the location which he was working immediately prior to the required relocation without his prior consent; or (iv) a material breach of our obligation under any agreement between us and Mr. Massaro. A “Resignation for Good Reason” shall not be deemed to have occurred unless Mr. Massaro gives us written notice of the condition within 60 days after the condition comes into existence and we fail to remedy the condition within 30 days after receiving his written notice.</w:t>
      </w:r>
    </w:p>
    <w:p>
      <w:pPr>
        <w:spacing w:after="0" w:line="175" w:lineRule="exact"/>
        <w:rPr>
          <w:sz w:val="20"/>
          <w:szCs w:val="20"/>
          <w:color w:val="auto"/>
        </w:rPr>
      </w:pPr>
    </w:p>
    <w:p>
      <w:pPr>
        <w:ind w:left="120" w:right="860" w:firstLine="440"/>
        <w:spacing w:after="0" w:line="246" w:lineRule="auto"/>
        <w:rPr>
          <w:sz w:val="20"/>
          <w:szCs w:val="20"/>
          <w:color w:val="auto"/>
        </w:rPr>
      </w:pPr>
      <w:r>
        <w:rPr>
          <w:rFonts w:ascii="Arial" w:cs="Arial" w:eastAsia="Arial" w:hAnsi="Arial"/>
          <w:sz w:val="18"/>
          <w:szCs w:val="18"/>
          <w:color w:val="auto"/>
        </w:rPr>
        <w:t>In addition, on March 30, 2012, Mr. Massaro entered into our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Rob Orgel</w:t>
      </w:r>
    </w:p>
    <w:p>
      <w:pPr>
        <w:spacing w:after="0" w:line="193" w:lineRule="exact"/>
        <w:rPr>
          <w:sz w:val="20"/>
          <w:szCs w:val="20"/>
          <w:color w:val="auto"/>
        </w:rPr>
      </w:pPr>
    </w:p>
    <w:p>
      <w:pPr>
        <w:jc w:val="both"/>
        <w:ind w:left="120" w:right="220" w:firstLine="440"/>
        <w:spacing w:after="0" w:line="234" w:lineRule="auto"/>
        <w:rPr>
          <w:sz w:val="20"/>
          <w:szCs w:val="20"/>
          <w:color w:val="auto"/>
        </w:rPr>
      </w:pPr>
      <w:r>
        <w:rPr>
          <w:rFonts w:ascii="Arial" w:cs="Arial" w:eastAsia="Arial" w:hAnsi="Arial"/>
          <w:sz w:val="18"/>
          <w:szCs w:val="18"/>
          <w:color w:val="auto"/>
        </w:rPr>
        <w:t>We entered into an offer letter with Mr. Orgel on October 14, 2019. Pursuant to the terms of the offer letter, Mr. Orgel joined as our President and Chief Operating Officer on November 4, 2019. Subject to and effective upon the completion of this offering, the offer letter will be replaced with a new employment agreement. Pursuant to the terms of the new employment agreement, Mr. Orgel</w:t>
      </w:r>
    </w:p>
    <w:p>
      <w:pPr>
        <w:spacing w:after="0" w:line="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will receive a base salary at an annual rate of $350,000 per year and will be eligible to receive an annual discretionary performance bonus of up to $175,000, subject to his achievement of targets as approved by our board of directors or its compensation committee. Mr. Orgel’s performance and his attainment of such bonus goals will be evaluated and approved by the compensation committee of our board of directors on an annual basis. Mr. Orgel is eligible to participate in a number of benefit programs.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21, 2021, Mr. Orgel was granted an option to purchase 450,000 shares of our common stock at an exercise price of</w:t>
      </w:r>
    </w:p>
    <w:p>
      <w:pPr>
        <w:ind w:left="120"/>
        <w:spacing w:after="0" w:line="234" w:lineRule="auto"/>
        <w:rPr>
          <w:sz w:val="20"/>
          <w:szCs w:val="20"/>
          <w:color w:val="auto"/>
        </w:rPr>
      </w:pPr>
      <w:r>
        <w:rPr>
          <w:rFonts w:ascii="Arial" w:cs="Arial" w:eastAsia="Arial" w:hAnsi="Arial"/>
          <w:sz w:val="18"/>
          <w:szCs w:val="18"/>
          <w:color w:val="auto"/>
        </w:rPr>
        <w:t>$3.95 per share. The option vests over a four-year period, with 25% of the shares vesting on the first anniversary of January 21, 2021,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1/48th of the shares vesting upon the completion of each month of continuous service thereafter.</w:t>
      </w:r>
    </w:p>
    <w:p>
      <w:pPr>
        <w:spacing w:after="0" w:line="17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addition, if Mr. Orgel’s employment is terminated without “Cause” (as defined below) or as a result of his “Resignation for Good Reason” (as defined below), he will be eligible to receive credit for an additional six months of vesting service with respect to any outstanding equity awards as of the completion of this offering. In the event that a change in control occurs prior to November 4, 2021 and Mr. Orgel is still employed by us on such date, then Mr. Orgel will be eligible to receive credit for an additional 12 months of service vesting with respect to any outstanding equity awards as of the completion of this offering. If Mr. Orgel’s employment is terminated without “Cause” or as a result of his “Resignation for Good Reason” in the three months prior to a change in control, upon a change in control, or within 12 months following a change in control, then 100% of any unvested option shares and equity awards that are subject to time-based vesting shall be vested and non-forfeitable. In the event that, prior to such termination, any unvested options held by Mr. Orgel were terminated without payment upon the closing of the change in control, then, in lieu of the acceleration of vesting set forth in the preceding sentence, Mr. Orgel shall receive a cash payment equal in value to the difference between (i) the amount payable per share in the change in control, multiplied by the number of option shares that would have been accelerated pursuant to the preceding sentence and (ii) the aggregate exercise price of such shares. Solely with respect to stock options that are outstanding as of the completion of this offering, Mr. Orgel may exercise such vested options for up to 12 months following a termination without “Cause” or his “Resignation for Good Reason” in connection with a change in control provided that no such exercise period shall extend beyond the applicable extension date of such options.</w:t>
      </w:r>
    </w:p>
    <w:p>
      <w:pPr>
        <w:spacing w:after="0" w:line="173"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If Mr. Orgel’s employment is terminated without “Cause” or as a result of his “Resignation for Good Reason,” he will be eligible to receive (i) salary continuation at his then current base salary for nine months following such termination, plus (ii) a lump sum payment equal to his accrued and unpaid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annual bonus if he is terminated after the end of a fiscal year, but prior to payment of such bonus, plus (iii) the payment of COBRA continuation premiums for up to nine months. If such termination without “Cause” or “Resignation for Good Reason” occurs in the three months prior to a change in control, upon a change in control, or within 12 months following a change in control, then Mr. Orgel will be entitled to receive (a) a lump sum cash payment equal to one (1) multiplied by the sum of (1) his then current base salary and (2) his annual target bonus, and (b) the payment of COBRA continuation premiums for up to 12 months. Such severance payments are conditioned upon Mr. Orgel executing a general release of all claims that he may have against us. Our obligation to make severance payments during the applicable severance period will cease immediately upon Mr. Orgel’s breach of his restrictive covenants (described below) after being provided written notice of such breach and his failure to cure such breach within 30 days of such notice.</w:t>
      </w:r>
    </w:p>
    <w:p>
      <w:pPr>
        <w:spacing w:after="0" w:line="181"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“Cause” is defined in the employment agreement as (i) a material failure by Mr. Orgel to comply with our written policies or rules after being provided written notice and failing to remedy such failure within 30 days after such notice; (ii) Mr. Orgel’s conviction of, or plea of “guilty” or “no contest” to, a crime involving moral turpitude, deceit, dishonesty or fraud that has caused harm to us or any affiliate of ours;</w:t>
      </w:r>
    </w:p>
    <w:p>
      <w:pPr>
        <w:spacing w:after="0" w:line="2" w:lineRule="exact"/>
        <w:rPr>
          <w:sz w:val="20"/>
          <w:szCs w:val="20"/>
          <w:color w:val="auto"/>
        </w:rPr>
      </w:pPr>
    </w:p>
    <w:p>
      <w:pPr>
        <w:ind w:left="120" w:hanging="4"/>
        <w:spacing w:after="0" w:line="234" w:lineRule="auto"/>
        <w:tabs>
          <w:tab w:leader="none" w:pos="4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Orgel’s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Mr. Orgel, or his use or possession of illegal drugs in the workplace;</w:t>
      </w:r>
    </w:p>
    <w:p>
      <w:pPr>
        <w:spacing w:after="0" w:line="2" w:lineRule="exact"/>
        <w:rPr>
          <w:rFonts w:ascii="Arial" w:cs="Arial" w:eastAsia="Arial" w:hAnsi="Arial"/>
          <w:sz w:val="18"/>
          <w:szCs w:val="18"/>
          <w:color w:val="auto"/>
        </w:rPr>
      </w:pPr>
    </w:p>
    <w:p>
      <w:pPr>
        <w:ind w:left="120" w:right="20" w:hanging="4"/>
        <w:spacing w:after="0" w:line="238"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material breach by Mr. Orgel of any of his obligations under any agreement between him and us after being provided written notice and failing to remedy such failure within 30 days after such notice; or (vi) Mr. Orgel’s failure to cooperate in good faith with a governmental or internal investigation of Flywire or its directors, officers or employees, if we have requested his cooperation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foregoing, no act, or failure to act, will be deemed “willful” or “intentional” if done or omitted to be done by Mr. Orgel in good faith with a reasonable belief that his act, or failure to act, was in the best interest of Flywire.</w:t>
      </w:r>
    </w:p>
    <w:p>
      <w:pPr>
        <w:spacing w:after="0" w:line="16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“Resignation for Good Reason” is defined in the employment agreement as a separation as a result of Mr. Orgel’s resignation within 12 months after one of the following conditions has come into existence without his written consent: (i) a material diminution in Mr. Orgel’s compensation (except for across-the-board reductions affecting our similarly situated employees generally); (ii) a material diminution in Mr. Orgel’s title, duties, authority and responsibilities within Flywire; (iii) the relocation of Mr. Orgel’s principal workplace by more than 50 miles away from the location which he was working immediately prior to the required relocation without his prior consent; or (iv) a material breach of our obligation under any agreement between us and Mr. Orgel. A “Resignation for Good Reason” shall not be deemed to have occurred unless Mr. Orgel gives our written notice of the condition within 60 days after the condition comes into existence and we fail to remedy the condition within 30 days after receiving his written notice.</w:t>
      </w:r>
    </w:p>
    <w:p>
      <w:pPr>
        <w:spacing w:after="0" w:line="167"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In addition, on October 16, 2019, Mr. Orgel entered into our standard Proprietary Rights, Non-Disclosure, Developments, Non-Competition, and Non-Solicitation Agreement, which contains a 12-month post-termination non-solicitation and non-competition provisions, provided that such 12-month period will automatically be extended to two years following the separation date if Mr. Orgel breaches a fiduciary duty to us or unlawfully takes, physically or electronically, any property belonging to us.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Ellis</w:t>
      </w:r>
    </w:p>
    <w:p>
      <w:pPr>
        <w:spacing w:after="0" w:line="193"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entered into an offer letter with Mr. Ellis on February 10, 2015 and Mr. Ellis joined as our Chief Financial Officer on April 20, 2015. Subject to and effective upon the completion of this offering, the offer letter will be replaced with a new employment agreement. Pursuant to the terms of the new</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employment agreement, Mr. Ellis will receive a base salary at an annual rate of $300,000 per year and will be eligible to receive an annual discretionary bonus, subject to his achievement of targets as approved by our board of directors or its compensation committee. Mr. Ellis’ performance and his attainment of such bonus goals will be evaluated and approved by the compensation committee of the our board of directors on an annual basis. Mr. Ellis is eligible to participate in a number of benefit programs.</w:t>
      </w:r>
    </w:p>
    <w:p>
      <w:pPr>
        <w:spacing w:after="0" w:line="17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January 21, 2021, Mr. Ellis was granted an option to purchase 195,000 shares of our common stock at an exercise price of $3.28 per share. The option vests over a four-year period, with 25% of the shares vesting on the first anniversary of January 21, 2021,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62"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If Mr. Ellis’ employment is terminated without “Cause” (as defined below) or as a result of his “Resignation for Good Reason” (as defined below) in the three months prior to a change in control, upon a change in control, or within 12 months following a change in control, then 100% of any unvested option shares and equity awards that are subject to time-based vesting shall be vested and non-forfeitable. In the event that, prior to such termination, any unvested options held by Mr. Ellis were terminated without payment upon the closing of the change in control, then, in lieu of the acceleration of vesting set forth in the preceding sentence, Mr. Ellis shall receive a cash payment equal in value to the difference between (i) the amount payable per share in the change in control, multiplied by the number of option shares that would have been accelerated pursuant to the preceding sentence and (ii) the aggregate exercise price of such shares.</w:t>
      </w:r>
    </w:p>
    <w:p>
      <w:pPr>
        <w:spacing w:after="0" w:line="167" w:lineRule="exact"/>
        <w:rPr>
          <w:sz w:val="20"/>
          <w:szCs w:val="20"/>
          <w:color w:val="auto"/>
        </w:rPr>
      </w:pPr>
    </w:p>
    <w:p>
      <w:pPr>
        <w:ind w:left="120" w:right="300" w:firstLine="440"/>
        <w:spacing w:after="0" w:line="248" w:lineRule="auto"/>
        <w:rPr>
          <w:sz w:val="20"/>
          <w:szCs w:val="20"/>
          <w:color w:val="auto"/>
        </w:rPr>
      </w:pPr>
      <w:r>
        <w:rPr>
          <w:rFonts w:ascii="Arial" w:cs="Arial" w:eastAsia="Arial" w:hAnsi="Arial"/>
          <w:sz w:val="17"/>
          <w:szCs w:val="17"/>
          <w:color w:val="auto"/>
        </w:rPr>
        <w:t>If Mr. Ellis’ employment is terminated without “Cause” or as a result of his “Resignation for Good Reason,” he will be eligible to receive (i) salary continuation at his then current base salary for nine months following such termination, plus (ii) a lump sum payment equal to his accrued and unpaid annual bonus if he is terminated after the end of a fiscal year, but prior to payment of such bonus, plus</w:t>
      </w:r>
    </w:p>
    <w:p>
      <w:pPr>
        <w:spacing w:after="0" w:line="2" w:lineRule="exact"/>
        <w:rPr>
          <w:sz w:val="20"/>
          <w:szCs w:val="20"/>
          <w:color w:val="auto"/>
        </w:rPr>
      </w:pPr>
    </w:p>
    <w:p>
      <w:pPr>
        <w:ind w:left="120" w:right="100" w:hanging="4"/>
        <w:spacing w:after="0" w:line="253" w:lineRule="auto"/>
        <w:tabs>
          <w:tab w:leader="none" w:pos="4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payment of COBRA continuation premiums for up to nine months. If such termination without “Cause” or “Resignation for Good Reason” occurs in the three months prior to a change in control, upon a change in control, or within 12 months following a change in control, then Mr. Ellis will be entitled to receive (a) a lump sum cash payment equal to one (1) multiplied by the sum of (1) his then current base salary and (2) his annual target bonus, and (b) the payment of COBRA continuation premiums for up to 12 months. Such severance payments are conditioned upon Mr. Ellis executing a general release of all claims that he may have against us. Our obligation to make severance payments during the applicable severance period will cease immediately upon Mr. Ellis’s breach of his restrictive covenants (described below) after being provided written notice of such breach and his failure to cure such breach within 30 days of such notice.</w:t>
      </w:r>
    </w:p>
    <w:p>
      <w:pPr>
        <w:spacing w:after="0" w:line="164"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“Cause” is defined in the employment agreement as (i) a material failure by Mr. Ellis to comply with our written policies or rules after being provided written notice and failing to remedy such failure within 30 days after such notice; (ii) Mr. Ellis’ conviction of, or plea of “guilty” or “no contest” to, a crime involving moral turpitude, deceit, dishonesty or fraud that has caused harm to us or any affiliate of ours;</w:t>
      </w:r>
    </w:p>
    <w:p>
      <w:pPr>
        <w:spacing w:after="0" w:line="2" w:lineRule="exact"/>
        <w:rPr>
          <w:sz w:val="20"/>
          <w:szCs w:val="20"/>
          <w:color w:val="auto"/>
        </w:rPr>
      </w:pPr>
    </w:p>
    <w:p>
      <w:pPr>
        <w:ind w:left="120" w:hanging="4"/>
        <w:spacing w:after="0" w:line="237" w:lineRule="auto"/>
        <w:tabs>
          <w:tab w:leader="none" w:pos="4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Ellis’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Mr. Ellis, or his use or possession of illegal drugs in the workplace; (v) the material breach by Mr. Ellis of any of his obligations under any agreement between him and us after being provided written notice and failing to remedy such failure within 30 days after such notice; or (vi) Mr. Ellis’ failure to cooperate in good faith with a governmental or internal investigation of Flywire or its directors, officers or employees, if we have requested his cooperation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foregoing, no act, or failure to act, will be deemed “willful” or “intentional” if done or omitted to be done by Mr. Ellis in good faith with a reasonable belief that his act, or failure to act, was in the best interest of Flywire.</w:t>
      </w:r>
    </w:p>
    <w:p>
      <w:pPr>
        <w:spacing w:after="0" w:line="170"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“Resignation for Good Reason” is defined in the employment agreement as a separation as a result of Mr. Ellis’ resignation within 12 months after one of the following conditions has come into existence without his written consent: (i) a material diminution in Mr. Ellis’ compensation (except for across-the-board reductions affecting our similarly situated employees generally); (ii) a material diminution in Mr. Ellis’ title, duties, authority and responsibilities within the Company; (iii) the relocation of Mr. Ellis’ principal workplace by more than 50 miles away from the location which he was working immediately prior to the required relocation without his prior consent; or (iv) a material breach of our obligation under any agreement between us and Mr. Ellis. A “Resignation for Good Reason” shall not be deemed to have occurred unless Mr. Ellis gives us written notice of the condition within 60 days after the condition comes into existence and we fail to remedy the condition within 30 days after receiving his written notice.</w:t>
      </w:r>
    </w:p>
    <w:p>
      <w:pPr>
        <w:spacing w:after="0" w:line="16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In addition, on April 23, 2015, Mr. Ellis entered into our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07"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Number of</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Securities</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Securities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Underlying</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Underlying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Unexercised</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Unexercised</w:t>
            </w:r>
          </w:p>
        </w:tc>
        <w:tc>
          <w:tcPr>
            <w:tcW w:w="400" w:type="dxa"/>
            <w:vAlign w:val="bottom"/>
          </w:tcPr>
          <w:p>
            <w:pPr>
              <w:spacing w:after="0"/>
              <w:rPr>
                <w:sz w:val="14"/>
                <w:szCs w:val="14"/>
                <w:color w:val="auto"/>
              </w:rPr>
            </w:pPr>
          </w:p>
        </w:tc>
        <w:tc>
          <w:tcPr>
            <w:tcW w:w="14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440" w:type="dxa"/>
            <w:vAlign w:val="bottom"/>
            <w:vMerge w:val="restart"/>
          </w:tcPr>
          <w:p>
            <w:pPr>
              <w:spacing w:after="0"/>
              <w:rPr>
                <w:sz w:val="14"/>
                <w:szCs w:val="14"/>
                <w:color w:val="auto"/>
              </w:rPr>
            </w:pPr>
          </w:p>
        </w:tc>
        <w:tc>
          <w:tcPr>
            <w:tcW w:w="296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Exercisable</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Unexercisable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3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Massaro</w:t>
            </w:r>
          </w:p>
        </w:tc>
        <w:tc>
          <w:tcPr>
            <w:tcW w:w="8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1,013,967</w:t>
            </w:r>
          </w:p>
        </w:tc>
        <w:tc>
          <w:tcPr>
            <w:tcW w:w="2100" w:type="dxa"/>
            <w:vAlign w:val="bottom"/>
            <w:tcBorders>
              <w:top w:val="single" w:sz="8" w:color="CCEEFF"/>
            </w:tcBorders>
            <w:shd w:val="clear" w:color="auto" w:fill="CCEEFF"/>
          </w:tcPr>
          <w:p>
            <w:pPr>
              <w:jc w:val="right"/>
              <w:ind w:right="1644"/>
              <w:spacing w:after="0" w:line="168" w:lineRule="exact"/>
              <w:rPr>
                <w:sz w:val="20"/>
                <w:szCs w:val="20"/>
                <w:color w:val="auto"/>
              </w:rPr>
            </w:pPr>
            <w:r>
              <w:rPr>
                <w:rFonts w:ascii="Arial" w:cs="Arial" w:eastAsia="Arial" w:hAnsi="Arial"/>
                <w:sz w:val="15"/>
                <w:szCs w:val="15"/>
                <w:color w:val="auto"/>
                <w:w w:val="98"/>
              </w:rPr>
              <w:t>(1)(2)</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4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40"/>
              <w:spacing w:after="0" w:line="189" w:lineRule="exact"/>
              <w:rPr>
                <w:sz w:val="20"/>
                <w:szCs w:val="20"/>
                <w:color w:val="auto"/>
              </w:rPr>
            </w:pPr>
            <w:r>
              <w:rPr>
                <w:rFonts w:ascii="Arial" w:cs="Arial" w:eastAsia="Arial" w:hAnsi="Arial"/>
                <w:sz w:val="18"/>
                <w:szCs w:val="18"/>
                <w:color w:val="auto"/>
                <w:w w:val="91"/>
              </w:rPr>
              <w:t>0.21</w:t>
            </w:r>
          </w:p>
        </w:tc>
        <w:tc>
          <w:tcPr>
            <w:tcW w:w="8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3/11/2024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259,077</w:t>
            </w:r>
            <w:r>
              <w:rPr>
                <w:rFonts w:ascii="Arial" w:cs="Arial" w:eastAsia="Arial" w:hAnsi="Arial"/>
                <w:sz w:val="15"/>
                <w:szCs w:val="15"/>
                <w:color w:val="auto"/>
              </w:rPr>
              <w:t>(2)(3)</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0.36</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107,733</w:t>
            </w:r>
            <w:r>
              <w:rPr>
                <w:rFonts w:ascii="Arial" w:cs="Arial" w:eastAsia="Arial" w:hAnsi="Arial"/>
                <w:sz w:val="15"/>
                <w:szCs w:val="15"/>
                <w:color w:val="auto"/>
              </w:rPr>
              <w:t>(2)(3)</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0.36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231,165</w:t>
            </w:r>
            <w:r>
              <w:rPr>
                <w:rFonts w:ascii="Arial" w:cs="Arial" w:eastAsia="Arial" w:hAnsi="Arial"/>
                <w:sz w:val="15"/>
                <w:szCs w:val="15"/>
                <w:color w:val="auto"/>
              </w:rPr>
              <w:t>(2)(4)</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0.59</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233,598</w:t>
            </w:r>
            <w:r>
              <w:rPr>
                <w:rFonts w:ascii="Arial" w:cs="Arial" w:eastAsia="Arial" w:hAnsi="Arial"/>
                <w:sz w:val="15"/>
                <w:szCs w:val="15"/>
                <w:color w:val="auto"/>
              </w:rPr>
              <w:t>(2)(4)</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0.59</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392,565</w:t>
            </w:r>
            <w:r>
              <w:rPr>
                <w:rFonts w:ascii="Arial" w:cs="Arial" w:eastAsia="Arial" w:hAnsi="Arial"/>
                <w:sz w:val="15"/>
                <w:szCs w:val="15"/>
                <w:color w:val="auto"/>
              </w:rPr>
              <w:t>(2)(5)</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463,941</w:t>
            </w:r>
          </w:p>
        </w:tc>
        <w:tc>
          <w:tcPr>
            <w:tcW w:w="5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3.28</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2/27/2029</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94,599</w:t>
            </w:r>
            <w:r>
              <w:rPr>
                <w:rFonts w:ascii="Arial" w:cs="Arial" w:eastAsia="Arial" w:hAnsi="Arial"/>
                <w:sz w:val="15"/>
                <w:szCs w:val="15"/>
                <w:color w:val="auto"/>
              </w:rPr>
              <w:t>(2)(6)(11)</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208,125</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3.31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Rob Orgel</w:t>
            </w:r>
          </w:p>
        </w:tc>
        <w:tc>
          <w:tcPr>
            <w:tcW w:w="29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207,186</w:t>
            </w:r>
            <w:r>
              <w:rPr>
                <w:rFonts w:ascii="Arial" w:cs="Arial" w:eastAsia="Arial" w:hAnsi="Arial"/>
                <w:sz w:val="15"/>
                <w:szCs w:val="15"/>
                <w:color w:val="auto"/>
              </w:rPr>
              <w:t>(7)(8)(12)(13)</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557,814</w:t>
            </w:r>
          </w:p>
        </w:tc>
        <w:tc>
          <w:tcPr>
            <w:tcW w:w="5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3.31</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Ellis</w:t>
            </w:r>
          </w:p>
        </w:tc>
        <w:tc>
          <w:tcPr>
            <w:tcW w:w="29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375,810</w:t>
            </w:r>
            <w:r>
              <w:rPr>
                <w:rFonts w:ascii="Arial" w:cs="Arial" w:eastAsia="Arial" w:hAnsi="Arial"/>
                <w:sz w:val="15"/>
                <w:szCs w:val="15"/>
                <w:color w:val="auto"/>
              </w:rPr>
              <w:t>(8)(9)</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0.36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17"/>
        </w:trPr>
        <w:tc>
          <w:tcPr>
            <w:tcW w:w="3840" w:type="dxa"/>
            <w:vAlign w:val="bottom"/>
            <w:gridSpan w:val="2"/>
          </w:tcPr>
          <w:p>
            <w:pPr>
              <w:spacing w:after="0"/>
              <w:rPr>
                <w:sz w:val="20"/>
                <w:szCs w:val="20"/>
                <w:color w:val="auto"/>
              </w:rPr>
            </w:pPr>
            <w:r>
              <w:rPr>
                <w:rFonts w:ascii="Arial" w:cs="Arial" w:eastAsia="Arial" w:hAnsi="Arial"/>
                <w:sz w:val="18"/>
                <w:szCs w:val="18"/>
                <w:color w:val="auto"/>
              </w:rPr>
              <w:t>Michael Ellis</w:t>
            </w: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105,624</w:t>
            </w:r>
            <w:r>
              <w:rPr>
                <w:rFonts w:ascii="Arial" w:cs="Arial" w:eastAsia="Arial" w:hAnsi="Arial"/>
                <w:sz w:val="15"/>
                <w:szCs w:val="15"/>
                <w:color w:val="auto"/>
              </w:rPr>
              <w:t>(8)(10)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89,376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December 13, 2013.</w:t>
      </w:r>
    </w:p>
    <w:p>
      <w:pPr>
        <w:spacing w:after="0" w:line="1" w:lineRule="exact"/>
        <w:rPr>
          <w:rFonts w:ascii="Arial" w:cs="Arial" w:eastAsia="Arial" w:hAnsi="Arial"/>
          <w:sz w:val="14"/>
          <w:szCs w:val="14"/>
          <w:color w:val="auto"/>
        </w:rPr>
      </w:pPr>
    </w:p>
    <w:p>
      <w:pPr>
        <w:ind w:left="660" w:right="160" w:hanging="544"/>
        <w:spacing w:after="0" w:line="24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option vests monthly over a four-year period based on the officer’s continuous service through each vesting commencement, with 1/48th of the shares vesting on the monthly anniversary of the vesting commencement date.</w:t>
      </w: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June 1,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1, 2016.</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28, 2019.</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September 1, 2019.</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November 1, 2019.</w:t>
      </w:r>
    </w:p>
    <w:p>
      <w:pPr>
        <w:spacing w:after="0" w:line="1" w:lineRule="exact"/>
        <w:rPr>
          <w:rFonts w:ascii="Arial" w:cs="Arial" w:eastAsia="Arial" w:hAnsi="Arial"/>
          <w:sz w:val="14"/>
          <w:szCs w:val="14"/>
          <w:color w:val="auto"/>
        </w:rPr>
      </w:pPr>
    </w:p>
    <w:p>
      <w:pPr>
        <w:ind w:left="660" w:right="80" w:hanging="544"/>
        <w:spacing w:after="0" w:line="24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option vests over a four-year period based on the officer’s continuous service through each vesting date, with 25% of the shares vesting following completion of one year of service after the vesting commencement date indicated above, and 1/48th of the shares vesting on the same day of every month thereafter.</w:t>
      </w: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April 20,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October 3, 2018.</w:t>
      </w:r>
    </w:p>
    <w:p>
      <w:pPr>
        <w:spacing w:after="0" w:line="1" w:lineRule="exact"/>
        <w:rPr>
          <w:rFonts w:ascii="Arial" w:cs="Arial" w:eastAsia="Arial" w:hAnsi="Arial"/>
          <w:sz w:val="14"/>
          <w:szCs w:val="14"/>
          <w:color w:val="auto"/>
        </w:rPr>
      </w:pPr>
    </w:p>
    <w:p>
      <w:pPr>
        <w:ind w:left="660" w:right="460" w:hanging="544"/>
        <w:spacing w:after="0" w:line="258"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addition, 100% of any unvested shares shall accelerate and become fully vested in the event that the officer is terminated without cause or resigns for good reason within the 12 month period following a change in control.</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140" w:hanging="544"/>
        <w:spacing w:after="0" w:line="24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addition, in the event there is a change in control while the officer is still providing services to the Company prior to the second anniversary of the vesting commencement date indicated above, then vesting will be accelerated such that the option will be vested with respect to an additional 25% of the shares and such acceleration shall also disregard the one year cliff. In the event officer is terminated without cause or resigns for good reason, such shares will receive 6 months of accelerated vesting; provided, in the event the officer is terminated without cause or resigns for good reason within the three months prior to a change in control or within the 12 months following a change in control, such shares will receive 12 months of accelerated vesting (rather than 6).</w:t>
      </w:r>
    </w:p>
    <w:p>
      <w:pPr>
        <w:spacing w:after="0" w:line="1" w:lineRule="exact"/>
        <w:rPr>
          <w:rFonts w:ascii="Arial" w:cs="Arial" w:eastAsia="Arial" w:hAnsi="Arial"/>
          <w:sz w:val="14"/>
          <w:szCs w:val="14"/>
          <w:color w:val="auto"/>
        </w:rPr>
      </w:pPr>
    </w:p>
    <w:p>
      <w:pPr>
        <w:ind w:left="660" w:right="200" w:hanging="544"/>
        <w:spacing w:after="0" w:line="245"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Pursuant to the terms of Mr. Orgel’s offer letter,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Equity Incentive Plan</w:t>
      </w:r>
    </w:p>
    <w:p>
      <w:pPr>
        <w:spacing w:after="0" w:line="20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Our board of directors adopted and our stockholders approved our 2009 Equity Incentive Plan (as amended and restated from time to time, the 2009 Plan) in August 2009. No further awards are currently being made under our 2009 Plan; however, awards outstanding under our 2009 Plan will continue to be governed by their existing terms.</w:t>
      </w:r>
    </w:p>
    <w:p>
      <w:pPr>
        <w:spacing w:after="0" w:line="14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March 31, 2021, we have reserved 6,309,645 shares of our common stock for issuance under our 2009 Plan,</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have been issued and are outstanding, none of which remain available for future issuance. As of March 31, 2021, options to purchase 6,309,645 shares of our common stock, at exercise prices ranging from $ 0.04 to $3.28 per share, or a weighted-average exercise price of $ 1.00 per share were outstanding under our 2009 Plan.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44"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2009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2009 Plan. The administrator has complete discretion to make all decisions relating to our 2009 Plan and outstanding awards.</w:t>
      </w:r>
    </w:p>
    <w:p>
      <w:pPr>
        <w:spacing w:after="0" w:line="150"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2009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20"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2009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w:t>
      </w:r>
    </w:p>
    <w:p>
      <w:pPr>
        <w:spacing w:after="0" w:line="153"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for options granted under our 2009 Plan is determined by our board of directors, but the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incentive stock options may not be less than 100% of the fair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market value of our common stock on the grant date. Optionees may pay the exercise price in cash or cash equivalents or by one, or any combination of, the following forms of payment, as permitted by the administrator in its sole and absolute discretion:</w:t>
      </w:r>
    </w:p>
    <w:p>
      <w:pPr>
        <w:spacing w:after="0" w:line="197"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a full-recourse promissory note, and check in an amount equal to the par value of the shares purchased;</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methods permitted by law as our board of directors may determine.</w:t>
      </w:r>
    </w:p>
    <w:p>
      <w:pPr>
        <w:spacing w:after="0" w:line="185"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If the employment or engagement of an optionee is terminated for cause, our board of directors may terminate the option such that it is not exercisable whatsoever.</w:t>
      </w:r>
    </w:p>
    <w:p>
      <w:pPr>
        <w:spacing w:after="0" w:line="146" w:lineRule="exact"/>
        <w:rPr>
          <w:sz w:val="20"/>
          <w:szCs w:val="20"/>
          <w:color w:val="auto"/>
        </w:rPr>
      </w:pPr>
    </w:p>
    <w:p>
      <w:pPr>
        <w:jc w:val="both"/>
        <w:ind w:left="120" w:right="180" w:firstLine="440"/>
        <w:spacing w:after="0" w:line="250"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Restricted shares may be awarded or sold under our 2009 Plan in return for cash or cash equivalents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the Company to repurchase all or part of such shares at their issue price or other stated formula price. Restricted shares vest as determined by the administrator.</w:t>
      </w:r>
    </w:p>
    <w:p>
      <w:pPr>
        <w:spacing w:after="0" w:line="13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2009 Plan will be subject to the agreement governing such transaction or, in the absence of such agreement, in the manner determined by the administrator. Such treatment may include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award immediately prior to the completion of the transaction;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permit the exchange of the award for stock option of any successor corporation;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termination of an award immediately prior to the transaction; or</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purchase of award for an amount equal to the difference between consideration received per share in the transaction minus the per share exercise period.</w:t>
      </w:r>
    </w:p>
    <w:p>
      <w:pPr>
        <w:spacing w:after="0" w:line="170"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2009 Plan will vest on an accelerated basis in connection with a corporate transaction or to amend or modify an award so long as such amendment or modification is not inconsistent with the terms of the 2009 Plan or would not result in the impairment of a participant’s rights without the participant’s consent.</w:t>
      </w:r>
    </w:p>
    <w:p>
      <w:pPr>
        <w:spacing w:after="0" w:line="146" w:lineRule="exact"/>
        <w:rPr>
          <w:sz w:val="20"/>
          <w:szCs w:val="20"/>
          <w:color w:val="auto"/>
        </w:rPr>
      </w:pPr>
    </w:p>
    <w:p>
      <w:pPr>
        <w:jc w:val="both"/>
        <w:ind w:left="120" w:right="100" w:firstLine="440"/>
        <w:spacing w:after="0" w:line="272"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specified changes in the capital structure of our common stock, such as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stock dividend, extraordinary cash dividend, recapitalization, reorganization, merger, consolidation, combination, exchange of shares, liquidation, spin-off, split-up, or other similar change in capitalization or similar event, proportionate adjustments will</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automatically be made in (i) each of the number and class of shares available for future grants under our 2009 Plan and the per-participant share limit, (ii) the number and class of securities, vesting schedule and exercise price per share subject to each outstanding option,</w:t>
      </w:r>
    </w:p>
    <w:p>
      <w:pPr>
        <w:spacing w:after="0" w:line="1" w:lineRule="exact"/>
        <w:rPr>
          <w:sz w:val="20"/>
          <w:szCs w:val="20"/>
          <w:color w:val="auto"/>
        </w:rPr>
      </w:pPr>
    </w:p>
    <w:p>
      <w:pPr>
        <w:ind w:left="120" w:right="220" w:hanging="4"/>
        <w:spacing w:after="0" w:line="246" w:lineRule="auto"/>
        <w:tabs>
          <w:tab w:leader="none" w:pos="4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repurchase price per security granted under our 2009 Plan subject to repurchase, and (iv) any other way as other determined by our board of directors, in good faith, that such an adjustment (or substitution) is appropriate.</w:t>
      </w:r>
    </w:p>
    <w:p>
      <w:pPr>
        <w:spacing w:after="0" w:line="15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2009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increases the number of shares available for issuance or materially changes the class of persons eligible to receive incentive stock options, or as otherwise required by law. Our 2009 Plan automatically terminated in 2018, but as noted above, awards outstanding under our 2009 Plan remain outstanding and continue to be governed by their existing terms.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9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board of directors adopted and our stockholders approved our 2018 Stock Incentive Plan in November 2018 (as amended and restated from time to time, the 2018 Plan). No further awards will be made under our 2018 Plan after this offering; however, awards outstanding under our 2018 Plan will continue to be governed by their existing terms.</w:t>
      </w:r>
    </w:p>
    <w:p>
      <w:pPr>
        <w:spacing w:after="0" w:line="158"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March 31, 2021, we have reserved 32,000,364 shares of our common stock for issuance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plus such number as is equal to the number of shares of our common stock subject to awards granted under the 2009 Plan which awards expire, terminate or are otherwise surrendered, cancelled, forfeited or repurchased by the Company at their original purchase price pursuant to a contractual repurchase right, subject, however, in the case of incentive stock options to any limitations in the Code. As of March 31, 2021, options to purchase 10,186,578 shares of our common stock, at exercise prices ranging from $3.28 to $15.20 per share, or a weighted-average exercise price of $4.27 per share were outstanding under our 2018 Plan, and 1,645,458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51"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2018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2018 Plan. The administrator has complete discretion to make all decisions relating to our 2018 Plan and outstanding awards.</w:t>
      </w:r>
    </w:p>
    <w:p>
      <w:pPr>
        <w:spacing w:after="0" w:line="136"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2018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33"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2018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53" w:lineRule="exact"/>
        <w:rPr>
          <w:sz w:val="20"/>
          <w:szCs w:val="20"/>
          <w:color w:val="auto"/>
        </w:rPr>
      </w:pPr>
    </w:p>
    <w:p>
      <w:pPr>
        <w:ind w:left="120" w:right="140" w:firstLine="440"/>
        <w:spacing w:after="0" w:line="267"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and stock appreciation rights granted under our 2018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but may not be less than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100% of the fair market value of our common stock on the grant date. The exercise price may be paid in cash or cash equivalents or by one, or any combination of, the following forms of payment, as permitted by the administrator in its sole discretion:</w:t>
      </w:r>
    </w:p>
    <w:p>
      <w:pPr>
        <w:spacing w:after="0" w:line="197"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by cash or by check;</w:t>
      </w:r>
    </w:p>
    <w:p>
      <w:pPr>
        <w:spacing w:after="0" w:line="211"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if the shares of our common stock are publicly traded;</w:t>
      </w:r>
    </w:p>
    <w:p>
      <w:pPr>
        <w:spacing w:after="0" w:line="211" w:lineRule="exact"/>
        <w:rPr>
          <w:rFonts w:ascii="Arial" w:cs="Arial" w:eastAsia="Arial" w:hAnsi="Arial"/>
          <w:sz w:val="18"/>
          <w:szCs w:val="18"/>
          <w:color w:val="auto"/>
        </w:rPr>
      </w:pPr>
    </w:p>
    <w:p>
      <w:pPr>
        <w:ind w:left="880" w:right="2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delivery of a promissory note, on terms determined by our board of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methods permitted by law;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combination of any of the permitted forms of payment.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have granted options that vest over a four year period.</w:t>
      </w:r>
    </w:p>
    <w:p>
      <w:pPr>
        <w:spacing w:after="0" w:line="153"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i w:val="1"/>
          <w:iCs w:val="1"/>
          <w:color w:val="auto"/>
        </w:rPr>
        <w:t xml:space="preserve">Restricted shares and restricted stock units. </w:t>
      </w:r>
      <w:r>
        <w:rPr>
          <w:rFonts w:ascii="Arial" w:cs="Arial" w:eastAsia="Arial" w:hAnsi="Arial"/>
          <w:sz w:val="18"/>
          <w:szCs w:val="18"/>
          <w:color w:val="auto"/>
        </w:rPr>
        <w:t>Restricted shares and stock units may be awarded under our 2018 Plan in return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consideration, and participants who receive restricted shares or stock units generally are not required to pay cash for their awards. In general, these awards will be subject to vesting.</w:t>
      </w:r>
    </w:p>
    <w:p>
      <w:pPr>
        <w:spacing w:after="0" w:line="13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2018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cancellation of any unvested/unexercised awards if not exercised within a specified period following notice of such cancellation to the participant; or</w:t>
      </w:r>
    </w:p>
    <w:p>
      <w:pPr>
        <w:spacing w:after="0" w:line="196"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7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2018 Plan will vest on an accelerated basis in connection with a corporate transaction or to amend or modify an award so long as such amendment or modification is not inconsistent with the terms of the 2018 Plan or would not result in the impairment of a participant’s rights without the participant’s consent.</w:t>
      </w:r>
    </w:p>
    <w:p>
      <w:pPr>
        <w:spacing w:after="0" w:line="146" w:lineRule="exact"/>
        <w:rPr>
          <w:sz w:val="20"/>
          <w:szCs w:val="20"/>
          <w:color w:val="auto"/>
        </w:rPr>
      </w:pPr>
    </w:p>
    <w:p>
      <w:pPr>
        <w:jc w:val="both"/>
        <w:ind w:left="120" w:right="60" w:firstLine="440"/>
        <w:spacing w:after="0" w:line="24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reclassification, combination of shares, spin-off, or any dividend or distribution to holders of our common stock other than an ordinary cash dividend, proportionate adjustments will automatically be made in (i) each of the number and kind</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80"/>
          </w:cols>
          <w:pgMar w:left="320" w:top="459" w:right="5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of shares available for future grants under our 2018 Plan, (ii) the number and kind of shares covered by each outstanding option and all restricted shares, (iii) the exercise price per share subject to each outstanding option, (iv) the number and per-share provisions and the measurement price of each outstanding stock appreciation right, (iv) any repurchase price applicable to shares granted under our 2018 Plan, and (v) the share and per-share-related provisions and the purchase price, if any, of each outstanding restricted stock unit.</w:t>
      </w:r>
    </w:p>
    <w:p>
      <w:pPr>
        <w:spacing w:after="0" w:line="160"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2018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materially changes the class of persons eligible to receive incentive stock options or as otherwise required by applicable law. Our 2018 Plan will terminate automatically ten years after the earlier of the date when our board of directors adopted the plan or the date when the plan was approved by our stockholders, provided, however, that in any event, it will terminate upon the completion of this offering, but as noted above, awards outstanding under our 2018 Plan will remain outstanding and will continue to be governed by their existing terms.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board of directors adopted our 2021 Plan in April 2021, prior to the offering, and it was approved by our stockholders in May 2021. Our 2021 Plan will become effective upon the effectiveness of the registration statement of which this prospectus is a part. Our 2021 Plan is intended to replace our 2018 Plan. However, awards outstanding under our 2018 Plan will continue to be governed by their existing terms. Our 2021 Plan has the features described below.</w:t>
      </w:r>
    </w:p>
    <w:p>
      <w:pPr>
        <w:spacing w:after="0" w:line="160" w:lineRule="exact"/>
        <w:rPr>
          <w:sz w:val="20"/>
          <w:szCs w:val="20"/>
          <w:color w:val="auto"/>
        </w:rPr>
      </w:pPr>
    </w:p>
    <w:p>
      <w:pPr>
        <w:ind w:left="120" w:right="20" w:firstLine="440"/>
        <w:spacing w:after="0" w:line="264"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The number of shares of our common stock available for issuance under our 2021 Plan will equal the sum of</w:t>
      </w:r>
      <w:r>
        <w:rPr>
          <w:rFonts w:ascii="Arial" w:cs="Arial" w:eastAsia="Arial" w:hAnsi="Arial"/>
          <w:sz w:val="17"/>
          <w:szCs w:val="17"/>
          <w:i w:val="1"/>
          <w:iCs w:val="1"/>
          <w:color w:val="auto"/>
        </w:rPr>
        <w:t xml:space="preserve"> </w:t>
      </w:r>
      <w:r>
        <w:rPr>
          <w:rFonts w:ascii="Arial" w:cs="Arial" w:eastAsia="Arial" w:hAnsi="Arial"/>
          <w:sz w:val="17"/>
          <w:szCs w:val="17"/>
          <w:color w:val="auto"/>
        </w:rPr>
        <w:t>9,201,156 shares plus up to 18,141,681 shares remaining available for issuance under, or issued pursuant to or subject to awards granted under, our 2009 Plan and our 2018 Plan. The number of shares reserved for issuance under our 2021 Plan will be increased automatically on the first business day of each of our fiscal years, commencing in 2021 and ending in 2031, by a number equal to the smallest of:</w:t>
      </w:r>
    </w:p>
    <w:p>
      <w:pPr>
        <w:spacing w:after="0" w:line="184"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 of the shares of common stock and non-voting common stock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general, to the extent that any awards under our 2021 Plan are forfeited, terminate, expire or lapse without the issuance of shares, or if we repurchase the shares subject to awards granted under our 2021 Plan, those shares will again become available for issuance under our 2021 Plan, as will shares applied to pay the exercise or purchase price of an award or to satisfy tax withholding obligations related to any award.</w:t>
      </w:r>
    </w:p>
    <w:p>
      <w:pPr>
        <w:spacing w:after="0" w:line="146"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our 2021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complete discretion to make all decisions relating to our 2021 Plan and outstanding awards, including repricing outstanding options and modifying outstanding awards in other ways.</w:t>
      </w:r>
    </w:p>
    <w:p>
      <w:pPr>
        <w:spacing w:after="0" w:line="150"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8"/>
          <w:szCs w:val="18"/>
          <w:color w:val="auto"/>
        </w:rPr>
        <w:t>Employees, non-employee directors, consultants and advisors will be eligible to participate in our 2021 Plan.</w:t>
      </w:r>
    </w:p>
    <w:p>
      <w:pPr>
        <w:spacing w:after="0" w:line="18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our 2021 Plan, the aggregate grant date fair value of awards granted to our non-employee directors may not exceed $750,000 in any one fiscal year, except that the grant date fair value of awards granted to newly appointed non-employee directors may not exceed $1,000,000 in the fiscal year in which such non-employee director is initially appointed to our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2021 Plan will provide for the following types of awards:</w:t>
      </w:r>
    </w:p>
    <w:p>
      <w:pPr>
        <w:spacing w:after="0" w:line="230"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incentive and nonstatutory stock options;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units.</w:t>
      </w:r>
    </w:p>
    <w:p>
      <w:pPr>
        <w:spacing w:after="0" w:line="167"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granted under our 2021 Plan may not be less than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our common stock on the grant date. Optionees will be permitted to pay the exercise price in cash or, with the consent of the compensation committee:</w:t>
      </w:r>
    </w:p>
    <w:p>
      <w:pPr>
        <w:spacing w:after="0" w:line="195"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shares of common stock that the optionee already owns;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an immediate sale of shares through a broker approved by us;</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instructing us to withhold a number of shares having an aggregate fair market value that does not exceed the exercise price;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6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60"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i w:val="1"/>
          <w:iCs w:val="1"/>
          <w:color w:val="auto"/>
        </w:rPr>
        <w:t xml:space="preserve">Restricted shares and stock units. </w:t>
      </w:r>
      <w:r>
        <w:rPr>
          <w:rFonts w:ascii="Arial" w:cs="Arial" w:eastAsia="Arial" w:hAnsi="Arial"/>
          <w:sz w:val="18"/>
          <w:szCs w:val="18"/>
          <w:color w:val="auto"/>
        </w:rPr>
        <w:t>Restricted shares and stock units may be awarded under our 2021 Plan in return for any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40" w:lineRule="exact"/>
        <w:rPr>
          <w:sz w:val="20"/>
          <w:szCs w:val="20"/>
          <w:color w:val="auto"/>
        </w:rPr>
      </w:pPr>
    </w:p>
    <w:p>
      <w:pPr>
        <w:ind w:left="120" w:right="360" w:firstLine="44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we are a party to a merger, consolidation or certain change in control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granted under our 2021 Plan, and all shares acquired under our 2021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99"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a surviving entity or its parent;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cancellation of an award without payment of any consideration;</w:t>
      </w:r>
    </w:p>
    <w:p>
      <w:pPr>
        <w:spacing w:after="0" w:line="211" w:lineRule="exact"/>
        <w:rPr>
          <w:rFonts w:ascii="Arial" w:cs="Arial" w:eastAsia="Arial" w:hAnsi="Arial"/>
          <w:sz w:val="18"/>
          <w:szCs w:val="18"/>
          <w:color w:val="auto"/>
        </w:rPr>
      </w:pPr>
    </w:p>
    <w:p>
      <w:pPr>
        <w:ind w:left="880" w:right="320" w:hanging="224"/>
        <w:spacing w:after="0" w:line="261"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40"/>
          </w:cols>
          <w:pgMar w:left="320" w:top="459"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40" w:hanging="224"/>
        <w:spacing w:after="0" w:line="274"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is not required to treat all awards, or portions thereof, in the same manner.</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control includes:</w:t>
      </w:r>
    </w:p>
    <w:p>
      <w:pPr>
        <w:spacing w:after="0" w:line="212" w:lineRule="exact"/>
        <w:rPr>
          <w:sz w:val="20"/>
          <w:szCs w:val="20"/>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person acquiring beneficial ownership of more than 50% of our total voting power;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our assets; or</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merger or consolidation after which our voting securities represent 50% or less of the total voting power of the surviving or acquiring entity.</w:t>
      </w:r>
    </w:p>
    <w:p>
      <w:pPr>
        <w:spacing w:after="0" w:line="152" w:lineRule="exact"/>
        <w:rPr>
          <w:sz w:val="20"/>
          <w:szCs w:val="20"/>
          <w:color w:val="auto"/>
        </w:rPr>
      </w:pPr>
    </w:p>
    <w:p>
      <w:pPr>
        <w:ind w:left="120" w:right="320" w:firstLine="440"/>
        <w:spacing w:after="0" w:line="267"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changes in our capital structure without our receipt of consideration,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or dividend paid in common stock, proportionate adjustments will automatically be made to:</w:t>
      </w:r>
    </w:p>
    <w:p>
      <w:pPr>
        <w:spacing w:after="0" w:line="178" w:lineRule="exact"/>
        <w:rPr>
          <w:sz w:val="20"/>
          <w:szCs w:val="20"/>
          <w:color w:val="auto"/>
        </w:rPr>
      </w:pPr>
    </w:p>
    <w:p>
      <w:pPr>
        <w:ind w:left="880" w:hanging="224"/>
        <w:spacing w:after="0" w:line="24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number and kind of shares available for issuance under our 2021 Plan, including the maximum number and kind of shares that may be issued upon the exercise of incentive stock options;</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number and kind of shares covered by, and exercise price, base price or purchase price, if any, applicable to each outstanding stock award;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number and kind of shares by which the share reserve may increase automatically each year.</w:t>
      </w:r>
    </w:p>
    <w:p>
      <w:pPr>
        <w:spacing w:after="0" w:line="171"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4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may amend, suspend or terminate our 2021 Plan at any time. If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amends our 2021 Plan, stockholder approval of the amendment is not needed unless required by applicable law, regulation or rules. Our 2021 Plan will terminate automatically 10 years after the later of the date when our board of directors adopted our 2021 Plan or approved the latest share increase that was also approved by our stockholders.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5"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adopted our ESPP in April 2021. Our ESPP will become effective as of the effective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of which this prospectus is a part. Our ESPP is intended to qualify under Section 423 of the Internal Revenue Code. Our ESPP has the features described below.</w:t>
      </w:r>
    </w:p>
    <w:p>
      <w:pPr>
        <w:spacing w:after="0" w:line="136" w:lineRule="exact"/>
        <w:rPr>
          <w:sz w:val="20"/>
          <w:szCs w:val="20"/>
          <w:color w:val="auto"/>
        </w:rPr>
      </w:pPr>
    </w:p>
    <w:p>
      <w:pPr>
        <w:ind w:left="120" w:right="300" w:firstLine="440"/>
        <w:spacing w:after="0" w:line="267"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1,639,810 shares of our common stock have been reserved for issuance under our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ESPP will automatically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increased on the first business day of each of our fiscal years, commencing in 2022 and ending in 2041, by a number equal to the least of:</w:t>
      </w:r>
    </w:p>
    <w:p>
      <w:pPr>
        <w:spacing w:after="0" w:line="223" w:lineRule="exact"/>
        <w:rPr>
          <w:sz w:val="20"/>
          <w:szCs w:val="20"/>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2,000,000 shares;</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of the shares of common stock and non-voting common stock issued and outstanding on the last business day of the prior fiscal year;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8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number of shares reserved under our ESPP will automatically be adjusted in the event of a stock split, stock dividend or a reverse stock split (including an adjustment to the per-purchase period share limit).</w:t>
      </w:r>
    </w:p>
    <w:p>
      <w:pPr>
        <w:spacing w:after="0" w:line="138"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compensation committee of our board of directors will administer our 2021 ESPP.</w:t>
      </w:r>
    </w:p>
    <w:p>
      <w:pPr>
        <w:spacing w:after="0" w:line="171"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will be eligible to participate in our ESPP, although the administrator may exclude certain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ESPP at the start of any offering period.</w:t>
      </w:r>
    </w:p>
    <w:p>
      <w:pPr>
        <w:spacing w:after="0" w:line="154"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Each offering period will last a number of months determined by the compensation committee, not to exceed 27</w:t>
      </w:r>
      <w:r>
        <w:rPr>
          <w:rFonts w:ascii="Arial" w:cs="Arial" w:eastAsia="Arial" w:hAnsi="Arial"/>
          <w:sz w:val="18"/>
          <w:szCs w:val="18"/>
          <w:i w:val="1"/>
          <w:iCs w:val="1"/>
          <w:color w:val="auto"/>
        </w:rPr>
        <w:t xml:space="preserve"> </w:t>
      </w:r>
      <w:r>
        <w:rPr>
          <w:rFonts w:ascii="Arial" w:cs="Arial" w:eastAsia="Arial" w:hAnsi="Arial"/>
          <w:sz w:val="18"/>
          <w:szCs w:val="18"/>
          <w:color w:val="auto"/>
        </w:rPr>
        <w:t>months. A new offering period will begin periodically, as determined by the compensation committee. Offering periods may overlap or may be consecutive.</w:t>
      </w:r>
    </w:p>
    <w:p>
      <w:pPr>
        <w:spacing w:after="0" w:line="13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i w:val="1"/>
          <w:iCs w:val="1"/>
          <w:color w:val="auto"/>
        </w:rPr>
        <w:t xml:space="preserve">Amount of Contributions. </w:t>
      </w:r>
      <w:r>
        <w:rPr>
          <w:rFonts w:ascii="Arial" w:cs="Arial" w:eastAsia="Arial" w:hAnsi="Arial"/>
          <w:sz w:val="18"/>
          <w:szCs w:val="18"/>
          <w:color w:val="auto"/>
        </w:rPr>
        <w:t>Our ESPP will permit each eligible employee to purchase common stock through payroll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Each employee’s payroll deductions may not exceed 15% of the employee’s cash compensation. Each participant may purchase up to the number of shares determined by our board of directors on any purchase date, not to exceed 3,000 shares. The value of the shares purchased in any calendar year may not exceed $25,000. Participants may withdraw their contributions at any time before stock is purchased.</w:t>
      </w:r>
    </w:p>
    <w:p>
      <w:pPr>
        <w:spacing w:after="0" w:line="144"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price of each share of common stock purchased under our 2021 ESPP will not be less than 85% of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market value per share of common stock on the first day of the applicable offering period or the fair market value per share of common stock on the purchase date.</w:t>
      </w:r>
    </w:p>
    <w:p>
      <w:pPr>
        <w:spacing w:after="0" w:line="150"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Employees may end their participation in our ESPP at any time. Participation ends automatically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with us. If we experience a change in control, our ESPP will end and shares will be purchased with the payroll deductions accumulated to date by participating employees, unless the rights to purchase our common stock under the ESPP for an offering period then in progress are continued, assumed or substituted by the surviving entity. Our board of directors or our compensation committee may amend or terminate our ESPP at any time.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 Through December 31, 2020, we have contributed approximately $1.8 million in employer matching contributions.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9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Section 145 of the DGCL authorizes a court to award, or a corporation’s board of directors to grant, indemnity to directors and officers under certain circumstances and subject to certain limitations.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terms of Section 145 of the DGCL are sufficiently broad to permit indemnification under certain circumstances for liabilities, including reimbursement of expenses incurred, arising under the Securities Act.</w:t>
      </w:r>
    </w:p>
    <w:p>
      <w:pPr>
        <w:spacing w:after="0" w:line="170"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5"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DGCL;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171"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contained in Exhibit 4.2 to this registration statement provides for indemnification of certain of our stockholders against liabilities described in our amended and restated investors’ rights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F Preferred Stock Financing</w:t>
      </w:r>
    </w:p>
    <w:p>
      <w:pPr>
        <w:spacing w:after="0" w:line="19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 February 2021, we sold an aggregate of 2,571,936 shares of our Series F preferred stock at a purchase price of $23.3287 per share for an aggregate purchase price of approximately $60.0 million. Each share of our Series F preferred stock converts automatically into one share of our common stock immediately prior to the completion of this offering.</w:t>
      </w:r>
    </w:p>
    <w:p>
      <w:pPr>
        <w:spacing w:after="0" w:line="17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F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6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summarizes the Series F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Series 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260" w:type="dxa"/>
            <w:vAlign w:val="bottom"/>
            <w:vMerge w:val="restart"/>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Preferred</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6260" w:type="dxa"/>
            <w:vAlign w:val="bottom"/>
            <w:vMerge w:val="continue"/>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Stock</w:t>
            </w: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9"/>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15"/>
                <w:szCs w:val="15"/>
                <w:color w:val="auto"/>
              </w:rPr>
              <w:t>(1)</w:t>
            </w:r>
          </w:p>
        </w:tc>
        <w:tc>
          <w:tcPr>
            <w:tcW w:w="7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8"/>
              </w:rPr>
              <w:t>408,285</w:t>
            </w:r>
          </w:p>
        </w:tc>
        <w:tc>
          <w:tcPr>
            <w:tcW w:w="78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9,524,772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(2)</w:t>
            </w:r>
          </w:p>
        </w:tc>
        <w:tc>
          <w:tcPr>
            <w:tcW w:w="1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172,125</w:t>
            </w: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4,015,458</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Ossa Investments Pte. Ltd.</w:t>
            </w:r>
          </w:p>
        </w:tc>
        <w:tc>
          <w:tcPr>
            <w:tcW w:w="15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144,981</w:t>
            </w:r>
          </w:p>
        </w:tc>
        <w:tc>
          <w:tcPr>
            <w:tcW w:w="1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660" w:right="20" w:hanging="544"/>
        <w:spacing w:after="0" w:line="241"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shares held by Spark Capital Growth Fund L.P., Spark Capital Growth Founders’ Fund, L.P., Spark Capital II, L.P. and Spark Capital Founders’ Fund II, L.P., which collectively hold more than 5% of our outstanding capital stock. Alex Finkelstein, a member of our board of directors, is a general partner of Spark Capital and a designee of Spark Capital.</w:t>
      </w:r>
    </w:p>
    <w:p>
      <w:pPr>
        <w:spacing w:after="0" w:line="1" w:lineRule="exact"/>
        <w:rPr>
          <w:rFonts w:ascii="Arial" w:cs="Arial" w:eastAsia="Arial" w:hAnsi="Arial"/>
          <w:sz w:val="14"/>
          <w:szCs w:val="14"/>
          <w:color w:val="auto"/>
        </w:rPr>
      </w:pPr>
    </w:p>
    <w:p>
      <w:pPr>
        <w:ind w:left="660" w:right="240" w:hanging="544"/>
        <w:spacing w:after="0" w:line="258"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93" w:lineRule="exact"/>
        <w:rPr>
          <w:sz w:val="20"/>
          <w:szCs w:val="20"/>
          <w:color w:val="auto"/>
        </w:rPr>
      </w:pPr>
    </w:p>
    <w:p>
      <w:pPr>
        <w:ind w:left="120" w:right="800" w:firstLine="440"/>
        <w:spacing w:after="0" w:line="248" w:lineRule="auto"/>
        <w:rPr>
          <w:sz w:val="20"/>
          <w:szCs w:val="20"/>
          <w:color w:val="auto"/>
        </w:rPr>
      </w:pPr>
      <w:r>
        <w:rPr>
          <w:rFonts w:ascii="Arial" w:cs="Arial" w:eastAsia="Arial" w:hAnsi="Arial"/>
          <w:sz w:val="17"/>
          <w:szCs w:val="17"/>
          <w:color w:val="auto"/>
        </w:rPr>
        <w:t>In February 2020, we sold an aggregate of 5,251,542 shares of our Series E-1 preferred stock and 5,988,378 shares of our Series E-2 preferred stock, each at a purchase price of $10.67623 per share for an aggregate purchase price of approximately</w:t>
      </w:r>
    </w:p>
    <w:p>
      <w:pPr>
        <w:spacing w:after="0" w:line="1"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$120.0 million. Each share of our Series E-1 preferred stock automatically converts into one share of our common stock immediately prior to the completion of this offering and each share of our Series E-2 preferred stock converts automatically into one share of our non-voting common stock immediately prior to the completion of this offering.</w:t>
      </w:r>
    </w:p>
    <w:p>
      <w:pPr>
        <w:spacing w:after="0" w:line="17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purchasers of our Series E-1 preferred stock and Series E-2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following table summarizes the Series E-1 preferred stock and Series E-2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of</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of</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Series E-1</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E-2</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5220" w:type="dxa"/>
            <w:vAlign w:val="bottom"/>
            <w:vMerge w:val="restart"/>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Preferred</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Stock</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Total Purchase </w:t>
            </w: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(1)</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2,909,892</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4,115,058</w:t>
            </w:r>
          </w:p>
        </w:tc>
        <w:tc>
          <w:tcPr>
            <w:tcW w:w="4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60" w:type="dxa"/>
            <w:vAlign w:val="bottom"/>
            <w:gridSpan w:val="2"/>
          </w:tcPr>
          <w:p>
            <w:pPr>
              <w:spacing w:after="0"/>
              <w:rPr>
                <w:sz w:val="20"/>
                <w:szCs w:val="20"/>
                <w:color w:val="auto"/>
              </w:rPr>
            </w:pPr>
            <w:r>
              <w:rPr>
                <w:rFonts w:ascii="Arial" w:cs="Arial" w:eastAsia="Arial" w:hAnsi="Arial"/>
                <w:sz w:val="18"/>
                <w:szCs w:val="18"/>
                <w:color w:val="auto"/>
              </w:rPr>
              <w:t>Ossa Investments Pte. Ltd.</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1,873,320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5" w:lineRule="exact"/>
        <w:rPr>
          <w:sz w:val="20"/>
          <w:szCs w:val="20"/>
          <w:color w:val="auto"/>
        </w:rPr>
      </w:pPr>
    </w:p>
    <w:p>
      <w:pPr>
        <w:ind w:left="660" w:right="240" w:hanging="544"/>
        <w:spacing w:after="0" w:line="258"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20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In July 2018, we sold an aggregate of 6,625,002 shares of our Series D preferred stock to Ossa Investments Pte. Ltd (Ossa), at a purchase price of $7.54717 per share for an aggregate purchase price of approximately $50.0 million. Each share of our Series D preferred stock converts automatically into one share of our common stock immediately prior to the completion of this offering.</w:t>
      </w:r>
    </w:p>
    <w:p>
      <w:pPr>
        <w:spacing w:after="0" w:line="16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D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Secondary Sales</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On February 23, 2021, certain members of our management and Board of Directors, in a series of individual transactions, sold an aggregate of 1,205,118 shares of our common stock to certain of our existing investors at a purchase price of $22.3287 per share, for an aggregate purchase price of approximately $26.7 million. No seller sold more than 10% of their total holdings or equity or 15% of their vested equity.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3"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 Registration Rights.” Other than these registration rights, all other terms of the amended and restated investors’ rights agreement will terminate in connection with this offering.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voting agreement with certain holders of our preferred stock, including entities with which certain of our directors are affiliated.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first refusal and co-sale agreement with certain holders of our preferred stock, including entities with which certain of our directors are affiliated.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upon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6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the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07"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and non-voting common stock as of May 10, 2021, and as adjusted to reflect the sale of common stock in this offering, for:</w:t>
      </w:r>
    </w:p>
    <w:p>
      <w:pPr>
        <w:spacing w:after="0" w:line="197"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 and non-voting common stock.</w:t>
      </w:r>
    </w:p>
    <w:p>
      <w:pPr>
        <w:spacing w:after="0" w:line="156" w:lineRule="exact"/>
        <w:rPr>
          <w:sz w:val="20"/>
          <w:szCs w:val="20"/>
          <w:color w:val="auto"/>
        </w:rPr>
      </w:pPr>
    </w:p>
    <w:p>
      <w:pPr>
        <w:ind w:left="120" w:right="180" w:firstLine="440"/>
        <w:spacing w:after="0" w:line="234"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and non-voting common stock that they beneficially owned, subject to applicable community property laws. Applicable percentage ownership is based on 91,971,918 shares of our common stock and 5,988,378 shares of our non-voting common stock outstanding as of May 10, 2021, and assumes the conversion of all outstanding shares of preferred stock into an aggregate of</w:t>
      </w:r>
    </w:p>
    <w:p>
      <w:pPr>
        <w:spacing w:after="0" w:line="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62,031,939 shares of our common stock and 5,988,378 shares of our non-voting common stock. For purposes of computing percentage ownership after this offering, we have assumed that (i) shares of common stock will be issued by us in this offering; (ii) the underwriters will not exercise their option to purchase up to additional shares of common stock and (iii) none of our executive officers, directors or stockholders who beneficially own more than five percent of our common stock will participate in this offering. In computing the number of shares of common stock and non-voting common stock beneficially owned by a person and the percentage ownership of that person, we deemed to be outstanding all shares of common stock subject to options held by that person or entity that are currently exercisable or that will become exercisable within 60 days of May 10, 2021. We did not deem these shares outstanding, however, for the purpose of computing the percentage ownership of any other person. Unless otherwise indicated, the address of each beneficial owner in the table below is c/o Flywire Corporation, 141 Tremont St #10, Boston, MA 02111.</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60" w:type="dxa"/>
            <w:vAlign w:val="bottom"/>
            <w:gridSpan w:val="9"/>
          </w:tcPr>
          <w:p>
            <w:pPr>
              <w:jc w:val="center"/>
              <w:ind w:left="670"/>
              <w:spacing w:after="0"/>
              <w:rPr>
                <w:sz w:val="20"/>
                <w:szCs w:val="20"/>
                <w:color w:val="auto"/>
              </w:rPr>
            </w:pPr>
            <w:r>
              <w:rPr>
                <w:rFonts w:ascii="Arial" w:cs="Arial" w:eastAsia="Arial" w:hAnsi="Arial"/>
                <w:sz w:val="13"/>
                <w:szCs w:val="13"/>
                <w:b w:val="1"/>
                <w:bCs w:val="1"/>
                <w:color w:val="auto"/>
                <w:w w:val="96"/>
              </w:rPr>
              <w:t>Shares Beneficially Owned Prior To</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95"/>
              </w:rPr>
              <w:t>Shares Beneficially Owned After</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8"/>
              </w:rPr>
              <w:t>This Offering</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6"/>
              </w:rPr>
              <w:t>This Offering</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 Of Total</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 Of Total</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gridSpan w:val="2"/>
            <w:vMerge w:val="restart"/>
          </w:tcPr>
          <w:p>
            <w:pPr>
              <w:jc w:val="center"/>
              <w:ind w:left="230"/>
              <w:spacing w:after="0"/>
              <w:rPr>
                <w:sz w:val="20"/>
                <w:szCs w:val="20"/>
                <w:color w:val="auto"/>
              </w:rPr>
            </w:pPr>
            <w:r>
              <w:rPr>
                <w:rFonts w:ascii="Arial" w:cs="Arial" w:eastAsia="Arial" w:hAnsi="Arial"/>
                <w:sz w:val="13"/>
                <w:szCs w:val="13"/>
                <w:b w:val="1"/>
                <w:bCs w:val="1"/>
                <w:color w:val="auto"/>
                <w:w w:val="93"/>
              </w:rPr>
              <w:t>Voting</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96"/>
              </w:rPr>
              <w:t>Non-voting</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840" w:type="dxa"/>
            <w:vAlign w:val="bottom"/>
            <w:vMerge w:val="restart"/>
          </w:tcPr>
          <w:p>
            <w:pPr>
              <w:jc w:val="center"/>
              <w:ind w:left="250"/>
              <w:spacing w:after="0"/>
              <w:rPr>
                <w:sz w:val="20"/>
                <w:szCs w:val="20"/>
                <w:color w:val="auto"/>
              </w:rPr>
            </w:pPr>
            <w:r>
              <w:rPr>
                <w:rFonts w:ascii="Arial" w:cs="Arial" w:eastAsia="Arial" w:hAnsi="Arial"/>
                <w:sz w:val="13"/>
                <w:szCs w:val="13"/>
                <w:b w:val="1"/>
                <w:bCs w:val="1"/>
                <w:color w:val="auto"/>
                <w:w w:val="98"/>
              </w:rPr>
              <w:t>Voting</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96"/>
              </w:rPr>
              <w:t>Non-voting</w:t>
            </w: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Capital</w:t>
            </w:r>
          </w:p>
        </w:tc>
        <w:tc>
          <w:tcPr>
            <w:tcW w:w="8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9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Capital</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80" w:type="dxa"/>
            <w:vAlign w:val="bottom"/>
            <w:gridSpan w:val="2"/>
            <w:vMerge w:val="restart"/>
          </w:tcPr>
          <w:p>
            <w:pPr>
              <w:jc w:val="center"/>
              <w:ind w:left="230"/>
              <w:spacing w:after="0" w:line="135" w:lineRule="exact"/>
              <w:rPr>
                <w:sz w:val="20"/>
                <w:szCs w:val="20"/>
                <w:color w:val="auto"/>
              </w:rPr>
            </w:pPr>
            <w:r>
              <w:rPr>
                <w:rFonts w:ascii="Arial" w:cs="Arial" w:eastAsia="Arial" w:hAnsi="Arial"/>
                <w:sz w:val="13"/>
                <w:szCs w:val="13"/>
                <w:b w:val="1"/>
                <w:bCs w:val="1"/>
                <w:color w:val="auto"/>
                <w:w w:val="95"/>
              </w:rPr>
              <w:t>Common</w:t>
            </w: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left="210"/>
              <w:spacing w:after="0" w:line="135" w:lineRule="exact"/>
              <w:rPr>
                <w:sz w:val="20"/>
                <w:szCs w:val="20"/>
                <w:color w:val="auto"/>
              </w:rPr>
            </w:pPr>
            <w:r>
              <w:rPr>
                <w:rFonts w:ascii="Arial" w:cs="Arial" w:eastAsia="Arial" w:hAnsi="Arial"/>
                <w:sz w:val="13"/>
                <w:szCs w:val="13"/>
                <w:b w:val="1"/>
                <w:bCs w:val="1"/>
                <w:color w:val="auto"/>
                <w:w w:val="95"/>
              </w:rPr>
              <w:t>Common</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340" w:type="dxa"/>
            <w:vAlign w:val="bottom"/>
            <w:gridSpan w:val="3"/>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left="210"/>
              <w:spacing w:after="0" w:line="135" w:lineRule="exact"/>
              <w:rPr>
                <w:sz w:val="20"/>
                <w:szCs w:val="20"/>
                <w:color w:val="auto"/>
              </w:rPr>
            </w:pPr>
            <w:r>
              <w:rPr>
                <w:rFonts w:ascii="Arial" w:cs="Arial" w:eastAsia="Arial" w:hAnsi="Arial"/>
                <w:sz w:val="13"/>
                <w:szCs w:val="13"/>
                <w:b w:val="1"/>
                <w:bCs w:val="1"/>
                <w:color w:val="auto"/>
                <w:w w:val="95"/>
              </w:rPr>
              <w:t>Common</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Stock</w:t>
            </w:r>
          </w:p>
        </w:tc>
        <w:tc>
          <w:tcPr>
            <w:tcW w:w="13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80" w:type="dxa"/>
            <w:vAlign w:val="bottom"/>
            <w:gridSpan w:val="2"/>
            <w:vMerge w:val="restart"/>
          </w:tcPr>
          <w:p>
            <w:pPr>
              <w:jc w:val="center"/>
              <w:ind w:left="230"/>
              <w:spacing w:after="0"/>
              <w:rPr>
                <w:sz w:val="20"/>
                <w:szCs w:val="20"/>
                <w:color w:val="auto"/>
              </w:rPr>
            </w:pPr>
            <w:r>
              <w:rPr>
                <w:rFonts w:ascii="Arial" w:cs="Arial" w:eastAsia="Arial" w:hAnsi="Arial"/>
                <w:sz w:val="13"/>
                <w:szCs w:val="13"/>
                <w:b w:val="1"/>
                <w:bCs w:val="1"/>
                <w:color w:val="auto"/>
                <w:w w:val="95"/>
              </w:rPr>
              <w:t>Stock</w:t>
            </w: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left="210"/>
              <w:spacing w:after="0"/>
              <w:rPr>
                <w:sz w:val="20"/>
                <w:szCs w:val="20"/>
                <w:color w:val="auto"/>
              </w:rPr>
            </w:pPr>
            <w:r>
              <w:rPr>
                <w:rFonts w:ascii="Arial" w:cs="Arial" w:eastAsia="Arial" w:hAnsi="Arial"/>
                <w:sz w:val="13"/>
                <w:szCs w:val="13"/>
                <w:b w:val="1"/>
                <w:bCs w:val="1"/>
                <w:color w:val="auto"/>
                <w:w w:val="95"/>
              </w:rPr>
              <w:t>Stock</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40" w:type="dxa"/>
            <w:vAlign w:val="bottom"/>
            <w:vMerge w:val="restart"/>
          </w:tcPr>
          <w:p>
            <w:pPr>
              <w:jc w:val="center"/>
              <w:ind w:left="250"/>
              <w:spacing w:after="0"/>
              <w:rPr>
                <w:sz w:val="20"/>
                <w:szCs w:val="20"/>
                <w:color w:val="auto"/>
              </w:rPr>
            </w:pPr>
            <w:r>
              <w:rPr>
                <w:rFonts w:ascii="Arial" w:cs="Arial" w:eastAsia="Arial" w:hAnsi="Arial"/>
                <w:sz w:val="13"/>
                <w:szCs w:val="13"/>
                <w:b w:val="1"/>
                <w:bCs w:val="1"/>
                <w:color w:val="auto"/>
              </w:rPr>
              <w:t>Stock</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left="210"/>
              <w:spacing w:after="0"/>
              <w:rPr>
                <w:sz w:val="20"/>
                <w:szCs w:val="20"/>
                <w:color w:val="auto"/>
              </w:rPr>
            </w:pPr>
            <w:r>
              <w:rPr>
                <w:rFonts w:ascii="Arial" w:cs="Arial" w:eastAsia="Arial" w:hAnsi="Arial"/>
                <w:sz w:val="13"/>
                <w:szCs w:val="13"/>
                <w:b w:val="1"/>
                <w:bCs w:val="1"/>
                <w:color w:val="auto"/>
                <w:w w:val="95"/>
              </w:rPr>
              <w:t>Stock</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8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Before This</w:t>
            </w:r>
          </w:p>
        </w:tc>
        <w:tc>
          <w:tcPr>
            <w:tcW w:w="8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After This</w:t>
            </w:r>
          </w:p>
        </w:tc>
        <w:tc>
          <w:tcPr>
            <w:tcW w:w="0" w:type="dxa"/>
            <w:vAlign w:val="bottom"/>
          </w:tcPr>
          <w:p>
            <w:pPr>
              <w:spacing w:after="0"/>
              <w:rPr>
                <w:sz w:val="1"/>
                <w:szCs w:val="1"/>
                <w:color w:val="auto"/>
              </w:rPr>
            </w:pPr>
          </w:p>
        </w:tc>
      </w:tr>
      <w:tr>
        <w:trPr>
          <w:trHeight w:val="39"/>
        </w:trPr>
        <w:tc>
          <w:tcPr>
            <w:tcW w:w="1660" w:type="dxa"/>
            <w:vAlign w:val="bottom"/>
            <w:vMerge w:val="restart"/>
          </w:tcPr>
          <w:p>
            <w:pPr>
              <w:spacing w:after="0"/>
              <w:rPr>
                <w:sz w:val="20"/>
                <w:szCs w:val="20"/>
                <w:color w:val="auto"/>
              </w:rPr>
            </w:pPr>
            <w:r>
              <w:rPr>
                <w:rFonts w:ascii="Arial" w:cs="Arial" w:eastAsia="Arial" w:hAnsi="Arial"/>
                <w:sz w:val="13"/>
                <w:szCs w:val="13"/>
                <w:b w:val="1"/>
                <w:bCs w:val="1"/>
                <w:color w:val="auto"/>
                <w:w w:val="95"/>
              </w:rPr>
              <w:t>5% or Greater Stockholders</w:t>
            </w:r>
          </w:p>
        </w:tc>
        <w:tc>
          <w:tcPr>
            <w:tcW w:w="170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660" w:type="dxa"/>
            <w:vAlign w:val="bottom"/>
            <w:tcBorders>
              <w:bottom w:val="single" w:sz="8" w:color="auto"/>
            </w:tcBorders>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8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ind w:left="80"/>
              <w:spacing w:after="0" w:line="14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Shares</w:t>
            </w:r>
          </w:p>
        </w:tc>
        <w:tc>
          <w:tcPr>
            <w:tcW w:w="280" w:type="dxa"/>
            <w:vAlign w:val="bottom"/>
          </w:tcPr>
          <w:p>
            <w:pPr>
              <w:ind w:left="80"/>
              <w:spacing w:after="0" w:line="144"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8"/>
              </w:rPr>
              <w:t>Offering</w:t>
            </w:r>
          </w:p>
        </w:tc>
        <w:tc>
          <w:tcPr>
            <w:tcW w:w="840" w:type="dxa"/>
            <w:vAlign w:val="bottom"/>
          </w:tcPr>
          <w:p>
            <w:pPr>
              <w:jc w:val="right"/>
              <w:ind w:right="190"/>
              <w:spacing w:after="0" w:line="144"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ind w:left="100"/>
              <w:spacing w:after="0" w:line="14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Shares</w:t>
            </w:r>
          </w:p>
        </w:tc>
        <w:tc>
          <w:tcPr>
            <w:tcW w:w="2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line="169" w:lineRule="exact"/>
              <w:rPr>
                <w:sz w:val="20"/>
                <w:szCs w:val="20"/>
                <w:color w:val="auto"/>
              </w:rPr>
            </w:pPr>
            <w:r>
              <w:rPr>
                <w:rFonts w:ascii="Arial" w:cs="Arial" w:eastAsia="Arial" w:hAnsi="Arial"/>
                <w:sz w:val="12"/>
                <w:szCs w:val="12"/>
                <w:color w:val="auto"/>
              </w:rPr>
              <w:t>Entities affiliated with Spark Capital</w:t>
            </w:r>
            <w:r>
              <w:rPr>
                <w:rFonts w:ascii="Arial" w:cs="Arial" w:eastAsia="Arial" w:hAnsi="Arial"/>
                <w:sz w:val="19"/>
                <w:szCs w:val="19"/>
                <w:color w:val="auto"/>
                <w:vertAlign w:val="superscript"/>
              </w:rPr>
              <w:t>(1)</w:t>
            </w: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gridSpan w:val="2"/>
            <w:vMerge w:val="continue"/>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16,044,420</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84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16,044,420</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line="162" w:lineRule="exact"/>
              <w:rPr>
                <w:sz w:val="20"/>
                <w:szCs w:val="20"/>
                <w:color w:val="auto"/>
              </w:rPr>
            </w:pPr>
            <w:r>
              <w:rPr>
                <w:rFonts w:ascii="Arial" w:cs="Arial" w:eastAsia="Arial" w:hAnsi="Arial"/>
                <w:sz w:val="11"/>
                <w:szCs w:val="11"/>
                <w:color w:val="auto"/>
              </w:rPr>
              <w:t>Ossa Investments Pte. Ltd.</w:t>
            </w:r>
            <w:r>
              <w:rPr>
                <w:rFonts w:ascii="Arial" w:cs="Arial" w:eastAsia="Arial" w:hAnsi="Arial"/>
                <w:sz w:val="18"/>
                <w:szCs w:val="18"/>
                <w:color w:val="auto"/>
                <w:vertAlign w:val="superscript"/>
              </w:rPr>
              <w:t>(2)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10,635,573</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12.4%</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color w:val="auto"/>
              </w:rPr>
              <w:t>1,873,320</w:t>
            </w:r>
          </w:p>
        </w:tc>
        <w:tc>
          <w:tcPr>
            <w:tcW w:w="560" w:type="dxa"/>
            <w:vAlign w:val="bottom"/>
            <w:gridSpan w:val="2"/>
          </w:tcPr>
          <w:p>
            <w:pPr>
              <w:spacing w:after="0"/>
              <w:rPr>
                <w:sz w:val="20"/>
                <w:szCs w:val="20"/>
                <w:color w:val="auto"/>
              </w:rPr>
            </w:pPr>
            <w:r>
              <w:rPr>
                <w:rFonts w:ascii="Arial" w:cs="Arial" w:eastAsia="Arial" w:hAnsi="Arial"/>
                <w:sz w:val="14"/>
                <w:szCs w:val="14"/>
                <w:color w:val="auto"/>
              </w:rPr>
              <w:t>31.3%</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13.6%</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10,635,573</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11.0%</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color w:val="auto"/>
              </w:rPr>
              <w:t>1,873,320</w:t>
            </w:r>
          </w:p>
        </w:tc>
        <w:tc>
          <w:tcPr>
            <w:tcW w:w="560" w:type="dxa"/>
            <w:vAlign w:val="bottom"/>
            <w:gridSpan w:val="2"/>
          </w:tcPr>
          <w:p>
            <w:pPr>
              <w:spacing w:after="0"/>
              <w:rPr>
                <w:sz w:val="20"/>
                <w:szCs w:val="20"/>
                <w:color w:val="auto"/>
              </w:rPr>
            </w:pPr>
            <w:r>
              <w:rPr>
                <w:rFonts w:ascii="Arial" w:cs="Arial" w:eastAsia="Arial" w:hAnsi="Arial"/>
                <w:sz w:val="14"/>
                <w:szCs w:val="14"/>
                <w:color w:val="auto"/>
              </w:rPr>
              <w:t>31.3%</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F-Prime Capital Partners</w:t>
            </w:r>
            <w:r>
              <w:rPr>
                <w:rFonts w:ascii="Arial" w:cs="Arial" w:eastAsia="Arial" w:hAnsi="Arial"/>
                <w:sz w:val="18"/>
                <w:szCs w:val="18"/>
                <w:color w:val="auto"/>
                <w:vertAlign w:val="superscript"/>
              </w:rPr>
              <w:t>(3)</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7,460,328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7,460,328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line="162" w:lineRule="exact"/>
              <w:rPr>
                <w:sz w:val="20"/>
                <w:szCs w:val="20"/>
                <w:color w:val="auto"/>
              </w:rPr>
            </w:pPr>
            <w:r>
              <w:rPr>
                <w:rFonts w:ascii="Arial" w:cs="Arial" w:eastAsia="Arial" w:hAnsi="Arial"/>
                <w:sz w:val="11"/>
                <w:szCs w:val="11"/>
                <w:color w:val="auto"/>
              </w:rPr>
              <w:t>Entities affiliated with Goldman Sachs</w:t>
            </w:r>
            <w:r>
              <w:rPr>
                <w:rFonts w:ascii="Arial" w:cs="Arial" w:eastAsia="Arial" w:hAnsi="Arial"/>
                <w:sz w:val="18"/>
                <w:szCs w:val="18"/>
                <w:color w:val="auto"/>
                <w:vertAlign w:val="superscript"/>
              </w:rPr>
              <w:t>(4)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3,082,017</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color w:val="auto"/>
              </w:rPr>
              <w:t>4,115,058</w:t>
            </w:r>
          </w:p>
        </w:tc>
        <w:tc>
          <w:tcPr>
            <w:tcW w:w="560" w:type="dxa"/>
            <w:vAlign w:val="bottom"/>
            <w:gridSpan w:val="2"/>
          </w:tcPr>
          <w:p>
            <w:pPr>
              <w:spacing w:after="0"/>
              <w:rPr>
                <w:sz w:val="20"/>
                <w:szCs w:val="20"/>
                <w:color w:val="auto"/>
              </w:rPr>
            </w:pPr>
            <w:r>
              <w:rPr>
                <w:rFonts w:ascii="Arial" w:cs="Arial" w:eastAsia="Arial" w:hAnsi="Arial"/>
                <w:sz w:val="14"/>
                <w:szCs w:val="14"/>
                <w:color w:val="auto"/>
              </w:rPr>
              <w:t>68.7%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3,082,017</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color w:val="auto"/>
              </w:rPr>
              <w:t>4,115,058</w:t>
            </w:r>
          </w:p>
        </w:tc>
        <w:tc>
          <w:tcPr>
            <w:tcW w:w="560" w:type="dxa"/>
            <w:vAlign w:val="bottom"/>
            <w:gridSpan w:val="2"/>
          </w:tcPr>
          <w:p>
            <w:pPr>
              <w:spacing w:after="0"/>
              <w:rPr>
                <w:sz w:val="20"/>
                <w:szCs w:val="20"/>
                <w:color w:val="auto"/>
              </w:rPr>
            </w:pPr>
            <w:r>
              <w:rPr>
                <w:rFonts w:ascii="Arial" w:cs="Arial" w:eastAsia="Arial" w:hAnsi="Arial"/>
                <w:sz w:val="14"/>
                <w:szCs w:val="14"/>
                <w:color w:val="auto"/>
              </w:rPr>
              <w:t>68.7%</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9"/>
        </w:trPr>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Entities affiliated with Bain Capital Venture</w:t>
            </w:r>
          </w:p>
        </w:tc>
        <w:tc>
          <w:tcPr>
            <w:tcW w:w="7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2"/>
                <w:szCs w:val="12"/>
                <w:color w:val="auto"/>
              </w:rPr>
              <w:t>Investors, LLC</w:t>
            </w:r>
            <w:r>
              <w:rPr>
                <w:rFonts w:ascii="Arial" w:cs="Arial" w:eastAsia="Arial" w:hAnsi="Arial"/>
                <w:sz w:val="19"/>
                <w:szCs w:val="19"/>
                <w:color w:val="auto"/>
                <w:vertAlign w:val="superscript"/>
              </w:rPr>
              <w:t>(5)</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16,539,864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16,539,864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Named Executive Officers, Other Officers, and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140"/>
              <w:spacing w:after="0"/>
              <w:rPr>
                <w:sz w:val="20"/>
                <w:szCs w:val="20"/>
                <w:color w:val="auto"/>
              </w:rPr>
            </w:pPr>
            <w:r>
              <w:rPr>
                <w:rFonts w:ascii="Arial" w:cs="Arial" w:eastAsia="Arial" w:hAnsi="Arial"/>
                <w:sz w:val="14"/>
                <w:szCs w:val="14"/>
                <w:b w:val="1"/>
                <w:bCs w:val="1"/>
                <w:color w:val="auto"/>
              </w:rPr>
              <w:t>Directors: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Michael Massaro</w:t>
            </w:r>
            <w:r>
              <w:rPr>
                <w:rFonts w:ascii="Arial" w:cs="Arial" w:eastAsia="Arial" w:hAnsi="Arial"/>
                <w:sz w:val="18"/>
                <w:szCs w:val="18"/>
                <w:color w:val="auto"/>
                <w:vertAlign w:val="superscript"/>
              </w:rPr>
              <w:t>(6)</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2,840,160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2,840,160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line="162" w:lineRule="exact"/>
              <w:rPr>
                <w:sz w:val="20"/>
                <w:szCs w:val="20"/>
                <w:color w:val="auto"/>
              </w:rPr>
            </w:pPr>
            <w:r>
              <w:rPr>
                <w:rFonts w:ascii="Arial" w:cs="Arial" w:eastAsia="Arial" w:hAnsi="Arial"/>
                <w:sz w:val="11"/>
                <w:szCs w:val="11"/>
                <w:color w:val="auto"/>
              </w:rPr>
              <w:t>Rob Orgel</w:t>
            </w:r>
            <w:r>
              <w:rPr>
                <w:rFonts w:ascii="Arial" w:cs="Arial" w:eastAsia="Arial" w:hAnsi="Arial"/>
                <w:sz w:val="18"/>
                <w:szCs w:val="18"/>
                <w:color w:val="auto"/>
                <w:vertAlign w:val="superscript"/>
              </w:rPr>
              <w:t>(7)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198,750</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198,750</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Michael Ellis</w:t>
            </w:r>
            <w:r>
              <w:rPr>
                <w:rFonts w:ascii="Arial" w:cs="Arial" w:eastAsia="Arial" w:hAnsi="Arial"/>
                <w:sz w:val="18"/>
                <w:szCs w:val="18"/>
                <w:color w:val="auto"/>
                <w:vertAlign w:val="superscript"/>
              </w:rPr>
              <w:t>(8)</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433,290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433,290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line="162" w:lineRule="exact"/>
              <w:rPr>
                <w:sz w:val="20"/>
                <w:szCs w:val="20"/>
                <w:color w:val="auto"/>
              </w:rPr>
            </w:pPr>
            <w:r>
              <w:rPr>
                <w:rFonts w:ascii="Arial" w:cs="Arial" w:eastAsia="Arial" w:hAnsi="Arial"/>
                <w:sz w:val="11"/>
                <w:szCs w:val="11"/>
                <w:color w:val="auto"/>
              </w:rPr>
              <w:t>Alex Finkelstein</w:t>
            </w:r>
            <w:r>
              <w:rPr>
                <w:rFonts w:ascii="Arial" w:cs="Arial" w:eastAsia="Arial" w:hAnsi="Arial"/>
                <w:sz w:val="18"/>
                <w:szCs w:val="18"/>
                <w:color w:val="auto"/>
                <w:vertAlign w:val="superscript"/>
              </w:rPr>
              <w:t>(1)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16,044,420</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17.4%</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16,044,420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Matt Harris</w:t>
            </w:r>
            <w:r>
              <w:rPr>
                <w:rFonts w:ascii="Arial" w:cs="Arial" w:eastAsia="Arial" w:hAnsi="Arial"/>
                <w:sz w:val="18"/>
                <w:szCs w:val="18"/>
                <w:color w:val="auto"/>
                <w:vertAlign w:val="superscript"/>
              </w:rPr>
              <w:t>(5)</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16,539,864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16,539,864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Jo Natauri</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Phillip Riese</w:t>
            </w:r>
            <w:r>
              <w:rPr>
                <w:rFonts w:ascii="Arial" w:cs="Arial" w:eastAsia="Arial" w:hAnsi="Arial"/>
                <w:sz w:val="18"/>
                <w:szCs w:val="18"/>
                <w:color w:val="auto"/>
                <w:vertAlign w:val="superscript"/>
              </w:rPr>
              <w:t>(9)</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509,346</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509,346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Edwin Santos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 executive officers and directors as a group</w:t>
            </w: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(12 persons)</w:t>
            </w:r>
            <w:r>
              <w:rPr>
                <w:rFonts w:ascii="Arial" w:cs="Arial" w:eastAsia="Arial" w:hAnsi="Arial"/>
                <w:sz w:val="8"/>
                <w:szCs w:val="8"/>
                <w:b w:val="1"/>
                <w:bCs w:val="1"/>
                <w:color w:val="auto"/>
              </w:rPr>
              <w:t>(10)</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38,967,270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43.9%</w:t>
            </w: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41.2%</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38,967,270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2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1,036,509 shares of our common stock held by Spark Capital Growth Fund, L.P, (ii) 10,257 shares of our common stock held by Spark Capital Growth Founders’ Fund, L.P., (iii) 14,900,181 shares of our common stock held by Spark Capital II, L.P. and (iv) 97,473 shares of our common stock held by Spark Capital Founders’ Fund II, L.P. Spark Management Partners II, LLC is the general partner of each of Spark Capital II, L.P. and Spark Capital Founders’ Fund II, L.P. and Spark Growth Management Partners, LLC is the general partner of each of Spark Capital Growh Fund, L.P. and Spark Capital Growth Founders’ Fund, L.P. Paul Conway, Bijan Sabet, Santo Politi, and Alexander J. Finkelstein are the managing members of each of Spark Management Partners II, LLC and Spark Growth Management Partners, LLC and hold voting and dispositive power over the shares held by each of Spark Capital II, L.P., Spark Capital Founders’ Fund II, L.P., Spark Capital Growth Fund, L.P. and Spark Capital Growth Founders’ Fund, L.P. The address for these entities is 137 Newbury Street, 8th Floor, Boston, Massachusetts 02116.</w:t>
      </w:r>
    </w:p>
    <w:p>
      <w:pPr>
        <w:spacing w:after="0" w:line="164" w:lineRule="exact"/>
        <w:rPr>
          <w:rFonts w:ascii="Arial" w:cs="Arial" w:eastAsia="Arial" w:hAnsi="Arial"/>
          <w:sz w:val="14"/>
          <w:szCs w:val="14"/>
          <w:color w:val="auto"/>
        </w:rPr>
      </w:pPr>
    </w:p>
    <w:p>
      <w:pPr>
        <w:ind w:left="660" w:right="6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The address for Ossa Investments Pte. Ltd., Fullerton and Temasek is 60B Orchard Road #06-18 Tower 2, The Atrium@Orchard, Singapore 238891.</w:t>
      </w:r>
    </w:p>
    <w:p>
      <w:pPr>
        <w:spacing w:after="0" w:line="1" w:lineRule="exact"/>
        <w:rPr>
          <w:rFonts w:ascii="Arial" w:cs="Arial" w:eastAsia="Arial" w:hAnsi="Arial"/>
          <w:sz w:val="14"/>
          <w:szCs w:val="14"/>
          <w:color w:val="auto"/>
        </w:rPr>
      </w:pPr>
    </w:p>
    <w:p>
      <w:pPr>
        <w:ind w:left="660" w:right="4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securities are held by F-Prime Capital Partners Tech Fund LP. F-Prime Capital Partners Tech Advisors Fund LP is the general partner of F-Prime Capital Partners Tech Fund LP. F-Prime Capital Partners Tech Advisors Fund LP is solely managed by Impresa Management LLC, the managing member of its general partner and its investment manager. Impresa Management LLC is owned, directly or indirectly, by various shareholders and employees of FMR LLC. The address of these entities is 245 Summer Street, Boston, MA 02210.</w:t>
      </w:r>
    </w:p>
    <w:p>
      <w:pPr>
        <w:spacing w:after="0" w:line="1" w:lineRule="exact"/>
        <w:rPr>
          <w:rFonts w:ascii="Arial" w:cs="Arial" w:eastAsia="Arial" w:hAnsi="Arial"/>
          <w:sz w:val="14"/>
          <w:szCs w:val="14"/>
          <w:color w:val="auto"/>
        </w:rPr>
      </w:pPr>
    </w:p>
    <w:p>
      <w:pPr>
        <w:ind w:left="660" w:right="6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securities are held by Goldman Sachs PSI Global Holdings, LLC , StoneBridge 2020, L.P. and StoneBridge 2020 Offshore Holdings II, L.P., (collectively, the GS Entities). Affiliates of Goldman Sachs and The Goldman Sachs Group, Inc. are the general partner, managing partner, managing member or investment manager of each of the GS Entities, and the GS Entities may share voting and investment power with certain of their respective affiliates. Goldman Sachs is a direct and indirect wholly owned subsidiary of The Goldman Sachs Group, Inc. Jo Natauri is a Managing Director of Goldman Sachs. The address of the GS Entities and Ms. Natauri is 200 West Street, New York, NY 10282.</w:t>
      </w:r>
    </w:p>
    <w:p>
      <w:pPr>
        <w:spacing w:after="0" w:line="1" w:lineRule="exact"/>
        <w:rPr>
          <w:rFonts w:ascii="Arial" w:cs="Arial" w:eastAsia="Arial" w:hAnsi="Arial"/>
          <w:sz w:val="14"/>
          <w:szCs w:val="14"/>
          <w:color w:val="auto"/>
        </w:rPr>
      </w:pPr>
    </w:p>
    <w:p>
      <w:pPr>
        <w:ind w:left="66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423,600 shares of our common stock held by Bain Capital Venture Coinvestment Fund II, L.P. (Venture Coinvestment Fund II), (ii) 16,944 shares of our common stock held by BCV 2019-MD Coinvestment II, L.P. (MD Coinvestment), (iii) 13,573,035 shares of our common stock held by Bain Capital Venture Fund 2014, L.P. (Venture Fund 2014), (iv) 665,271 shares of our common stock, and warrants to purchase 239,550 shares of our common stock held by Bain Capital Venture Fund 2016, L.P. (Venture Fund 2016), (v) 1,383,753 shares of our common stock held by BCIP Venture Associates (BCIP VA), (vi) 93,096 shares of our common stock held by BCIP Venture Associates-B (BCIP VA-B), (vii) 110,520 shares of our common stock , and warrants to purchase 23,955 shares of our common stock held by BCIP Venture Associates II, LP (BCIP VA II) and (viii) 8,145 shares of our common stock, and warrants to purchase 1,995 shares of our common stock held by BCIP Venture Associates II-B, LP (BCIP VA II-B and, together with Venture Fund 2014, Venture Fund 2016, Venture Coinvestment Fund II, MD Coinvestment, BCIP VA, BCIP VA-B and BCIP VA II, the Bain Capital Venture Entities). Bain Capital Venture Investors, LLC (BCVI), the Executive Committee of which consists of Enrique Salem and Ajay Agarwal, is the (i) ultimate general partner of Venture Fund 2014, (ii) the ultimate general partner of Venture Fund 2016 and (iii) manager of Bain Capital Venture Coinvestment II Investors, LLC (Venture Coinvestment II Investors), which is the general partner of each of Venture Coinvestment Fund II and MD Coinvestment, and governs the investment strategy and decision-making process with respect to investments held by BCIP VA, BCIP VA-B, BCIP VA II and BCIP VA II-B. By virtue of the relationships described in this footnote, each of BCVI, Messrs. Salem and Agarwal may be deemed to share voting and dispositive power over the shares held by the Bain Capital Venture Entities. The business address of the Bain Capital Venture Entities is 200 Clarendon Street, Boston, MA 02116.</w:t>
      </w:r>
    </w:p>
    <w:p>
      <w:pPr>
        <w:spacing w:after="0" w:line="166" w:lineRule="exact"/>
        <w:rPr>
          <w:rFonts w:ascii="Arial" w:cs="Arial" w:eastAsia="Arial" w:hAnsi="Arial"/>
          <w:sz w:val="14"/>
          <w:szCs w:val="14"/>
          <w:color w:val="auto"/>
        </w:rPr>
      </w:pPr>
    </w:p>
    <w:p>
      <w:pPr>
        <w:ind w:left="660" w:right="6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1,525,530 shares of our common stock held by Mr. Massaro and (ii) 1,314,630 shares of our common stock issuable to Mr. Massaro upon exercise of stock options within 60 days of May 10, 2021.</w:t>
      </w:r>
    </w:p>
    <w:p>
      <w:pPr>
        <w:ind w:left="660" w:right="40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75,000 shares of our common stock held by Mr. Orgel and (ii) 123,750 shares of our common stock issuable to Mr. Orgel upon exercise of stock options within 60 days of May 10, 2021.</w:t>
      </w:r>
    </w:p>
    <w:p>
      <w:pPr>
        <w:ind w:left="660" w:right="80" w:hanging="544"/>
        <w:spacing w:after="0" w:line="24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97,500 shares of our common stock held by Mr. Ellis and (ii) 110,576 shares of our common stock issuable to Mr. Ellis upon exercise of stock options within 60 days of May 10, 2021.</w:t>
      </w:r>
    </w:p>
    <w:p>
      <w:pPr>
        <w:ind w:left="660" w:hanging="544"/>
        <w:spacing w:after="0"/>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509,346 shares of our common stock issuable to Mr. Riese upon exercise of stock options within 60 days of May 10, 2021.</w:t>
      </w:r>
    </w:p>
    <w:p>
      <w:pPr>
        <w:spacing w:after="0" w:line="1" w:lineRule="exact"/>
        <w:rPr>
          <w:rFonts w:ascii="Arial" w:cs="Arial" w:eastAsia="Arial" w:hAnsi="Arial"/>
          <w:sz w:val="14"/>
          <w:szCs w:val="14"/>
          <w:color w:val="auto"/>
        </w:rPr>
      </w:pPr>
    </w:p>
    <w:p>
      <w:pPr>
        <w:ind w:left="660" w:right="160" w:hanging="544"/>
        <w:spacing w:after="0" w:line="258"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(i) 36,274,512 shares of our common stock held directly and indirectly by our executive officers and directors; and (ii) 2,692,758 shares of our common stock issuable to them upon exercise of stock options within 60 days of May 10, 2021.</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64"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Upon the completion of this offering, our authorized capital stock will consist of 2,000,000,000 shares of common stock, $0.0001 par value per share, 10,000,000 shares of non-voting common stock, $0.0001 par value per share, and 10,000,000 shares of undesignated preferred stock, $0.0001 par value per share.</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Pursuant to the provisions of our current certificate of incorporation, immediately prior to the completion of this offering, each outstanding share of our preferred stock (except our Series E-2 preferred stock) will automatically convert into one share of our common stock and each outstanding share of our Series E-2 preferred stock will convert into one share of our non-voting common stock. Assuming the conversion of all outstanding shares of our preferred stock, into 62,031,939 shares of our common stock and 5,988,378 shares of our non-voting common stock, and the issuance of 10,440,000 shares of our common stock based upon the initial public offering price of $24.00 per share, as of March 31, 2021, there were:</w:t>
      </w:r>
    </w:p>
    <w:p>
      <w:pPr>
        <w:spacing w:after="0" w:line="205" w:lineRule="exact"/>
        <w:rPr>
          <w:sz w:val="20"/>
          <w:szCs w:val="20"/>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95,552,181 shares of our common stock outstanding;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5,988,378 shares of our non-voting common stock outstanding;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16,496,223 shares of our common stock issuable upon exercise of outstanding stock options;</w:t>
      </w:r>
    </w:p>
    <w:p>
      <w:pPr>
        <w:spacing w:after="0" w:line="211"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75,000 shares of our common stock issuable upon the exercise of outstanding warrants to purchase common stock outstanding as of March 31, 2021, with an exercise price of $ 0.17 per share; and</w:t>
      </w:r>
    </w:p>
    <w:p>
      <w:pPr>
        <w:spacing w:after="0" w:line="196" w:lineRule="exact"/>
        <w:rPr>
          <w:rFonts w:ascii="Arial" w:cs="Arial" w:eastAsia="Arial" w:hAnsi="Arial"/>
          <w:sz w:val="18"/>
          <w:szCs w:val="18"/>
          <w:color w:val="auto"/>
        </w:rPr>
      </w:pPr>
    </w:p>
    <w:p>
      <w:pPr>
        <w:ind w:left="880" w:right="360" w:hanging="224"/>
        <w:spacing w:after="0" w:line="238"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381,000 shares of our common stock issuable upon the exercise of outstanding warrants to purchase shares of our Series C preferred stock outstanding as of March 31, 2021, with an exercise price of $1.48 per share, which will become warrants to purchase 381,000 shares of our common stock at an exercise price of $1.48 per share in connection with the closing of this offering.</w:t>
      </w:r>
    </w:p>
    <w:p>
      <w:pPr>
        <w:spacing w:after="0" w:line="205" w:lineRule="exact"/>
        <w:rPr>
          <w:sz w:val="20"/>
          <w:szCs w:val="20"/>
          <w:color w:val="auto"/>
        </w:rPr>
      </w:pPr>
    </w:p>
    <w:p>
      <w:pPr>
        <w:ind w:left="120" w:right="100" w:firstLine="440"/>
        <w:spacing w:after="0" w:line="446" w:lineRule="auto"/>
        <w:rPr>
          <w:sz w:val="20"/>
          <w:szCs w:val="20"/>
          <w:color w:val="auto"/>
        </w:rPr>
      </w:pPr>
      <w:r>
        <w:rPr>
          <w:rFonts w:ascii="Arial" w:cs="Arial" w:eastAsia="Arial" w:hAnsi="Arial"/>
          <w:sz w:val="18"/>
          <w:szCs w:val="18"/>
          <w:color w:val="auto"/>
        </w:rPr>
        <w:t xml:space="preserve">As of March 31, 2021, assuming the conversion of all outstanding shares of our preferred stock, we had 687 stockholders of record. </w:t>
      </w:r>
      <w:r>
        <w:rPr>
          <w:rFonts w:ascii="Arial" w:cs="Arial" w:eastAsia="Arial" w:hAnsi="Arial"/>
          <w:sz w:val="18"/>
          <w:szCs w:val="18"/>
          <w:b w:val="1"/>
          <w:bCs w:val="1"/>
          <w:color w:val="auto"/>
        </w:rPr>
        <w:t>Common Stock and Non-voting Common Stock</w:t>
      </w:r>
    </w:p>
    <w:p>
      <w:pPr>
        <w:ind w:left="120" w:right="80" w:firstLine="440"/>
        <w:spacing w:after="0" w:line="253" w:lineRule="auto"/>
        <w:rPr>
          <w:sz w:val="20"/>
          <w:szCs w:val="20"/>
          <w:color w:val="auto"/>
        </w:rPr>
      </w:pPr>
      <w:r>
        <w:rPr>
          <w:rFonts w:ascii="Arial" w:cs="Arial" w:eastAsia="Arial" w:hAnsi="Arial"/>
          <w:sz w:val="17"/>
          <w:szCs w:val="17"/>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55" w:lineRule="auto"/>
        <w:rPr>
          <w:sz w:val="20"/>
          <w:szCs w:val="20"/>
          <w:color w:val="auto"/>
        </w:rPr>
      </w:pPr>
      <w:r>
        <w:rPr>
          <w:rFonts w:ascii="Arial" w:cs="Arial" w:eastAsia="Arial" w:hAnsi="Arial"/>
          <w:sz w:val="17"/>
          <w:szCs w:val="17"/>
          <w:color w:val="auto"/>
        </w:rPr>
        <w:t>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our voting securities of the without giving effect to the shares of non-voting common stock transferred by the holder. Other than in the event of such transfers, shares of non-voting common stock shall not be convertible into any other security.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and non-voting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Holders of shares of our non-voting common stock are not entitled to vote on any matters on which stockholders are entitled to vote generally, including the election or removal of directors elected by our stockholders. Accordingly, holders of a majority of our common stock entitled to vote at an election of directors may elect all of the directors standing for election.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Our common stock and non-voting common stock is not entitled to preemptive rights and is not subject to conversion, redemption or sinking fund provisions.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As of March 31, 2021, we had outstanding stock options to purchase an aggregate of 16,496,223 shares of our common stock, with a weighted-average exercise price of $ 2.96 per share. Subsequent to March 31, 2021, we granted stock options to purchase 1,030,500 shares of our common stock under the 2018 Plan, with a weighted-average exercise price of $16.82 per share.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of March 31, 2021, we had outstanding warrants to purchase an aggregate of 75,000 shares of our common stock, with an exercise price of $0.17 per share. We also had warrants to purchase 381,000 shares of our Series C preferred stock outstanding, with an exercise price of $1.48 per share, which will become warrants to purchase shares of our common stock at an exercise price of $1.48 per share in connection with the closing of this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Following the completion of this offering, the holders of 68,020,317 shares of our common stock and non-voting common stock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17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Registration Rights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holders of an aggregate of 62,031,939 shares of our common stock and 5,988,378 shares of our non-voting common stock or their permitted transferees, are entitled to demand registration rights at any time after the earlier of (a) four years after the date of the amended and restated investors rights agreement or (b)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60 days of the date of the request, all or a portion of these shares for public resale, if the aggregate price to the public of the shares offered is at least $10.0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S-3 Registration Rights</w:t>
      </w:r>
    </w:p>
    <w:p>
      <w:pPr>
        <w:spacing w:after="0" w:line="20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holders of an aggregate of 62,031,939 shares of our common stock and 5,988,378 shares of our non-voting common stock or their permitted transferees are also entitled to Form S-3 registration rights. Under the terms of the amended and restated investors’ rights agreement, we will be required, upon request of the holders of at least 20% of the shares that are entitled to registration rights under the amended and restated investors’ rights agreement, to file a registration statement on Form S-3 if the aggregate price to the public of the shares offered is at least $1.0 million, net of selling expenses. We will be required, as soon as practicable and in any event within 45 days of the request, to file a registration statement on Form S-3 to register these shares for public resale. The holders may only require us to effect at most two registration statements on Form S-3 in any 12-month period.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Piggyback Registration Rights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we register any of our common stock or our non-voting common stock for public sale under the Securities Act, holders of an aggregate of 62,031,939 shares of our common stock and 5,988,378 shares of our non-voting 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non-voting common stock, or a registration in which the only common stock or non-voting common stock being registered is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(i) unless all other securities (other than securities to be sold by our company) are first excluded from the offering or (ii) below 30% of the total shares covered by the registration statement, other than in the initial public offering.</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02" w:lineRule="exact"/>
        <w:rPr>
          <w:sz w:val="20"/>
          <w:szCs w:val="20"/>
          <w:color w:val="auto"/>
        </w:rPr>
      </w:pPr>
    </w:p>
    <w:p>
      <w:pPr>
        <w:ind w:left="880" w:right="500" w:hanging="224"/>
        <w:spacing w:after="0" w:line="24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96"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w:t>
      </w:r>
    </w:p>
    <w:p>
      <w:pPr>
        <w:spacing w:after="0" w:line="1" w:lineRule="exact"/>
        <w:rPr>
          <w:rFonts w:ascii="Arial" w:cs="Arial" w:eastAsia="Arial" w:hAnsi="Arial"/>
          <w:sz w:val="17"/>
          <w:szCs w:val="17"/>
          <w:color w:val="auto"/>
        </w:rPr>
      </w:pPr>
    </w:p>
    <w:p>
      <w:pPr>
        <w:ind w:left="880" w:right="200"/>
        <w:spacing w:after="0" w:line="246" w:lineRule="auto"/>
        <w:rPr>
          <w:rFonts w:ascii="Arial" w:cs="Arial" w:eastAsia="Arial" w:hAnsi="Arial"/>
          <w:sz w:val="17"/>
          <w:szCs w:val="17"/>
          <w:color w:val="auto"/>
        </w:rPr>
      </w:pPr>
      <w:r>
        <w:rPr>
          <w:rFonts w:ascii="Arial" w:cs="Arial" w:eastAsia="Arial" w:hAnsi="Arial"/>
          <w:sz w:val="18"/>
          <w:szCs w:val="18"/>
          <w:color w:val="auto"/>
        </w:rPr>
        <w:t>(ii) employee stock plans in which employee participants do not have the right to determine confidentially whether shares held subject to the plan will be tendered in a tender or exchange offer; or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7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 Provisions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85" w:lineRule="exact"/>
        <w:rPr>
          <w:sz w:val="20"/>
          <w:szCs w:val="20"/>
          <w:color w:val="auto"/>
        </w:rPr>
      </w:pPr>
    </w:p>
    <w:p>
      <w:pPr>
        <w:ind w:left="880" w:right="60" w:hanging="224"/>
        <w:spacing w:after="0" w:line="242"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84" w:lineRule="exact"/>
        <w:rPr>
          <w:rFonts w:ascii="Arial" w:cs="Arial" w:eastAsia="Arial" w:hAnsi="Arial"/>
          <w:sz w:val="18"/>
          <w:szCs w:val="18"/>
          <w:color w:val="auto"/>
        </w:rPr>
      </w:pPr>
    </w:p>
    <w:p>
      <w:pPr>
        <w:ind w:left="880" w:right="20" w:hanging="224"/>
        <w:spacing w:after="0" w:line="241"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84"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3" w:lineRule="exact"/>
        <w:rPr>
          <w:rFonts w:ascii="Arial" w:cs="Arial" w:eastAsia="Arial" w:hAnsi="Arial"/>
          <w:sz w:val="18"/>
          <w:szCs w:val="18"/>
          <w:color w:val="auto"/>
        </w:rPr>
      </w:pPr>
    </w:p>
    <w:p>
      <w:pPr>
        <w:ind w:left="880" w:right="180" w:hanging="224"/>
        <w:spacing w:after="0" w:line="267"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to issue up to 10,000,000 shares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right="240"/>
        <w:spacing w:after="0"/>
        <w:rPr>
          <w:sz w:val="20"/>
          <w:szCs w:val="20"/>
          <w:color w:val="auto"/>
        </w:rPr>
      </w:pPr>
      <w:r>
        <w:rPr>
          <w:rFonts w:ascii="Arial" w:cs="Arial" w:eastAsia="Arial" w:hAnsi="Arial"/>
          <w:sz w:val="18"/>
          <w:szCs w:val="18"/>
          <w:color w:val="auto"/>
        </w:rPr>
        <w:t>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0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transfer agent and registrar for our common stock is Computershare Inc. The transfer agent’s address is 150 Royall Street, Canton, Massachusetts 02021, and its telephone number is (800) 942-5909.</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“FLYW.”</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16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Upon the completion of this offering, based on the 85,112,181 shares of our common stock and 5,988,378 shares of our non-voting common stock outstanding as of March 31, 2021, we will have a total of 95,552,181 shares of our common stock and 5,988,378 shares of our non-voting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7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remaining outstanding shares of our common stock and our non-voting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and possible early lock-up releases, not to sell any of our common stock for at least 180 days following the date of this prospectus, as described below. Subject to the provisions of Rule 144 or Rule 701, shares will be available for sale in the public market as follows:</w:t>
      </w:r>
    </w:p>
    <w:p>
      <w:pPr>
        <w:spacing w:after="0" w:line="202" w:lineRule="exact"/>
        <w:rPr>
          <w:sz w:val="20"/>
          <w:szCs w:val="20"/>
          <w:color w:val="auto"/>
        </w:rPr>
      </w:pPr>
    </w:p>
    <w:p>
      <w:pPr>
        <w:ind w:left="880" w:right="320" w:hanging="224"/>
        <w:spacing w:after="0" w:line="24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common stock sold in this offering will be immediately available for sale in the public market.</w:t>
      </w:r>
    </w:p>
    <w:p>
      <w:pPr>
        <w:spacing w:after="0" w:line="196" w:lineRule="exact"/>
        <w:rPr>
          <w:rFonts w:ascii="Arial" w:cs="Arial" w:eastAsia="Arial" w:hAnsi="Arial"/>
          <w:sz w:val="18"/>
          <w:szCs w:val="18"/>
          <w:color w:val="auto"/>
        </w:rPr>
      </w:pPr>
    </w:p>
    <w:p>
      <w:pPr>
        <w:ind w:left="880" w:hanging="224"/>
        <w:spacing w:after="0" w:line="237"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first public release of quarterly results following the date of this prospectus, if the last reported closing price of our common stock on the Nasdaq Global Select Market is at least 33% greater than the initial public offering price as set forth on the cover page of this prospectus for at least 10 trading days in the 15 trading day period prior to the date of such earnings release, then each holder subject to these lock-up agreements may sell a number of shares equal to 25% of the shares of our common stock and non-voting common stock held by that holder, including shares of our common stock underlying options, warrants or other securities (the Holdings). As of March 31, 2021, 25% of the outstanding Holdings held by such holders was 27,172,191 shares.</w:t>
      </w:r>
    </w:p>
    <w:p>
      <w:pPr>
        <w:spacing w:after="0" w:line="202"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public release of quarterly results for the quarter in which the first public release of quarterly results following the date of this prospectus occurs, the lock-up agreements will terminate, and accordingly, the remaining shares of our common stock and non-voting common stock will be eligible for sale in the public market.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20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All of our directors and executive officers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(including our non-voting common stock), or establishing or increasing a put equivalent position, or liquidating or decreasing a call equivalent position with respect to such securities, or publicly disclosing the intention to effect any such transaction, for a period of 180 days following the date of this prospectus without the prior written consent of Goldman Sachs &amp; Co. LLC. In addition to certain customary exceptions:</w:t>
      </w:r>
    </w:p>
    <w:p>
      <w:pPr>
        <w:spacing w:after="0" w:line="208" w:lineRule="exact"/>
        <w:rPr>
          <w:sz w:val="20"/>
          <w:szCs w:val="20"/>
          <w:color w:val="auto"/>
        </w:rPr>
      </w:pPr>
    </w:p>
    <w:p>
      <w:pPr>
        <w:ind w:left="880" w:right="80" w:hanging="224"/>
        <w:spacing w:after="0" w:line="237"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first public release of quarterly results following the date of this prospectus, if the last reported closing price of our common stock on the Nasdaq Global Select Market is at least 33% greater than the initial public offering price as set forth on the cover page of this prospectus for at least 10 trading days in the 15 trading day period prior to the date of such earning release, then each holder subject to these lock-up agreements may sell a number of shares equal to 25% of the shares of our common stock and non-voting common stock held by that holder, including shares of our common stock underlying options, warrants or other securities.</w:t>
      </w:r>
    </w:p>
    <w:p>
      <w:pPr>
        <w:spacing w:after="0" w:line="204"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public release of quarterly results for the quarter in which our first public release of quarterly results following the date of this prospectus occurs, the lock-up agreements will terminate, and accordingly, the remaining shares of our common stock and non-voting common stock will be eligible for sale in the public market.</w:t>
      </w:r>
    </w:p>
    <w:p>
      <w:pPr>
        <w:spacing w:after="0" w:line="164"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Goldman Sachs &amp; Co. LLC may release any of the securities subject to these lock-up agreements at any time, subject to applicable notice requirements.</w:t>
      </w:r>
    </w:p>
    <w:p>
      <w:pPr>
        <w:spacing w:after="0" w:line="156"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In addition, we have agreed with the underwriters not to sell any shares of our common stock or securities convertible into or exchangeable for shares of our common stock for a period of 180 days after the date of this prospectus, subject to certain exceptions. Goldman Sachs &amp; Co. LLC may, at any time, waive these restrictions.</w:t>
      </w:r>
    </w:p>
    <w:p>
      <w:pPr>
        <w:spacing w:after="0" w:line="17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our securityholders that contain market stand-off provisions imposing restrictions on the ability of such securityholders to offer, sell or transfer our equity securities for a period of 180 days following the date of this prospectus, which restrictions we intend to waive in connection with the lock-up agreements described above.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203" w:lineRule="exact"/>
        <w:rPr>
          <w:sz w:val="20"/>
          <w:szCs w:val="20"/>
          <w:color w:val="auto"/>
        </w:rPr>
      </w:pPr>
    </w:p>
    <w:p>
      <w:pPr>
        <w:ind w:left="880" w:right="114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of the number of shares of our common stock and non-voting common stock then outstanding, which will equal approximately 1,015,405 shares immediately after this offering; or</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and non-voting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MATERIAL U.S. FEDERAL TAX CONSEQUENCES TO NON-U.S. HOLDERS OF OUR COMMON STOCK</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5" w:lineRule="exact"/>
        <w:rPr>
          <w:sz w:val="20"/>
          <w:szCs w:val="20"/>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1"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11" w:lineRule="exact"/>
        <w:rPr>
          <w:rFonts w:ascii="Arial" w:cs="Arial" w:eastAsia="Arial" w:hAnsi="Arial"/>
          <w:sz w:val="18"/>
          <w:szCs w:val="18"/>
          <w:color w:val="auto"/>
        </w:rPr>
      </w:pPr>
    </w:p>
    <w:p>
      <w:pPr>
        <w:ind w:left="880" w:right="2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6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5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9"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7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0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880" w:right="140" w:hanging="224"/>
        <w:spacing w:after="0" w:line="238"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4" w:lineRule="exact"/>
        <w:rPr>
          <w:rFonts w:ascii="Arial" w:cs="Arial" w:eastAsia="Arial" w:hAnsi="Arial"/>
          <w:sz w:val="18"/>
          <w:szCs w:val="18"/>
          <w:color w:val="auto"/>
        </w:rPr>
      </w:pPr>
    </w:p>
    <w:p>
      <w:pPr>
        <w:ind w:left="880" w:right="30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spacing w:after="0" w:line="246" w:lineRule="auto"/>
        <w:rPr>
          <w:sz w:val="20"/>
          <w:szCs w:val="20"/>
          <w:color w:val="auto"/>
        </w:rPr>
      </w:pPr>
      <w:r>
        <w:rPr>
          <w:rFonts w:ascii="Arial" w:cs="Arial" w:eastAsia="Arial" w:hAnsi="Arial"/>
          <w:sz w:val="18"/>
          <w:szCs w:val="18"/>
          <w:color w:val="auto"/>
        </w:rPr>
        <w:t>reduced rate as may be specified by an applicable income tax treaty, which may be offset by U.S. source capital losses, even though the individual is not considered a resident of the United States); or</w:t>
      </w:r>
    </w:p>
    <w:p>
      <w:pPr>
        <w:spacing w:after="0" w:line="197" w:lineRule="exact"/>
        <w:rPr>
          <w:sz w:val="20"/>
          <w:szCs w:val="20"/>
          <w:color w:val="auto"/>
        </w:rPr>
      </w:pPr>
    </w:p>
    <w:p>
      <w:pPr>
        <w:ind w:left="880" w:right="60" w:hanging="224"/>
        <w:spacing w:after="0" w:line="24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 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62"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5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J.P. Morgan Securities LLC and Citigroup Global Markets Inc. are the representatives of the underwriters.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Underwriters</w:t>
            </w:r>
          </w:p>
        </w:tc>
        <w:tc>
          <w:tcPr>
            <w:tcW w:w="8280" w:type="dxa"/>
            <w:vAlign w:val="bottom"/>
          </w:tcPr>
          <w:p>
            <w:pPr>
              <w:spacing w:after="0"/>
              <w:rPr>
                <w:sz w:val="21"/>
                <w:szCs w:val="21"/>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Number of Shares</w:t>
            </w:r>
          </w:p>
        </w:tc>
      </w:tr>
      <w:tr>
        <w:trPr>
          <w:trHeight w:val="189"/>
        </w:trPr>
        <w:tc>
          <w:tcPr>
            <w:tcW w:w="9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2,646,540</w:t>
            </w:r>
          </w:p>
        </w:tc>
        <w:tc>
          <w:tcPr>
            <w:tcW w:w="60" w:type="dxa"/>
            <w:vAlign w:val="bottom"/>
            <w:tcBorders>
              <w:top w:val="single" w:sz="8" w:color="CCEEFF"/>
            </w:tcBorders>
            <w:gridSpan w:val="2"/>
            <w:shd w:val="clear" w:color="auto" w:fill="CCEEFF"/>
          </w:tcPr>
          <w:p>
            <w:pPr>
              <w:spacing w:after="0"/>
              <w:rPr>
                <w:sz w:val="16"/>
                <w:szCs w:val="16"/>
                <w:color w:val="auto"/>
              </w:rPr>
            </w:pP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1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2,124,540</w:t>
            </w: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1,863,540</w:t>
            </w: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1,080,540</w:t>
            </w: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626,400</w:t>
            </w:r>
          </w:p>
        </w:tc>
        <w:tc>
          <w:tcPr>
            <w:tcW w:w="40" w:type="dxa"/>
            <w:vAlign w:val="bottom"/>
            <w:shd w:val="clear" w:color="auto" w:fill="CCEEFF"/>
          </w:tcPr>
          <w:p>
            <w:pPr>
              <w:spacing w:after="0"/>
              <w:rPr>
                <w:sz w:val="17"/>
                <w:szCs w:val="17"/>
                <w:color w:val="auto"/>
              </w:rPr>
            </w:pP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RBC Capital Markets, LLC</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626,400</w:t>
            </w:r>
          </w:p>
        </w:tc>
        <w:tc>
          <w:tcPr>
            <w:tcW w:w="40" w:type="dxa"/>
            <w:vAlign w:val="bottom"/>
          </w:tcPr>
          <w:p>
            <w:pPr>
              <w:spacing w:after="0"/>
              <w:rPr>
                <w:sz w:val="17"/>
                <w:szCs w:val="17"/>
                <w:color w:val="auto"/>
              </w:rPr>
            </w:pP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626,400</w:t>
            </w:r>
          </w:p>
        </w:tc>
        <w:tc>
          <w:tcPr>
            <w:tcW w:w="40" w:type="dxa"/>
            <w:vAlign w:val="bottom"/>
            <w:shd w:val="clear" w:color="auto" w:fill="CCEEFF"/>
          </w:tcPr>
          <w:p>
            <w:pPr>
              <w:spacing w:after="0"/>
              <w:rPr>
                <w:sz w:val="17"/>
                <w:szCs w:val="17"/>
                <w:color w:val="auto"/>
              </w:rPr>
            </w:pP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Guggenheim Securities, LLC</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339,300</w:t>
            </w:r>
          </w:p>
        </w:tc>
        <w:tc>
          <w:tcPr>
            <w:tcW w:w="40" w:type="dxa"/>
            <w:vAlign w:val="bottom"/>
          </w:tcPr>
          <w:p>
            <w:pPr>
              <w:spacing w:after="0"/>
              <w:rPr>
                <w:sz w:val="17"/>
                <w:szCs w:val="17"/>
                <w:color w:val="auto"/>
              </w:rPr>
            </w:pP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Nomura Securities International, Inc.</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339,300</w:t>
            </w:r>
          </w:p>
        </w:tc>
        <w:tc>
          <w:tcPr>
            <w:tcW w:w="40" w:type="dxa"/>
            <w:vAlign w:val="bottom"/>
            <w:shd w:val="clear" w:color="auto" w:fill="CCEEFF"/>
          </w:tcPr>
          <w:p>
            <w:pPr>
              <w:spacing w:after="0"/>
              <w:rPr>
                <w:sz w:val="17"/>
                <w:szCs w:val="17"/>
                <w:color w:val="auto"/>
              </w:rPr>
            </w:pP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AmeriVet Securities, Inc.</w:t>
            </w:r>
          </w:p>
        </w:tc>
        <w:tc>
          <w:tcPr>
            <w:tcW w:w="1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41,760</w:t>
            </w: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Samuel A. Ramirez &amp; Company, Inc.</w:t>
            </w:r>
          </w:p>
        </w:tc>
        <w:tc>
          <w:tcPr>
            <w:tcW w:w="1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41,760</w:t>
            </w: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Siebert Williams Shank &amp; Co., LLC</w:t>
            </w:r>
          </w:p>
        </w:tc>
        <w:tc>
          <w:tcPr>
            <w:tcW w:w="1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41,760</w:t>
            </w: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Telsey Advisory Group LLC</w:t>
            </w: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41,760</w:t>
            </w:r>
          </w:p>
        </w:tc>
        <w:tc>
          <w:tcPr>
            <w:tcW w:w="60" w:type="dxa"/>
            <w:vAlign w:val="bottom"/>
            <w:gridSpan w:val="2"/>
            <w:shd w:val="clear" w:color="auto" w:fill="CCEEFF"/>
          </w:tcPr>
          <w:p>
            <w:pPr>
              <w:spacing w:after="0"/>
              <w:rPr>
                <w:sz w:val="17"/>
                <w:szCs w:val="17"/>
                <w:color w:val="auto"/>
              </w:rPr>
            </w:pPr>
          </w:p>
        </w:tc>
      </w:tr>
      <w:tr>
        <w:trPr>
          <w:trHeight w:val="209"/>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10,440,000</w:t>
            </w:r>
          </w:p>
        </w:tc>
        <w:tc>
          <w:tcPr>
            <w:tcW w:w="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underwriters have an option to buy up to an additional 1,566,000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8"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 Such amounts are shown assuming both no exercise and full exercise of the underwriters’ option to purchase 1,566,000 additional shares.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5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No Exercise</w:t>
            </w:r>
          </w:p>
        </w:tc>
        <w:tc>
          <w:tcPr>
            <w:tcW w:w="18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7"/>
                <w:szCs w:val="17"/>
                <w:color w:val="auto"/>
              </w:rPr>
            </w:pPr>
          </w:p>
        </w:tc>
      </w:t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16,912,800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19,449,720</w:t>
            </w:r>
          </w:p>
        </w:tc>
      </w:tr>
    </w:tbl>
    <w:p>
      <w:pPr>
        <w:spacing w:after="0" w:line="16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$0.972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and non-voting common stock have agreed with the underwriters, subject to certain exceptions, not to dispose of or hedge any of their common stock or securities convertible into or exchangeable for shares of common stock (including our non-voting common stock) during the period from the date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this prospectus continuing through the date 180 days after the date of this prospectus, except with the prior written consent of Goldman Sachs &amp; Co. LLC, subject to certain exceptions and possible early lock up releases. See the section titled “Shares Available for Future Sale” for a discussion of certain transfer restrictions and possible early lock up releases.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the company and the representatives. Among the factors considered in determining the initial public offering price of the shares, in addition to prevailing market conditions, were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“FLYW.”</w:t>
      </w:r>
    </w:p>
    <w:p>
      <w:pPr>
        <w:spacing w:after="0" w:line="171" w:lineRule="exact"/>
        <w:rPr>
          <w:sz w:val="20"/>
          <w:szCs w:val="20"/>
          <w:color w:val="auto"/>
        </w:rPr>
      </w:pPr>
    </w:p>
    <w:p>
      <w:pPr>
        <w:ind w:left="120" w:right="80" w:firstLine="440"/>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64" w:lineRule="exact"/>
        <w:rPr>
          <w:sz w:val="20"/>
          <w:szCs w:val="20"/>
          <w:color w:val="auto"/>
        </w:rPr>
      </w:pPr>
    </w:p>
    <w:p>
      <w:pPr>
        <w:ind w:left="120" w:right="540" w:firstLine="440"/>
        <w:spacing w:after="0" w:line="274"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$5.0 million. We have agreed to reimburse the underwriters for certain of their expenses in an amount up to $30,000.</w:t>
      </w:r>
    </w:p>
    <w:p>
      <w:pPr>
        <w:spacing w:after="0" w:line="148"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Certain of the underwriters may offer and sell the shares through one or more of their respective affiliates or other registered broker-dealers or selling agents.</w:t>
      </w:r>
    </w:p>
    <w:p>
      <w:pPr>
        <w:spacing w:after="0" w:line="16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05" w:lineRule="exact"/>
        <w:rPr>
          <w:sz w:val="20"/>
          <w:szCs w:val="20"/>
          <w:color w:val="auto"/>
        </w:rPr>
      </w:pPr>
    </w:p>
    <w:p>
      <w:pPr>
        <w:ind w:left="5480" w:right="2560" w:hanging="4824"/>
        <w:spacing w:after="0" w:line="418" w:lineRule="auto"/>
        <w:tabs>
          <w:tab w:leader="none" w:pos="13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 183</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w:t>
      </w:r>
    </w:p>
    <w:p>
      <w:pPr>
        <w:ind w:left="1300"/>
        <w:spacing w:after="0"/>
        <w:tabs>
          <w:tab w:leader="none" w:pos="6020" w:val="left"/>
        </w:tabs>
        <w:rPr>
          <w:sz w:val="20"/>
          <w:szCs w:val="20"/>
          <w:color w:val="auto"/>
        </w:rPr>
      </w:pPr>
      <w:r>
        <w:rPr>
          <w:rFonts w:ascii="Arial" w:cs="Arial" w:eastAsia="Arial" w:hAnsi="Arial"/>
          <w:sz w:val="18"/>
          <w:szCs w:val="18"/>
          <w:color w:val="auto"/>
        </w:rPr>
        <w:t>subject to obtaining the prior consent of the</w:t>
      </w:r>
      <w:r>
        <w:rPr>
          <w:sz w:val="20"/>
          <w:szCs w:val="20"/>
          <w:color w:val="auto"/>
        </w:rPr>
        <w:tab/>
      </w:r>
      <w:r>
        <w:rPr>
          <w:rFonts w:ascii="Arial" w:cs="Arial" w:eastAsia="Arial" w:hAnsi="Arial"/>
          <w:sz w:val="18"/>
          <w:szCs w:val="18"/>
          <w:color w:val="auto"/>
        </w:rPr>
        <w:t>for any such offer; or</w:t>
      </w:r>
    </w:p>
    <w:p>
      <w:pPr>
        <w:spacing w:after="0" w:line="21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provided that no such offer of Shares shall require the company or any representatives to publish a prospectus pursuant to Article 3 of the Prospectus Regulation or supplement a prospectus pursuant to Article 23 of the Prospectus Regulation.</w:t>
      </w:r>
    </w:p>
    <w:p>
      <w:pPr>
        <w:spacing w:after="0" w:line="15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300" w:right="280" w:hanging="644"/>
        <w:spacing w:after="0" w:line="238"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204" w:lineRule="exact"/>
        <w:rPr>
          <w:rFonts w:ascii="Arial" w:cs="Arial" w:eastAsia="Arial" w:hAnsi="Arial"/>
          <w:sz w:val="18"/>
          <w:szCs w:val="18"/>
          <w:color w:val="auto"/>
        </w:rPr>
      </w:pPr>
    </w:p>
    <w:p>
      <w:pPr>
        <w:ind w:left="1300" w:right="180" w:hanging="644"/>
        <w:spacing w:after="0" w:line="246"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07"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880"/>
          </w:cols>
          <w:pgMar w:left="320" w:top="459" w:right="6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validity of the shares of our common stock offered in this prospectus will be passed upon for us by Gunderson Dettmer Stough Villeneuve Franklin &amp; Hachigian, LLP, Boston, Massachusetts. Goodwin Procter LLP, Boston, Massachusetts, has acted as counsel for the underwriters in connection with this offering.</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 financial statements of Flywire Corporation as of December 31, 2019 and 2020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consolidated financial statements of Simplificare, Inc. at December 31, 2019 and 2018 and for each of the two years included in this prospectus and registration statement have been audited by Kost Forer Gabbay &amp; Kasierer A Member of Ernst &amp; Young Global, independent registered public accounting firm, as set forth in their report thereon (which contains an explanatory paragraph describing conditions that raise substantial doubt about Simplificare, Inc.’s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A copy of the registration statement and the exhibits filed therewith may be accessed at the SEC website.</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also maintain a website at </w:t>
      </w:r>
      <w:r>
        <w:rPr>
          <w:rFonts w:ascii="Arial" w:cs="Arial" w:eastAsia="Arial" w:hAnsi="Arial"/>
          <w:sz w:val="17"/>
          <w:szCs w:val="17"/>
          <w:i w:val="1"/>
          <w:iCs w:val="1"/>
          <w:color w:val="auto"/>
        </w:rPr>
        <w:t>www.flywire.com</w:t>
      </w:r>
      <w:r>
        <w:rPr>
          <w:rFonts w:ascii="Arial" w:cs="Arial" w:eastAsia="Arial" w:hAnsi="Arial"/>
          <w:sz w:val="17"/>
          <w:szCs w:val="17"/>
          <w:color w:val="auto"/>
        </w:rPr>
        <w:t>. Upon completion of this offering, you may access these materials at our website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40" w:type="dxa"/>
            <w:vAlign w:val="bottom"/>
            <w:gridSpan w:val="14"/>
          </w:tcPr>
          <w:p>
            <w:pPr>
              <w:jc w:val="center"/>
              <w:ind w:right="2840"/>
              <w:spacing w:after="0"/>
              <w:rPr>
                <w:sz w:val="20"/>
                <w:szCs w:val="20"/>
                <w:color w:val="auto"/>
              </w:rPr>
            </w:pPr>
            <w:r>
              <w:rPr>
                <w:rFonts w:ascii="Arial" w:cs="Arial" w:eastAsia="Arial" w:hAnsi="Arial"/>
                <w:sz w:val="18"/>
                <w:szCs w:val="18"/>
                <w:b w:val="1"/>
                <w:bCs w:val="1"/>
                <w:color w:val="auto"/>
                <w:w w:val="99"/>
              </w:rPr>
              <w:t>INDEX TO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03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FLYWIRE AUDITED CONSOLIDATED FINANCIAL STATEMENTS AS OF AND FOR THE YEARS ENDED DECEMBER 31,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340" w:type="dxa"/>
            <w:vAlign w:val="bottom"/>
            <w:gridSpan w:val="24"/>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bottom w:val="single" w:sz="8" w:color="auto"/>
            </w:tcBorders>
            <w:gridSpan w:val="4"/>
          </w:tcPr>
          <w:p>
            <w:pPr>
              <w:spacing w:after="0" w:line="182" w:lineRule="exact"/>
              <w:rPr>
                <w:sz w:val="20"/>
                <w:szCs w:val="20"/>
                <w:color w:val="auto"/>
              </w:rPr>
            </w:pPr>
            <w:r>
              <w:rPr>
                <w:rFonts w:ascii="Arial" w:cs="Arial" w:eastAsia="Arial" w:hAnsi="Arial"/>
                <w:sz w:val="18"/>
                <w:szCs w:val="18"/>
                <w:b w:val="1"/>
                <w:bCs w:val="1"/>
                <w:color w:val="auto"/>
                <w:w w:val="99"/>
              </w:rPr>
              <w:t>2019 AND 2020</w:t>
            </w:r>
          </w:p>
        </w:tc>
        <w:tc>
          <w:tcPr>
            <w:tcW w:w="8500" w:type="dxa"/>
            <w:vAlign w:val="bottom"/>
            <w:tcBorders>
              <w:top w:val="single" w:sz="8" w:color="auto"/>
            </w:tcBorders>
            <w:gridSpan w:val="1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6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96">
              <w:r>
                <w:rPr>
                  <w:rFonts w:ascii="Arial" w:cs="Arial" w:eastAsia="Arial" w:hAnsi="Arial"/>
                  <w:sz w:val="18"/>
                  <w:szCs w:val="18"/>
                  <w:color w:val="0000EE"/>
                  <w:w w:val="99"/>
                </w:rPr>
                <w:t>Report of Independent Registered Public Accounting Firm</w:t>
              </w:r>
            </w:hyperlink>
          </w:p>
        </w:tc>
        <w:tc>
          <w:tcPr>
            <w:tcW w:w="574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Consolidated Balance Sheets</w:t>
              </w:r>
            </w:hyperlink>
          </w:p>
        </w:tc>
        <w:tc>
          <w:tcPr>
            <w:tcW w:w="7980" w:type="dxa"/>
            <w:vAlign w:val="bottom"/>
            <w:gridSpan w:val="1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4"/>
          </w:tcPr>
          <w:p>
            <w:pPr>
              <w:spacing w:after="0" w:line="182"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Consolidated Statements of Convertible Preferred Stock, Redeemable Convertible Preferred Stock and Stockholders’ Deficit</w:t>
              </w:r>
            </w:hyperlink>
          </w:p>
        </w:tc>
        <w:tc>
          <w:tcPr>
            <w:tcW w:w="46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01">
              <w:r>
                <w:rPr>
                  <w:rFonts w:ascii="Arial" w:cs="Arial" w:eastAsia="Arial" w:hAnsi="Arial"/>
                  <w:sz w:val="18"/>
                  <w:szCs w:val="18"/>
                  <w:color w:val="0000EE"/>
                  <w:w w:val="99"/>
                </w:rPr>
                <w:t>Consolidated Statements of Cash Flows</w:t>
              </w:r>
            </w:hyperlink>
          </w:p>
        </w:tc>
        <w:tc>
          <w:tcPr>
            <w:tcW w:w="7140" w:type="dxa"/>
            <w:vAlign w:val="bottom"/>
            <w:gridSpan w:val="1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03">
              <w:r>
                <w:rPr>
                  <w:rFonts w:ascii="Arial" w:cs="Arial" w:eastAsia="Arial" w:hAnsi="Arial"/>
                  <w:sz w:val="18"/>
                  <w:szCs w:val="18"/>
                  <w:color w:val="0000EE"/>
                  <w:w w:val="99"/>
                </w:rPr>
                <w:t>Notes to Consolidated Financial Statements</w:t>
              </w:r>
            </w:hyperlink>
          </w:p>
        </w:tc>
        <w:tc>
          <w:tcPr>
            <w:tcW w:w="684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95"/>
        </w:trPr>
        <w:tc>
          <w:tcPr>
            <w:tcW w:w="1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FLYWIRE UNAUDITED CONDENSED CONSOLIDATED FINANCIAL STATEMENTS AS OF AND FOR THE THREE MONTHS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60" w:type="dxa"/>
            <w:vAlign w:val="bottom"/>
            <w:gridSpan w:val="23"/>
          </w:tcPr>
          <w:p>
            <w:pPr>
              <w:spacing w:after="0"/>
              <w:rPr>
                <w:sz w:val="20"/>
                <w:szCs w:val="20"/>
                <w:color w:val="auto"/>
              </w:rPr>
            </w:pPr>
            <w:r>
              <w:rPr>
                <w:rFonts w:ascii="Arial" w:cs="Arial" w:eastAsia="Arial" w:hAnsi="Arial"/>
                <w:sz w:val="18"/>
                <w:szCs w:val="18"/>
                <w:b w:val="1"/>
                <w:bCs w:val="1"/>
                <w:color w:val="auto"/>
              </w:rPr>
              <w:t>ENDED MARCH 31, 2020 AND 2021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00" w:type="dxa"/>
            <w:vAlign w:val="bottom"/>
            <w:tcBorders>
              <w:bottom w:val="single" w:sz="8" w:color="0000EE"/>
            </w:tcBorders>
            <w:gridSpan w:val="11"/>
          </w:tcPr>
          <w:p>
            <w:pPr>
              <w:spacing w:after="0" w:line="176" w:lineRule="exact"/>
              <w:rPr>
                <w:rFonts w:ascii="Arial" w:cs="Arial" w:eastAsia="Arial" w:hAnsi="Arial"/>
                <w:sz w:val="18"/>
                <w:szCs w:val="18"/>
                <w:color w:val="0000EE"/>
                <w:w w:val="99"/>
              </w:rPr>
            </w:pPr>
            <w:hyperlink w:anchor="page245">
              <w:r>
                <w:rPr>
                  <w:rFonts w:ascii="Arial" w:cs="Arial" w:eastAsia="Arial" w:hAnsi="Arial"/>
                  <w:sz w:val="18"/>
                  <w:szCs w:val="18"/>
                  <w:color w:val="0000EE"/>
                  <w:w w:val="99"/>
                </w:rPr>
                <w:t>Unaudited Condensed Consolidated Balance Sheets</w:t>
              </w:r>
            </w:hyperlink>
          </w:p>
        </w:tc>
        <w:tc>
          <w:tcPr>
            <w:tcW w:w="6140" w:type="dxa"/>
            <w:vAlign w:val="bottom"/>
            <w:gridSpan w:val="13"/>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4"/>
          </w:tcPr>
          <w:p>
            <w:pPr>
              <w:spacing w:after="0" w:line="182" w:lineRule="exact"/>
              <w:rPr>
                <w:rFonts w:ascii="Arial" w:cs="Arial" w:eastAsia="Arial" w:hAnsi="Arial"/>
                <w:sz w:val="18"/>
                <w:szCs w:val="18"/>
                <w:color w:val="0000EE"/>
              </w:rPr>
            </w:pPr>
            <w:hyperlink w:anchor="page247">
              <w:r>
                <w:rPr>
                  <w:rFonts w:ascii="Arial" w:cs="Arial" w:eastAsia="Arial" w:hAnsi="Arial"/>
                  <w:sz w:val="18"/>
                  <w:szCs w:val="18"/>
                  <w:color w:val="0000EE"/>
                </w:rPr>
                <w:t>Unaudited Condensed 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48">
              <w:r>
                <w:rPr>
                  <w:rFonts w:ascii="Arial" w:cs="Arial" w:eastAsia="Arial" w:hAnsi="Arial"/>
                  <w:sz w:val="18"/>
                  <w:szCs w:val="18"/>
                  <w:color w:val="0000EE"/>
                  <w:w w:val="99"/>
                </w:rPr>
                <w:t>Unaudited Condensed Consolidated Statements of Convertible Preferred Stock, Redeemable Convertible Preferred Stock and</w:t>
              </w:r>
            </w:hyperlink>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60" w:type="dxa"/>
            <w:vAlign w:val="bottom"/>
            <w:gridSpan w:val="23"/>
          </w:tcPr>
          <w:p>
            <w:pPr>
              <w:spacing w:after="0" w:line="182" w:lineRule="exact"/>
              <w:rPr>
                <w:rFonts w:ascii="Arial" w:cs="Arial" w:eastAsia="Arial" w:hAnsi="Arial"/>
                <w:sz w:val="18"/>
                <w:szCs w:val="18"/>
                <w:color w:val="0000EE"/>
              </w:rPr>
            </w:pPr>
            <w:hyperlink w:anchor="page248">
              <w:r>
                <w:rPr>
                  <w:rFonts w:ascii="Arial" w:cs="Arial" w:eastAsia="Arial" w:hAnsi="Arial"/>
                  <w:sz w:val="18"/>
                  <w:szCs w:val="18"/>
                  <w:color w:val="0000EE"/>
                </w:rPr>
                <w:t>Stockholders’ Deficit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4"/>
          </w:tcPr>
          <w:p>
            <w:pPr>
              <w:spacing w:after="0" w:line="182" w:lineRule="exact"/>
              <w:rPr>
                <w:rFonts w:ascii="Arial" w:cs="Arial" w:eastAsia="Arial" w:hAnsi="Arial"/>
                <w:sz w:val="18"/>
                <w:szCs w:val="18"/>
                <w:color w:val="0000EE"/>
              </w:rPr>
            </w:pPr>
            <w:hyperlink w:anchor="page249">
              <w:r>
                <w:rPr>
                  <w:rFonts w:ascii="Arial" w:cs="Arial" w:eastAsia="Arial" w:hAnsi="Arial"/>
                  <w:sz w:val="18"/>
                  <w:szCs w:val="18"/>
                  <w:color w:val="0000EE"/>
                </w:rPr>
                <w:t>Unaudited Condensed Consolidated Statement of Cash Flows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3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251">
              <w:r>
                <w:rPr>
                  <w:rFonts w:ascii="Arial" w:cs="Arial" w:eastAsia="Arial" w:hAnsi="Arial"/>
                  <w:sz w:val="18"/>
                  <w:szCs w:val="18"/>
                  <w:color w:val="0000EE"/>
                  <w:w w:val="99"/>
                </w:rPr>
                <w:t>Notes to Unaudited Condensed Consolidated Financial Statements</w:t>
              </w:r>
            </w:hyperlink>
          </w:p>
        </w:tc>
        <w:tc>
          <w:tcPr>
            <w:tcW w:w="50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SIMPLIFICARE INC. CONSOLIDATED FINANCIAL STATEMENTS AS OF AND FOR THE YEARS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3"/>
          </w:tcPr>
          <w:p>
            <w:pPr>
              <w:spacing w:after="0" w:line="182" w:lineRule="exact"/>
              <w:rPr>
                <w:sz w:val="20"/>
                <w:szCs w:val="20"/>
                <w:color w:val="auto"/>
              </w:rPr>
            </w:pPr>
            <w:r>
              <w:rPr>
                <w:rFonts w:ascii="Arial" w:cs="Arial" w:eastAsia="Arial" w:hAnsi="Arial"/>
                <w:sz w:val="18"/>
                <w:szCs w:val="18"/>
                <w:b w:val="1"/>
                <w:bCs w:val="1"/>
                <w:color w:val="auto"/>
                <w:w w:val="97"/>
              </w:rPr>
              <w:t>2018 AND 2019</w:t>
            </w:r>
          </w:p>
        </w:tc>
        <w:tc>
          <w:tcPr>
            <w:tcW w:w="8560" w:type="dxa"/>
            <w:vAlign w:val="bottom"/>
            <w:tcBorders>
              <w:top w:val="single" w:sz="8" w:color="auto"/>
            </w:tcBorders>
            <w:gridSpan w:val="18"/>
          </w:tcPr>
          <w:p>
            <w:pPr>
              <w:spacing w:after="0"/>
              <w:rPr>
                <w:sz w:val="15"/>
                <w:szCs w:val="15"/>
                <w:color w:val="auto"/>
              </w:rPr>
            </w:pPr>
          </w:p>
        </w:tc>
        <w:tc>
          <w:tcPr>
            <w:tcW w:w="32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80">
              <w:r>
                <w:rPr>
                  <w:rFonts w:ascii="Arial" w:cs="Arial" w:eastAsia="Arial" w:hAnsi="Arial"/>
                  <w:sz w:val="18"/>
                  <w:szCs w:val="18"/>
                  <w:color w:val="0000EE"/>
                  <w:w w:val="99"/>
                </w:rPr>
                <w:t>Report of Independent Auditors</w:t>
              </w:r>
            </w:hyperlink>
          </w:p>
        </w:tc>
        <w:tc>
          <w:tcPr>
            <w:tcW w:w="7840" w:type="dxa"/>
            <w:vAlign w:val="bottom"/>
            <w:gridSpan w:val="1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F-86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82">
              <w:r>
                <w:rPr>
                  <w:rFonts w:ascii="Arial" w:cs="Arial" w:eastAsia="Arial" w:hAnsi="Arial"/>
                  <w:sz w:val="18"/>
                  <w:szCs w:val="18"/>
                  <w:color w:val="0000EE"/>
                  <w:w w:val="99"/>
                </w:rPr>
                <w:t>Consolidated Balance Sheets</w:t>
              </w:r>
            </w:hyperlink>
          </w:p>
        </w:tc>
        <w:tc>
          <w:tcPr>
            <w:tcW w:w="7980" w:type="dxa"/>
            <w:vAlign w:val="bottom"/>
            <w:gridSpan w:val="1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F-88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4"/>
          </w:tcPr>
          <w:p>
            <w:pPr>
              <w:spacing w:after="0" w:line="182" w:lineRule="exact"/>
              <w:rPr>
                <w:rFonts w:ascii="Arial" w:cs="Arial" w:eastAsia="Arial" w:hAnsi="Arial"/>
                <w:sz w:val="18"/>
                <w:szCs w:val="18"/>
                <w:color w:val="0000EE"/>
              </w:rPr>
            </w:pPr>
            <w:hyperlink w:anchor="page284">
              <w:r>
                <w:rPr>
                  <w:rFonts w:ascii="Arial" w:cs="Arial" w:eastAsia="Arial" w:hAnsi="Arial"/>
                  <w:sz w:val="18"/>
                  <w:szCs w:val="18"/>
                  <w:color w:val="0000EE"/>
                </w:rPr>
                <w:t>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40" w:type="dxa"/>
            <w:vAlign w:val="bottom"/>
            <w:gridSpan w:val="1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4"/>
          </w:tcPr>
          <w:p>
            <w:pPr>
              <w:spacing w:after="0" w:line="182" w:lineRule="exact"/>
              <w:rPr>
                <w:rFonts w:ascii="Arial" w:cs="Arial" w:eastAsia="Arial" w:hAnsi="Arial"/>
                <w:sz w:val="18"/>
                <w:szCs w:val="18"/>
                <w:color w:val="0000EE"/>
              </w:rPr>
            </w:pPr>
            <w:hyperlink w:anchor="page285">
              <w:r>
                <w:rPr>
                  <w:rFonts w:ascii="Arial" w:cs="Arial" w:eastAsia="Arial" w:hAnsi="Arial"/>
                  <w:sz w:val="18"/>
                  <w:szCs w:val="18"/>
                  <w:color w:val="0000EE"/>
                </w:rPr>
                <w:t>Consolidated Statements of Convertible Preferred Stocks and Stockholders’ Deficit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286">
              <w:r>
                <w:rPr>
                  <w:rFonts w:ascii="Arial" w:cs="Arial" w:eastAsia="Arial" w:hAnsi="Arial"/>
                  <w:sz w:val="18"/>
                  <w:szCs w:val="18"/>
                  <w:color w:val="0000EE"/>
                  <w:w w:val="99"/>
                </w:rPr>
                <w:t>Consolidated Statements of Cash Flows</w:t>
              </w:r>
            </w:hyperlink>
          </w:p>
        </w:tc>
        <w:tc>
          <w:tcPr>
            <w:tcW w:w="3380" w:type="dxa"/>
            <w:vAlign w:val="bottom"/>
            <w:tcBorders>
              <w:top w:val="single" w:sz="8" w:color="0000EE"/>
            </w:tcBorders>
            <w:gridSpan w:val="9"/>
          </w:tcPr>
          <w:p>
            <w:pPr>
              <w:spacing w:after="0"/>
              <w:rPr>
                <w:sz w:val="15"/>
                <w:szCs w:val="15"/>
                <w:color w:val="auto"/>
              </w:rPr>
            </w:pPr>
          </w:p>
        </w:tc>
        <w:tc>
          <w:tcPr>
            <w:tcW w:w="376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87">
              <w:r>
                <w:rPr>
                  <w:rFonts w:ascii="Arial" w:cs="Arial" w:eastAsia="Arial" w:hAnsi="Arial"/>
                  <w:sz w:val="18"/>
                  <w:szCs w:val="18"/>
                  <w:color w:val="0000EE"/>
                  <w:w w:val="99"/>
                </w:rPr>
                <w:t>Notes to Consolidated Financial Statements</w:t>
              </w:r>
            </w:hyperlink>
          </w:p>
        </w:tc>
        <w:tc>
          <w:tcPr>
            <w:tcW w:w="684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F-93</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UNAUDITED PRO FORMA CONDENSED COMBINED FINANCIAL STATEMENT FOR THE YEAR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8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b w:val="1"/>
                <w:bCs w:val="1"/>
                <w:color w:val="auto"/>
                <w:w w:val="94"/>
              </w:rPr>
              <w:t>2020</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5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313">
              <w:r>
                <w:rPr>
                  <w:rFonts w:ascii="Arial" w:cs="Arial" w:eastAsia="Arial" w:hAnsi="Arial"/>
                  <w:sz w:val="18"/>
                  <w:szCs w:val="18"/>
                  <w:color w:val="0000EE"/>
                  <w:w w:val="99"/>
                </w:rPr>
                <w:t>Unaudited Pro Forma Condensed Combined Statement of Operations</w:t>
              </w:r>
            </w:hyperlink>
          </w:p>
        </w:tc>
        <w:tc>
          <w:tcPr>
            <w:tcW w:w="4780" w:type="dxa"/>
            <w:vAlign w:val="bottom"/>
            <w:gridSpan w:val="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F-119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2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14">
              <w:r>
                <w:rPr>
                  <w:rFonts w:ascii="Arial" w:cs="Arial" w:eastAsia="Arial" w:hAnsi="Arial"/>
                  <w:sz w:val="18"/>
                  <w:szCs w:val="18"/>
                  <w:color w:val="0000EE"/>
                  <w:w w:val="99"/>
                </w:rPr>
                <w:t>Notes to Unaudited Pro Forma Condensed Combined Statement of Operations</w:t>
              </w:r>
            </w:hyperlink>
          </w:p>
        </w:tc>
        <w:tc>
          <w:tcPr>
            <w:tcW w:w="4060" w:type="dxa"/>
            <w:vAlign w:val="bottom"/>
            <w:gridSpan w:val="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9"/>
          </w:tcPr>
          <w:p>
            <w:pPr>
              <w:jc w:val="center"/>
              <w:ind w:right="468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We have audited the accompanying consolidated balance sheets of Flywire Corporation and its subsidiaries (the “Company”) as of December 31, 2020 and 2019, and the related consolidated statements of operations and comprehensive loss, of convertible preferred stock,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ind w:left="120"/>
        <w:spacing w:after="0" w:line="246" w:lineRule="auto"/>
        <w:rPr>
          <w:sz w:val="20"/>
          <w:szCs w:val="20"/>
          <w:color w:val="auto"/>
        </w:rPr>
      </w:pPr>
      <w:r>
        <w:rPr>
          <w:rFonts w:ascii="Arial" w:cs="Arial" w:eastAsia="Arial" w:hAnsi="Arial"/>
          <w:sz w:val="18"/>
          <w:szCs w:val="18"/>
          <w:color w:val="auto"/>
        </w:rPr>
        <w:t>March 11</w:t>
      </w:r>
      <w:r>
        <w:rPr>
          <w:rFonts w:ascii="Arial" w:cs="Arial" w:eastAsia="Arial" w:hAnsi="Arial"/>
          <w:sz w:val="18"/>
          <w:szCs w:val="18"/>
          <w:b w:val="1"/>
          <w:bCs w:val="1"/>
          <w:color w:val="auto"/>
        </w:rPr>
        <w:t>,</w:t>
      </w:r>
      <w:r>
        <w:rPr>
          <w:rFonts w:ascii="Arial" w:cs="Arial" w:eastAsia="Arial" w:hAnsi="Arial"/>
          <w:sz w:val="18"/>
          <w:szCs w:val="18"/>
          <w:color w:val="auto"/>
        </w:rPr>
        <w:t xml:space="preserve"> 2021, except for the effects of the stock split discussed in Note 20 to the consolidated financial statements, as to which the date is May 14, 2021</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86,027</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$298 and $481, respectively</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11,573</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22,481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3,754</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108,178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148,558</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68,211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44,650</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4,922</w:t>
            </w:r>
          </w:p>
        </w:tc>
      </w:tr>
      <w:tr>
        <w:trPr>
          <w:trHeight w:val="20"/>
        </w:trPr>
        <w:tc>
          <w:tcPr>
            <w:tcW w:w="8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140,998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88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5,436</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59,986</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14,991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1,227</w:t>
            </w:r>
          </w:p>
        </w:tc>
      </w:tr>
      <w:tr>
        <w:trPr>
          <w:trHeight w:val="202"/>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6,740</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82,776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88,380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20,738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2,129</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105,875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123,034</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62,915,394 shares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at December 31, 2019 and 2020; 54,208,461 shares issued and outstanding at December 31,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liquidation preference of $110,716 at December 31, 2020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110,401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110,401</w:t>
            </w:r>
          </w:p>
        </w:tc>
      </w:tr>
      <w:tr>
        <w:trPr>
          <w:trHeight w:val="202"/>
        </w:trPr>
        <w:tc>
          <w:tcPr>
            <w:tcW w:w="880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(Series E-1 and E-2), $0.0001 par value; 0 shares authorized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16,023,132 shares authorized at December 31, 2020; 0 shares issued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outstanding at December 31, 2019 and 11,239,920 shares issued and outstanding at December 31,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3" w:lineRule="exact"/>
              <w:rPr>
                <w:sz w:val="20"/>
                <w:szCs w:val="20"/>
                <w:color w:val="auto"/>
              </w:rPr>
            </w:pPr>
            <w:r>
              <w:rPr>
                <w:rFonts w:ascii="Arial" w:cs="Arial" w:eastAsia="Arial" w:hAnsi="Arial"/>
                <w:sz w:val="18"/>
                <w:szCs w:val="18"/>
                <w:color w:val="auto"/>
              </w:rPr>
              <w:t>2020; liquidation preference of $150,000 at December 31, 2020</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119,769</w:t>
            </w:r>
          </w:p>
        </w:tc>
      </w:tr>
      <w:tr>
        <w:trPr>
          <w:trHeight w:val="372"/>
        </w:trPr>
        <w:tc>
          <w:tcPr>
            <w:tcW w:w="8800" w:type="dxa"/>
            <w:vAlign w:val="bottom"/>
          </w:tcPr>
          <w:p>
            <w:pPr>
              <w:ind w:left="5360"/>
              <w:spacing w:after="0"/>
              <w:rPr>
                <w:sz w:val="20"/>
                <w:szCs w:val="20"/>
                <w:color w:val="auto"/>
              </w:rPr>
            </w:pPr>
            <w:r>
              <w:rPr>
                <w:rFonts w:ascii="Arial" w:cs="Arial" w:eastAsia="Arial" w:hAnsi="Arial"/>
                <w:sz w:val="18"/>
                <w:szCs w:val="18"/>
                <w:color w:val="auto"/>
              </w:rPr>
              <w:t>F-3</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102,000,000 shares authorized, 20,494,146 shares issued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18,176,424 shares outstanding as of December 31, 2019; 146,898,270 shares authorized,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22,240,872 shares issued and 19,923,150 shares outstanding as of December 31, 2020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2,317,722 shares as of December 31, 2019 and 2020, held at cost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16,970</w:t>
            </w: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(86,665)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(97,772)</w:t>
            </w:r>
          </w:p>
        </w:tc>
      </w:tr>
      <w:tr>
        <w:trPr>
          <w:trHeight w:val="27"/>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(75,278)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(81,762)</w:t>
            </w: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880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140,998</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0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94,918</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131,783</w:t>
            </w:r>
          </w:p>
        </w:tc>
        <w:tc>
          <w:tcPr>
            <w:tcW w:w="120" w:type="dxa"/>
            <w:vAlign w:val="bottom"/>
            <w:shd w:val="clear" w:color="auto" w:fill="CCEEFF"/>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47,805</w:t>
            </w: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15,008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24,501</w:t>
            </w: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26,606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32,612</w:t>
            </w: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34,035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42,680</w:t>
            </w:r>
          </w:p>
        </w:tc>
      </w:tr>
      <w:tr>
        <w:trPr>
          <w:trHeight w:val="27"/>
        </w:trPr>
        <w:tc>
          <w:tcPr>
            <w:tcW w:w="7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0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112,375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147,598</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0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(17,457)</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(15,815)</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(2,459)</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(2,533)</w:t>
            </w: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477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697</w:t>
            </w:r>
          </w:p>
        </w:tc>
      </w:tr>
      <w:tr>
        <w:trPr>
          <w:trHeight w:val="27"/>
        </w:trPr>
        <w:tc>
          <w:tcPr>
            <w:tcW w:w="7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0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(2,461)</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(18,276)</w:t>
            </w: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(20,116)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(11,107)</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8"/>
                <w:szCs w:val="18"/>
                <w:color w:val="auto"/>
              </w:rPr>
              <w:t>Comprehensive loss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(20,050)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(11,423)</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stockholders—basic and diluted</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(20,116)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(11,121)</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4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(1.25)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(0.60)</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 and diluted</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w w:val="97"/>
              </w:rPr>
              <w:t>16,067,088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18,389,898</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lated Other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580" w:type="dxa"/>
            <w:vAlign w:val="bottom"/>
            <w:gridSpan w:val="6"/>
          </w:tcPr>
          <w:p>
            <w:pPr>
              <w:ind w:left="420"/>
              <w:spacing w:after="0" w:line="122" w:lineRule="exact"/>
              <w:rPr>
                <w:sz w:val="20"/>
                <w:szCs w:val="20"/>
                <w:color w:val="auto"/>
              </w:rPr>
            </w:pPr>
            <w:r>
              <w:rPr>
                <w:rFonts w:ascii="Arial" w:cs="Arial" w:eastAsia="Arial" w:hAnsi="Arial"/>
                <w:sz w:val="11"/>
                <w:szCs w:val="11"/>
                <w:b w:val="1"/>
                <w:bCs w:val="1"/>
                <w:color w:val="auto"/>
              </w:rPr>
              <w:t>Convertible</w:t>
            </w:r>
          </w:p>
        </w:tc>
        <w:tc>
          <w:tcPr>
            <w:tcW w:w="156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580" w:type="dxa"/>
            <w:vAlign w:val="bottom"/>
            <w:gridSpan w:val="6"/>
          </w:tcPr>
          <w:p>
            <w:pPr>
              <w:ind w:left="320"/>
              <w:spacing w:after="0" w:line="122" w:lineRule="exact"/>
              <w:rPr>
                <w:sz w:val="20"/>
                <w:szCs w:val="20"/>
                <w:color w:val="auto"/>
              </w:rPr>
            </w:pPr>
            <w:r>
              <w:rPr>
                <w:rFonts w:ascii="Arial" w:cs="Arial" w:eastAsia="Arial" w:hAnsi="Arial"/>
                <w:sz w:val="11"/>
                <w:szCs w:val="11"/>
                <w:b w:val="1"/>
                <w:bCs w:val="1"/>
                <w:color w:val="auto"/>
              </w:rPr>
              <w:t>Preferred Stock</w:t>
            </w:r>
          </w:p>
        </w:tc>
        <w:tc>
          <w:tcPr>
            <w:tcW w:w="156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7"/>
              </w:rPr>
              <w:t>Preferred Stock</w:t>
            </w:r>
          </w:p>
        </w:tc>
        <w:tc>
          <w:tcPr>
            <w:tcW w:w="40" w:type="dxa"/>
            <w:vAlign w:val="bottom"/>
          </w:tcPr>
          <w:p>
            <w:pPr>
              <w:spacing w:after="0"/>
              <w:rPr>
                <w:sz w:val="11"/>
                <w:szCs w:val="11"/>
                <w:color w:val="auto"/>
              </w:rPr>
            </w:pPr>
          </w:p>
        </w:tc>
        <w:tc>
          <w:tcPr>
            <w:tcW w:w="1040" w:type="dxa"/>
            <w:vAlign w:val="bottom"/>
            <w:gridSpan w:val="3"/>
          </w:tcPr>
          <w:p>
            <w:pPr>
              <w:ind w:left="220"/>
              <w:spacing w:after="0" w:line="122" w:lineRule="exact"/>
              <w:rPr>
                <w:sz w:val="20"/>
                <w:szCs w:val="20"/>
                <w:color w:val="auto"/>
              </w:rPr>
            </w:pPr>
            <w:r>
              <w:rPr>
                <w:rFonts w:ascii="Arial" w:cs="Arial" w:eastAsia="Arial" w:hAnsi="Arial"/>
                <w:sz w:val="11"/>
                <w:szCs w:val="11"/>
                <w:b w:val="1"/>
                <w:bCs w:val="1"/>
                <w:color w:val="auto"/>
                <w:w w:val="99"/>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6"/>
          </w:tcPr>
          <w:p>
            <w:pPr>
              <w:jc w:val="right"/>
              <w:ind w:right="320"/>
              <w:spacing w:after="0" w:line="122" w:lineRule="exact"/>
              <w:rPr>
                <w:sz w:val="20"/>
                <w:szCs w:val="20"/>
                <w:color w:val="auto"/>
              </w:rPr>
            </w:pPr>
            <w:r>
              <w:rPr>
                <w:rFonts w:ascii="Arial" w:cs="Arial" w:eastAsia="Arial" w:hAnsi="Arial"/>
                <w:sz w:val="11"/>
                <w:szCs w:val="11"/>
                <w:b w:val="1"/>
                <w:bCs w:val="1"/>
                <w:color w:val="auto"/>
              </w:rPr>
              <w:t>Treasury Stock</w:t>
            </w:r>
          </w:p>
        </w:tc>
        <w:tc>
          <w:tcPr>
            <w:tcW w:w="60" w:type="dxa"/>
            <w:vAlign w:val="bottom"/>
          </w:tcPr>
          <w:p>
            <w:pPr>
              <w:spacing w:after="0"/>
              <w:rPr>
                <w:sz w:val="11"/>
                <w:szCs w:val="11"/>
                <w:color w:val="auto"/>
              </w:rPr>
            </w:pPr>
          </w:p>
        </w:tc>
        <w:tc>
          <w:tcPr>
            <w:tcW w:w="6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1"/>
                <w:szCs w:val="11"/>
                <w:color w:val="auto"/>
              </w:rPr>
            </w:pPr>
          </w:p>
        </w:tc>
        <w:tc>
          <w:tcPr>
            <w:tcW w:w="6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7"/>
              </w:rPr>
              <w:t>hensive</w:t>
            </w: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Accumu—</w:t>
            </w:r>
          </w:p>
        </w:tc>
        <w:tc>
          <w:tcPr>
            <w:tcW w:w="80" w:type="dxa"/>
            <w:vAlign w:val="bottom"/>
          </w:tcPr>
          <w:p>
            <w:pPr>
              <w:spacing w:after="0"/>
              <w:rPr>
                <w:sz w:val="11"/>
                <w:szCs w:val="11"/>
                <w:color w:val="auto"/>
              </w:rPr>
            </w:pPr>
          </w:p>
        </w:tc>
        <w:tc>
          <w:tcPr>
            <w:tcW w:w="7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rPr>
              <w:t>Stock—</w:t>
            </w:r>
          </w:p>
        </w:tc>
        <w:tc>
          <w:tcPr>
            <w:tcW w:w="0" w:type="dxa"/>
            <w:vAlign w:val="bottom"/>
          </w:tcPr>
          <w:p>
            <w:pPr>
              <w:spacing w:after="0"/>
              <w:rPr>
                <w:sz w:val="1"/>
                <w:szCs w:val="1"/>
                <w:color w:val="auto"/>
              </w:rPr>
            </w:pPr>
          </w:p>
        </w:tc>
      </w:tr>
      <w:tr>
        <w:trPr>
          <w:trHeight w:val="93"/>
        </w:trPr>
        <w:tc>
          <w:tcPr>
            <w:tcW w:w="2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40"/>
              <w:spacing w:after="0" w:line="93"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93"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8"/>
                <w:szCs w:val="8"/>
                <w:color w:val="auto"/>
              </w:rPr>
            </w:pPr>
          </w:p>
        </w:tc>
        <w:tc>
          <w:tcPr>
            <w:tcW w:w="64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lated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60"/>
              <w:spacing w:after="0" w:line="93" w:lineRule="exact"/>
              <w:rPr>
                <w:sz w:val="20"/>
                <w:szCs w:val="20"/>
                <w:color w:val="auto"/>
              </w:rPr>
            </w:pPr>
            <w:r>
              <w:rPr>
                <w:rFonts w:ascii="Arial" w:cs="Arial" w:eastAsia="Arial" w:hAnsi="Arial"/>
                <w:sz w:val="10"/>
                <w:szCs w:val="10"/>
                <w:b w:val="1"/>
                <w:bCs w:val="1"/>
                <w:color w:val="auto"/>
              </w:rPr>
              <w:t>holders’</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1"/>
                <w:szCs w:val="11"/>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28"/>
        </w:trPr>
        <w:tc>
          <w:tcPr>
            <w:tcW w:w="2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December 31, 2018</w:t>
            </w:r>
          </w:p>
        </w:tc>
        <w:tc>
          <w:tcPr>
            <w:tcW w:w="6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92"/>
              </w:rPr>
              <w:t>54,208,641</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93"/>
              </w:rPr>
              <w:t>110,401</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19,788,243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w w:val="71"/>
              </w:rPr>
              <w:t>1</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(2,227,722)</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78"/>
              </w:rPr>
              <w:t>(453)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8,630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w w:val="82"/>
              </w:rPr>
              <w:t>(66,549)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(58,335)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70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705,903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ind w:left="140"/>
              <w:spacing w:after="0"/>
              <w:rPr>
                <w:sz w:val="20"/>
                <w:szCs w:val="20"/>
                <w:color w:val="auto"/>
              </w:rPr>
            </w:pPr>
            <w:r>
              <w:rPr>
                <w:rFonts w:ascii="Arial" w:cs="Arial" w:eastAsia="Arial" w:hAnsi="Arial"/>
                <w:sz w:val="10"/>
                <w:szCs w:val="10"/>
                <w:color w:val="auto"/>
                <w:w w:val="71"/>
              </w:rPr>
              <w:t>1</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452</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adjustment</w:t>
            </w:r>
          </w:p>
        </w:tc>
        <w:tc>
          <w:tcPr>
            <w:tcW w:w="70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2"/>
                <w:szCs w:val="12"/>
                <w:color w:val="auto"/>
              </w:rPr>
            </w:pPr>
          </w:p>
        </w:tc>
        <w:tc>
          <w:tcPr>
            <w:tcW w:w="64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2,949</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680" w:type="dxa"/>
            <w:vAlign w:val="bottom"/>
          </w:tcPr>
          <w:p>
            <w:pPr>
              <w:ind w:left="4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(20,116)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(20,116)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2019</w:t>
            </w:r>
          </w:p>
        </w:tc>
        <w:tc>
          <w:tcPr>
            <w:tcW w:w="6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54,208,641</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110,401</w:t>
            </w:r>
          </w:p>
        </w:tc>
        <w:tc>
          <w:tcPr>
            <w:tcW w:w="8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20,494,146</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color w:val="auto"/>
                <w:w w:val="71"/>
              </w:rPr>
              <w:t>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9"/>
              </w:rPr>
              <w:t>(2,317,722)</w:t>
            </w:r>
          </w:p>
        </w:tc>
        <w:tc>
          <w:tcPr>
            <w:tcW w:w="1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12,031</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(86,665)</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(75,278)</w:t>
            </w: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the</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70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1,852,695</w:t>
            </w:r>
          </w:p>
        </w:tc>
        <w:tc>
          <w:tcPr>
            <w:tcW w:w="220" w:type="dxa"/>
            <w:vAlign w:val="bottom"/>
          </w:tcPr>
          <w:p>
            <w:pPr>
              <w:spacing w:after="0"/>
              <w:rPr>
                <w:sz w:val="12"/>
                <w:szCs w:val="12"/>
                <w:color w:val="auto"/>
              </w:rPr>
            </w:pPr>
          </w:p>
        </w:tc>
        <w:tc>
          <w:tcPr>
            <w:tcW w:w="200" w:type="dxa"/>
            <w:vAlign w:val="bottom"/>
          </w:tcPr>
          <w:p>
            <w:pPr>
              <w:ind w:left="140"/>
              <w:spacing w:after="0"/>
              <w:rPr>
                <w:sz w:val="20"/>
                <w:szCs w:val="20"/>
                <w:color w:val="auto"/>
              </w:rPr>
            </w:pPr>
            <w:r>
              <w:rPr>
                <w:rFonts w:ascii="Arial" w:cs="Arial" w:eastAsia="Arial" w:hAnsi="Arial"/>
                <w:sz w:val="10"/>
                <w:szCs w:val="10"/>
                <w:color w:val="auto"/>
                <w:w w:val="71"/>
              </w:rPr>
              <w:t>1</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772</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warrants</w:t>
            </w: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Forfeiture of unvested restricted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stock awards</w:t>
            </w:r>
          </w:p>
        </w:tc>
        <w:tc>
          <w:tcPr>
            <w:tcW w:w="70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(105,969)</w:t>
            </w:r>
          </w:p>
        </w:tc>
        <w:tc>
          <w:tcPr>
            <w:tcW w:w="220" w:type="dxa"/>
            <w:vAlign w:val="bottom"/>
          </w:tcPr>
          <w:p>
            <w:pPr>
              <w:spacing w:after="0"/>
              <w:rPr>
                <w:sz w:val="12"/>
                <w:szCs w:val="12"/>
                <w:color w:val="auto"/>
              </w:rPr>
            </w:pPr>
          </w:p>
        </w:tc>
        <w:tc>
          <w:tcPr>
            <w:tcW w:w="360" w:type="dxa"/>
            <w:vAlign w:val="bottom"/>
            <w:gridSpan w:val="2"/>
          </w:tcPr>
          <w:p>
            <w:pPr>
              <w:spacing w:after="0" w:line="141" w:lineRule="exact"/>
              <w:rPr>
                <w:sz w:val="20"/>
                <w:szCs w:val="20"/>
                <w:color w:val="auto"/>
              </w:rPr>
            </w:pPr>
            <w:r>
              <w:rPr>
                <w:rFonts w:ascii="Arial" w:cs="Arial" w:eastAsia="Arial" w:hAnsi="Arial"/>
                <w:sz w:val="13"/>
                <w:szCs w:val="13"/>
                <w:color w:val="auto"/>
              </w:rPr>
              <w:t>— *</w:t>
            </w: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 redeemable</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700" w:type="dxa"/>
            <w:vAlign w:val="bottom"/>
            <w:gridSpan w:val="2"/>
            <w:shd w:val="clear" w:color="auto" w:fill="CCEEFF"/>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11,239,920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119,755</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70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adjustment</w:t>
            </w:r>
          </w:p>
        </w:tc>
        <w:tc>
          <w:tcPr>
            <w:tcW w:w="700" w:type="dxa"/>
            <w:vAlign w:val="bottom"/>
            <w:gridSpan w:val="2"/>
            <w:shd w:val="clear" w:color="auto" w:fill="CCEEFF"/>
          </w:tcPr>
          <w:p>
            <w:pPr>
              <w:ind w:left="48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3,844</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(11,107)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(11,107)</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2020</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auto"/>
                <w:w w:val="92"/>
              </w:rPr>
              <w:t>54,208,641</w:t>
            </w:r>
          </w:p>
        </w:tc>
        <w:tc>
          <w:tcPr>
            <w:tcW w:w="2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110,401</w:t>
            </w:r>
          </w:p>
        </w:tc>
        <w:tc>
          <w:tcPr>
            <w:tcW w:w="84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11,239,920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color w:val="auto"/>
              </w:rPr>
              <w:t>119,769</w:t>
            </w:r>
          </w:p>
        </w:tc>
        <w:tc>
          <w:tcPr>
            <w:tcW w:w="40" w:type="dxa"/>
            <w:vAlign w:val="bottom"/>
          </w:tcPr>
          <w:p>
            <w:pPr>
              <w:spacing w:after="0"/>
              <w:rPr>
                <w:sz w:val="12"/>
                <w:szCs w:val="12"/>
                <w:color w:val="auto"/>
              </w:rPr>
            </w:pP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22,240,872</w:t>
            </w:r>
          </w:p>
        </w:tc>
        <w:tc>
          <w:tcPr>
            <w:tcW w:w="22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line="142" w:lineRule="exact"/>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w w:val="99"/>
              </w:rPr>
              <w:t>(2,317,722)</w:t>
            </w:r>
          </w:p>
        </w:tc>
        <w:tc>
          <w:tcPr>
            <w:tcW w:w="16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(748)</w:t>
            </w:r>
          </w:p>
        </w:tc>
        <w:tc>
          <w:tcPr>
            <w:tcW w:w="140" w:type="dxa"/>
            <w:vAlign w:val="bottom"/>
            <w:gridSpan w:val="2"/>
          </w:tcPr>
          <w:p>
            <w:pPr>
              <w:ind w:left="60"/>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16,970</w:t>
            </w:r>
          </w:p>
        </w:tc>
        <w:tc>
          <w:tcPr>
            <w:tcW w:w="10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(214)</w:t>
            </w:r>
          </w:p>
        </w:tc>
        <w:tc>
          <w:tcPr>
            <w:tcW w:w="10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80"/>
              <w:spacing w:after="0" w:line="142" w:lineRule="exact"/>
              <w:rPr>
                <w:sz w:val="20"/>
                <w:szCs w:val="20"/>
                <w:color w:val="auto"/>
              </w:rPr>
            </w:pPr>
            <w:r>
              <w:rPr>
                <w:rFonts w:ascii="Arial" w:cs="Arial" w:eastAsia="Arial" w:hAnsi="Arial"/>
                <w:sz w:val="13"/>
                <w:szCs w:val="13"/>
                <w:color w:val="auto"/>
              </w:rPr>
              <w:t>(97,772)</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(81,762)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amount is less than $1 thousand</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6,794</w:t>
            </w:r>
          </w:p>
        </w:tc>
      </w:tr>
      <w:tr>
        <w:trPr>
          <w:trHeight w:val="202"/>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3,844</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7"/>
                <w:szCs w:val="17"/>
                <w:color w:val="auto"/>
              </w:rPr>
            </w:pPr>
          </w:p>
        </w:tc>
        <w:tc>
          <w:tcPr>
            <w:tcW w:w="9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(8,535)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(1,555)</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(6,033)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(3,840)</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(5,279)</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5,669</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(14,223)</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(3,748)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(79,401)</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(81,542)</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 issuance costs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Payment of long-term debt</w:t>
            </w:r>
          </w:p>
        </w:tc>
        <w:tc>
          <w:tcPr>
            <w:tcW w:w="180" w:type="dxa"/>
            <w:vAlign w:val="bottom"/>
          </w:tcPr>
          <w:p>
            <w:pPr>
              <w:spacing w:after="0"/>
              <w:rPr>
                <w:sz w:val="17"/>
                <w:szCs w:val="17"/>
                <w:color w:val="auto"/>
              </w:rPr>
            </w:pPr>
          </w:p>
        </w:tc>
        <w:tc>
          <w:tcPr>
            <w:tcW w:w="9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119,755</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Deferred consideration paid for acquisitions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(1,650)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(3,915)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119,049</w:t>
            </w:r>
          </w:p>
        </w:tc>
      </w:tr>
      <w:tr>
        <w:trPr>
          <w:trHeight w:val="27"/>
        </w:trPr>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09"/>
        </w:trPr>
        <w:tc>
          <w:tcPr>
            <w:tcW w:w="86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23,025</w:t>
            </w:r>
          </w:p>
        </w:tc>
        <w:tc>
          <w:tcPr>
            <w:tcW w:w="120" w:type="dxa"/>
            <w:vAlign w:val="bottom"/>
          </w:tcPr>
          <w:p>
            <w:pPr>
              <w:spacing w:after="0"/>
              <w:rPr>
                <w:sz w:val="18"/>
                <w:szCs w:val="18"/>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86,027</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109,052</w:t>
            </w:r>
          </w:p>
        </w:tc>
      </w:tr>
      <w:tr>
        <w:trPr>
          <w:trHeight w:val="20"/>
        </w:trPr>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86,027</w:t>
            </w:r>
          </w:p>
        </w:tc>
        <w:tc>
          <w:tcPr>
            <w:tcW w:w="80" w:type="dxa"/>
            <w:vAlign w:val="bottom"/>
            <w:shd w:val="clear" w:color="auto" w:fill="CCEEFF"/>
          </w:tcPr>
          <w:p>
            <w:pPr>
              <w:spacing w:after="0"/>
              <w:rPr>
                <w:sz w:val="17"/>
                <w:szCs w:val="17"/>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1,851</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common stock warrants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86,027</w:t>
            </w:r>
          </w:p>
        </w:tc>
        <w:tc>
          <w:tcPr>
            <w:tcW w:w="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consolidated financial statements have been prepared in accordance with the United States generally accepted accounting principles (“U.S. GAAP”) and include the accounts of the Company and its wholly owned subsidiaries. Intercompany accounts and transactions have been eliminated upon consolidation.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Beginning in 2020, the Company reclassified certain costs and operating expenses within the consolidated statements of operations and comprehensive loss. Prior period amounts have been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reclassified to conform to this presentation. These changes have no impact on the previously reported consolidated net loss, including total costs and operating expenses, financial position, or cash flows for any periods presented.</w:t>
      </w:r>
    </w:p>
    <w:p>
      <w:pPr>
        <w:spacing w:after="0" w:line="19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The classification changes relate primarily to the inclusion of costs incurred to develop and operate the Company’s transaction processing and payments platform into a new caption entitled technology and development. These costs were initially included in payment processing services costs, product development and selling and marketing. Additionally, costs previously included in product development were combined into technology and development. The following tables present the effects of these changes on the presentation of costs and operating expenses to the previously reported consolidated statements of operations and comprehensive loss (in thousands):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As Previously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Reclassified</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36,726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12,601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7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25,419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26,606</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33,444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60" w:type="dxa"/>
            <w:vAlign w:val="bottom"/>
            <w:shd w:val="clear" w:color="auto" w:fill="CCEEFF"/>
          </w:tcPr>
          <w:p>
            <w:pPr>
              <w:spacing w:after="0"/>
              <w:rPr>
                <w:sz w:val="17"/>
                <w:szCs w:val="17"/>
                <w:color w:val="auto"/>
              </w:rPr>
            </w:pPr>
          </w:p>
        </w:tc>
      </w:tr>
      <w:tr>
        <w:trPr>
          <w:trHeight w:val="209"/>
        </w:trPr>
        <w:tc>
          <w:tcPr>
            <w:tcW w:w="7240" w:type="dxa"/>
            <w:vAlign w:val="bottom"/>
          </w:tcPr>
          <w:p>
            <w:pPr>
              <w:ind w:left="36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112,375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112,375</w:t>
            </w: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120" w:right="6700" w:hanging="4"/>
        <w:spacing w:after="0" w:line="372" w:lineRule="auto"/>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dates of the consolidated financial statements, and the reported amounts of revenues and expenses during the reporting periods. Significant estimates and assumptions reflected in these financial statements include, but are not limited to, the valuation of common stock and stock-based awards, impairment assessment of goodwill, intangibles and other long lived -assets, the valuation of acquired intangible assets and their useful lives, the valuation of contingent consideration and the valuation of the preferred stock warrant liability. The Company bases its estimates on historical experience, known trends and other market-specific or other relevant factors that it believes to be reasonable under the circumstances. As a result of the COVID-19 pandemic, the Company considered relevant impacts to its estimates related to the impairment assessment of goodwill, intangible assets and other long-lived assets. The Company is not aware of any specific event or circumstance that would require an update to its estimates or judgments or a revision of the carrying value of its assets or liabilities as of March 11, 2021, the date of issuance of these financial statements. These estimates may change as new events occur and additional information is obtained.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evaluates credit worthiness of its customers and maintains allowances, to the extent necessary, for potential credit losses based upon the aging of its accounts receivable balances and known collection issues. The Company has not experienced any material credit losses during the years ended December 31, 2019 and 2020.</w:t>
      </w:r>
    </w:p>
    <w:p>
      <w:pPr>
        <w:spacing w:after="0" w:line="203"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Accounts receivable are derived from revenue earned from clients, the Company’s customers (see Revenue Recognition policy) located in the U.S. and internationally. Significant clients are those that represent 10% or more of accounts receivable, net as set forth in the following table: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40" w:type="dxa"/>
            <w:vAlign w:val="bottom"/>
          </w:tcPr>
          <w:p>
            <w:pPr>
              <w:spacing w:after="0"/>
              <w:rPr>
                <w:sz w:val="15"/>
                <w:szCs w:val="15"/>
                <w:color w:val="auto"/>
              </w:rPr>
            </w:pPr>
          </w:p>
        </w:tc>
        <w:tc>
          <w:tcPr>
            <w:tcW w:w="2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Accounts Receivable, Net</w:t>
            </w:r>
          </w:p>
        </w:tc>
      </w:tr>
      <w:tr>
        <w:trPr>
          <w:trHeight w:val="156"/>
        </w:trPr>
        <w:tc>
          <w:tcPr>
            <w:tcW w:w="834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73"/>
              <w:spacing w:after="0" w:line="155"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5"/>
        </w:trPr>
        <w:tc>
          <w:tcPr>
            <w:tcW w:w="83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Client A</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w w:val="78"/>
              </w:rPr>
              <w:t>*</w:t>
            </w: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w:t>
            </w:r>
          </w:p>
        </w:tc>
      </w:tr>
      <w:tr>
        <w:trPr>
          <w:trHeight w:val="217"/>
        </w:trPr>
        <w:tc>
          <w:tcPr>
            <w:tcW w:w="9000" w:type="dxa"/>
            <w:vAlign w:val="bottom"/>
            <w:gridSpan w:val="2"/>
          </w:tcPr>
          <w:p>
            <w:pPr>
              <w:spacing w:after="0"/>
              <w:rPr>
                <w:sz w:val="20"/>
                <w:szCs w:val="20"/>
                <w:color w:val="auto"/>
              </w:rPr>
            </w:pPr>
            <w:r>
              <w:rPr>
                <w:rFonts w:ascii="Arial" w:cs="Arial" w:eastAsia="Arial" w:hAnsi="Arial"/>
                <w:sz w:val="18"/>
                <w:szCs w:val="18"/>
                <w:color w:val="auto"/>
              </w:rPr>
              <w:t>Client B</w:t>
            </w:r>
          </w:p>
        </w:tc>
        <w:tc>
          <w:tcPr>
            <w:tcW w:w="118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1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Funds Receivable From Payment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8890</wp:posOffset>
            </wp:positionV>
            <wp:extent cx="26060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6"/>
        </w:trPr>
        <w:tc>
          <w:tcPr>
            <w:tcW w:w="30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13"/>
                <w:szCs w:val="13"/>
                <w:color w:val="auto"/>
              </w:rPr>
            </w:pPr>
          </w:p>
        </w:tc>
        <w:tc>
          <w:tcPr>
            <w:tcW w:w="9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6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w:t>
            </w: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Partner B</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1900" w:type="dxa"/>
            <w:vAlign w:val="bottom"/>
            <w:gridSpan w:val="2"/>
            <w:shd w:val="clear" w:color="auto" w:fill="CCEEFF"/>
          </w:tcPr>
          <w:p>
            <w:pPr>
              <w:jc w:val="right"/>
              <w:ind w:right="158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Partner D</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E</w:t>
            </w:r>
          </w:p>
        </w:tc>
        <w:tc>
          <w:tcPr>
            <w:tcW w:w="1900" w:type="dxa"/>
            <w:vAlign w:val="bottom"/>
            <w:gridSpan w:val="2"/>
            <w:shd w:val="clear" w:color="auto" w:fill="CCEEFF"/>
          </w:tcPr>
          <w:p>
            <w:pPr>
              <w:jc w:val="right"/>
              <w:ind w:right="1420"/>
              <w:spacing w:after="0" w:line="202" w:lineRule="exact"/>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620" w:type="dxa"/>
            <w:vAlign w:val="bottom"/>
            <w:gridSpan w:val="4"/>
          </w:tcPr>
          <w:p>
            <w:pPr>
              <w:spacing w:after="0"/>
              <w:rPr>
                <w:sz w:val="20"/>
                <w:szCs w:val="20"/>
                <w:color w:val="auto"/>
              </w:rPr>
            </w:pPr>
            <w:r>
              <w:rPr>
                <w:rFonts w:ascii="Arial" w:cs="Arial" w:eastAsia="Arial" w:hAnsi="Arial"/>
                <w:sz w:val="18"/>
                <w:szCs w:val="18"/>
                <w:color w:val="auto"/>
              </w:rPr>
              <w:t>Partner F</w:t>
            </w:r>
          </w:p>
        </w:tc>
        <w:tc>
          <w:tcPr>
            <w:tcW w:w="1900" w:type="dxa"/>
            <w:vAlign w:val="bottom"/>
            <w:gridSpan w:val="2"/>
          </w:tcPr>
          <w:p>
            <w:pPr>
              <w:jc w:val="right"/>
              <w:ind w:right="142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21"/>
        </w:trPr>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7320" w:type="dxa"/>
            <w:vAlign w:val="bottom"/>
            <w:gridSpan w:val="3"/>
          </w:tcPr>
          <w:p>
            <w:pPr>
              <w:jc w:val="right"/>
              <w:ind w:right="4508"/>
              <w:spacing w:after="0"/>
              <w:rPr>
                <w:sz w:val="20"/>
                <w:szCs w:val="20"/>
                <w:color w:val="auto"/>
              </w:rPr>
            </w:pPr>
            <w:r>
              <w:rPr>
                <w:rFonts w:ascii="Arial" w:cs="Arial" w:eastAsia="Arial" w:hAnsi="Arial"/>
                <w:sz w:val="18"/>
                <w:szCs w:val="18"/>
                <w:color w:val="auto"/>
              </w:rPr>
              <w:t>Less than 10% of total balance.</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no client accounted for 10% or more of revenue.</w:t>
      </w:r>
    </w:p>
    <w:p>
      <w:pPr>
        <w:spacing w:after="0" w:line="21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2019, revenue from clients located outside of the United States in the aggregate accounted for 28.5% of the Company’s total revenues, with the United Kingdom accounting for 16.4%. No other countries accounted for greater than 10% of revenues for the year ended December 31,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2020, revenue from clients located outside of the United States in the aggregate accounted for 25.7% of the Company’s total revenues, with the United Kingdom accounting for 13.8%. No other countries accounted for greater than 10% of revenues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determined its operating segment after considering the Company’s organizational structure and the information regularly reviewed by the chief operating decision maker (“CODM”) to evaluate financial performance and allocate resources. The Company’s chief executive officer, who is the CODM, reviews financial information on a consolidated basis for purposes of evaluating financial performance and allocating resources. On these factors, the Company determined that it operates and manages its business as one operating segment which involves payment processing and cash collection optimization services through the Company’s platform and other complementary services, and accordingly has one reportable segment for financial reporting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2019 and 2020, the Company had no deferred offering costs recorded in the consolidated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Deferred financing costs related to a recognized debt liability are recorded as a reduction of the carrying amount of the debt liability and amortized to interest expense using the effective interest method over the repayment term of the debt.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26" w:lineRule="exact"/>
        <w:rPr>
          <w:sz w:val="20"/>
          <w:szCs w:val="20"/>
          <w:color w:val="auto"/>
        </w:rPr>
      </w:pPr>
    </w:p>
    <w:p>
      <w:pPr>
        <w:jc w:val="both"/>
        <w:ind w:left="120" w:right="520" w:firstLine="440"/>
        <w:spacing w:after="0" w:line="246"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197"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2019 and 2020, the Company had $0 and $5.0 million of restricted cash,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Accounts receivable represent customer obligations that are unconditional. Accounts receivable are presented net of an estimated allowance for doubtful accounts for amounts that may not be collectible. The Company’s accounts receivable do not bear interest and generally does not require collateral or other security to support related receivables. The Company establishes an allowance for doubtful accounts for estimated losses expected from amounts that may not be collectible, through a provision for bad debt. Subsequent recoveries, if any, are credited to the allowance. The allowance for doubtful accounts is evaluated on a regular basis and is based on the credit risk of specific customers, past collection history and management’s evaluation of accounts receivable. Account balances are written off after all means of collection are exhausted and the potential for nonrecovery is determined to be probable. Adjustments to the allowance for doubtful accounts are recorded within general and administrative expenses in the consolidated statements of operations and comprehensive loss.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Property and equipment consist primarily of computer equipment and software, internal 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 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continually evaluates the recoverability of long-lived assets when events and changes in circumstances indicate that the carrying amount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20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Refer to Note 5 for inputs used to fair value contingent consideration.</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Intangible assets consist of acquired customer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20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The Company estimates the fair value of acquired intangible assets under the income approach using the relief-from-royalty method (for developed technology, trade name and trademarks) or using the multi-period excess earnings method (for customer relationships). The relief-from-royalty method estimates the cost savings that accrue to the owner of an intangible asset who would otherwise have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9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the goodwill may be impaired. The Company’s goodwill impairment test is performed at the enterprise level given the sole reporting unit. Events that could indicate impairment that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Based on the Company’s assessments performed, no impairment was recorded during the year ended December 31, 2019 or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There were no costs that qualified for capitalization during the year ended December 31, 2019. The Company capitalized $1.8 million in costs related to internal use software during the year ended December 31, 2020. Software developed for internal use is amortized straight-line over its estimated useful life of five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5"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accounts receivable, funds receivable from payment partners, unbilled receivables, prepaid expenses, accounts payable, funds payable to customers and accrued expenses and other current liabilities approximate their respective fair values due to the short-term nature of these assets and liabilities. The Company’s contingent consideration and preferred stock warrants are carried at fair value, determined using Level 3 inputs in the fair value hierarchy.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connection with its financing arrangements, the Company issued warrants to purchase convertible preferred stock. The warrants to purchase preferred stock provide for net share settlement under which the maximum number of shares that could be issued represents the total amount of shares under the warrant agreements. These warrants are classified as liabilities on the Company’s consolidated balance sheets as these are free standing instruments that may be required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Inputs used in the fair value calculation include fair value per share of the underlying preferred stock, risk-free interest rate,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expected dividend yield, remaining contractual term and expected volatility. The Company determines the fair value per share of the underlying preferred stock by taking into consideration the most recent sales of its convertible preferred stock, results obtained from third-party valuations and additional factors that the Company deems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approximating the remaining contractual term of the warrants. The Company estimated a 0% dividend yield based on the fact that it has never paid or declared dividends.</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Changes in fair value of the warrant liability are recognized on the consolidated statements of operations and comprehensive loss. The Company will continue to adjust the warrant liability for changes in fair value until the earlier of the expiration or exercise of the warrants, or upon their automatic conversion into warrants to purchase common stock in connection with a qualified initial public offering (“IPO”) such that they qualify for equity classification and no further remeasurement is required. There were no warrants issued to purchase preferred stock during the years ended December 31, 2019 or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issued warrants to purchase common stock in conjunction with the refinancing of long-term debt during the year ended December 31, 2020. The warrants are classified as equity, based on the specific terms of warrant agreement. The warrants were recorded at fair value upon issuance, as a discount to debt in the consolidated balance sheets and are not required to be remeasured after the issuance date (refer to Note 14).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subsidiary, is the U.S. Dollar. The functional currency for the Company’s UK subsidiary is considered to be the local currency and, accordingly, translation adjustments for this entity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 and were not material for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foreign currency exchange rates could impact the Company’s consolidated statements of operations and comprehensive loss as a result of changes in the value of foreign currencies. To mitigate the volatility related to fluctuations in the foreign exchange rates, the Company enters into non-deliverable forward foreign currency contracts.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jc w:val="both"/>
        <w:ind w:left="120" w:right="120" w:firstLine="440"/>
        <w:spacing w:after="0" w:line="245" w:lineRule="auto"/>
        <w:rPr>
          <w:sz w:val="20"/>
          <w:szCs w:val="20"/>
          <w:color w:val="auto"/>
        </w:rPr>
      </w:pPr>
      <w:r>
        <w:rPr>
          <w:rFonts w:ascii="Arial" w:cs="Arial" w:eastAsia="Arial" w:hAnsi="Arial"/>
          <w:sz w:val="18"/>
          <w:szCs w:val="18"/>
          <w:color w:val="auto"/>
        </w:rPr>
        <w:t>Effective on January 1, 2017, the Company early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(“ASC 606”)</w:t>
      </w:r>
      <w:r>
        <w:rPr>
          <w:rFonts w:ascii="Arial" w:cs="Arial" w:eastAsia="Arial" w:hAnsi="Arial"/>
          <w:sz w:val="18"/>
          <w:szCs w:val="18"/>
          <w:color w:val="auto"/>
        </w:rPr>
        <w:t>. Under the guidance of ASC 606, revenue is recognized when a customer obtains control of promised goods or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that reflects the consideration which the entity expects to receive in exchange for those goods or services. In order to achieve this core principle, the Company applies the following five steps:</w:t>
      </w:r>
    </w:p>
    <w:p>
      <w:pPr>
        <w:spacing w:after="0" w:line="104" w:lineRule="exact"/>
        <w:rPr>
          <w:sz w:val="20"/>
          <w:szCs w:val="20"/>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8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9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lives in a country where the Company does not have an active bank account, the Company uses third -party service providers (“Partners”) to collect wired funds before remitting the funds to the Company. The Partner invoices the Company on a recurring basis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97"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97"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79" w:lineRule="exact"/>
        <w:rPr>
          <w:sz w:val="20"/>
          <w:szCs w:val="20"/>
          <w:color w:val="auto"/>
        </w:rPr>
      </w:pPr>
    </w:p>
    <w:p>
      <w:pPr>
        <w:ind w:left="660" w:right="60"/>
        <w:spacing w:after="0" w:line="245" w:lineRule="auto"/>
        <w:rPr>
          <w:sz w:val="20"/>
          <w:szCs w:val="20"/>
          <w:color w:val="auto"/>
        </w:rPr>
      </w:pPr>
      <w:r>
        <w:rPr>
          <w:rFonts w:ascii="Arial" w:cs="Arial" w:eastAsia="Arial" w:hAnsi="Arial"/>
          <w:sz w:val="18"/>
          <w:szCs w:val="18"/>
          <w:i w:val="1"/>
          <w:iCs w:val="1"/>
          <w:color w:val="auto"/>
        </w:rPr>
        <w:t>Platform and usage-based fee revenue—</w:t>
      </w:r>
      <w:r>
        <w:rPr>
          <w:rFonts w:ascii="Arial" w:cs="Arial" w:eastAsia="Arial" w:hAnsi="Arial"/>
          <w:sz w:val="18"/>
          <w:szCs w:val="18"/>
          <w:color w:val="auto"/>
        </w:rPr>
        <w:t>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12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12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ind w:left="120"/>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2019 or 2020.</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 Recognition Policies</w:t>
      </w:r>
    </w:p>
    <w:p>
      <w:pPr>
        <w:spacing w:after="0" w:line="12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1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9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 The balance of deferred revenue as of December 31, 2019 and 2020 was $1.4 million and $1.3 million,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 The balance of unbilled receivables as of December 31, 2019 and 2020 was $1.3 million and $1.7 million, respectively.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320" w:firstLine="440"/>
        <w:spacing w:after="0" w:line="234"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$0 and less than</w:t>
      </w:r>
    </w:p>
    <w:p>
      <w:pPr>
        <w:spacing w:after="0" w:line="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$0.1 million as of December 31, 2019 and 2020, respectively. Capitalized sales incentives are amortized over the period of benefits, which the Company has determined to be three years.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$1.5 million of costs in 2020 within other assets on the consolidated balance sheets. There was no cost qualifying for capitalization during the year ended December 31, 2019.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$0.4 million for the year ended December 31, 2020.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impairment of capitalized contract costs during the year ended December 31, 2019 or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26"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recognizes compensation cost for all stock-based compensation awards made to employees. The Company determines compensation expense associated with restricted stock awards based on the fair value of common stock on the date of grant. The Company determines compensation expense associated with stock options based on the estimated grant date fair value method using the Black-Scholes valuation model.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Determining the fair value of each stock option grant requires judgements and estimates. Such estimates include the exercise price, option term, volatility, risk free rate and expected dividend yield.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exercise price per share of stock options may not be less than the fair market value as determined by the Company’s Board of Directors, with input from management and the assistance of a third-party valuation specialist. The Company’s Board of Directors exercises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lacks sufficient company-specific historical and implied volatility information for its stock; therefore, the Company estimates its expected stock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Any changes to those estimates that the Company makes may have a significant impact on the stock-based compensation expense recorded and could materially impact the Company’s results of operations.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option vesting term of four years. The Company accounts for forfeitures as they occur.</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w:t>
      </w:r>
    </w:p>
    <w:p>
      <w:pPr>
        <w:spacing w:after="0" w:line="203" w:lineRule="exact"/>
        <w:rPr>
          <w:sz w:val="20"/>
          <w:szCs w:val="20"/>
          <w:color w:val="auto"/>
        </w:rPr>
      </w:pPr>
    </w:p>
    <w:p>
      <w:pPr>
        <w:ind w:left="120" w:right="560" w:firstLine="440"/>
        <w:spacing w:after="0"/>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$2.5 million and $1.3 million for the years ended December 31,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02"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2019 and 2020, as such basic net loss per share attributable to common stockholders was the same as diluted net loss per share attributable to common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60"/>
        <w:spacing w:after="0"/>
        <w:rPr>
          <w:sz w:val="20"/>
          <w:szCs w:val="20"/>
          <w:color w:val="auto"/>
        </w:rPr>
      </w:pPr>
      <w:r>
        <w:rPr>
          <w:rFonts w:ascii="Arial" w:cs="Arial" w:eastAsia="Arial" w:hAnsi="Arial"/>
          <w:sz w:val="18"/>
          <w:szCs w:val="18"/>
          <w:color w:val="auto"/>
        </w:rPr>
        <w:t>statement of cash flows. ASU 2016-15 is effective for the Company for fiscal years beginning after December 15, 2018, and interim periods within fiscal years beginning after December 15, 2019. Early adoption is permitted. The Company adopted this ASU effective January 1, 2019, noting no material impact on its consolidated financial statements.</w:t>
      </w:r>
    </w:p>
    <w:p>
      <w:pPr>
        <w:spacing w:after="0" w:line="18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ASU 2016-16 eliminated the exception that prohibited the recognition of current and deferred income tax consequences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intra-entity asset transfers (other than inventory) until the asset has been sold to an outside party. The standard is effective for the Company for fiscal years beginning after December 15, 2018, including interim periods after those fiscal years. The Company adopted this ASU effective January 1, 2019, noting no material impact on its consolidated financial statements.</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that simplifies the accounting for goodwill impairment for all entities by requiring impairment charges to be based on the first step in the current two-step impairment test under ASC</w:t>
      </w:r>
    </w:p>
    <w:p>
      <w:pPr>
        <w:spacing w:after="0" w:line="1" w:lineRule="exact"/>
        <w:rPr>
          <w:sz w:val="20"/>
          <w:szCs w:val="20"/>
          <w:color w:val="auto"/>
        </w:rPr>
      </w:pPr>
    </w:p>
    <w:p>
      <w:pPr>
        <w:ind w:left="120" w:hanging="4"/>
        <w:spacing w:after="0" w:line="253" w:lineRule="auto"/>
        <w:tabs>
          <w:tab w:leader="none" w:pos="5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Under current guidance, if the fair value of a reporting unit is lower than its carrying amount (Step 1), an entity calculates any impairment charge by comparing the implied fair value of goodwill with its carrying amount (Step 2). The implied fair value of goodwill is calculated by deducting the current fair value of all assets and liabilities of the reporting unit from the reporting unit’s fair value as determined in Step 1. Under ASU 2017-04, if a reporting unit’s carrying amount exceeds its fair value, an entity will record an impairment charge based on that difference. The impairment charge is limited to the amount of goodwill allocated to that reporting unit. The standard is effective for all entities for fiscal years and interim periods within those fiscal years, beginning after December 15, 2021. Early adoption is permitted. The Company adopted this ASU effective January 1, 2019, noting no material impact on its consolidated financial statements.</w:t>
      </w:r>
    </w:p>
    <w:p>
      <w:pPr>
        <w:spacing w:after="0" w:line="173"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(Topic 35):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to develop or obtain internal-use software (and hosting arrangements that include an internal-use software license). The standard is effective for fiscal years beginning after December 15, 2020 including interim periods within those fiscal years, with early adoption permitted. The Company early adopted this ASU effective January 1, 2018 using the prospective method, noting no material impact on its consolidated financial statements.</w:t>
      </w:r>
    </w:p>
    <w:p>
      <w:pPr>
        <w:spacing w:after="0" w:line="18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Disclosure Framework-Changes to the Disclosure Requirements for Fair Value Measurement, which modifies the disclosure requirements for fair value measurements. The standard is effective for all entities for fiscal years and interim periods within those fiscal years, beginning after December 15, 2019. Early adoption is permitted. The Company adopted this ASU effective January 1, 2020, noting no material impact on its consolidated financial statements.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2022.</w:t>
      </w:r>
    </w:p>
    <w:p>
      <w:pPr>
        <w:spacing w:after="0" w:line="181"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This ASU is effective for fiscal years beginning after December 15, 2020 for public companies and for fiscal years beginning after December 15, 2021 for nonpublic companies,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with early adoption permitted. The Company expects to adopt this guidance effective January 1, 2022 and it is currently evaluating the impact on its consolidated financial statements and related disclosures.</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(“U.S.”)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67,896</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97,768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18,217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11,490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86,580</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89,607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42,176</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4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1,700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5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1,297</w:t>
            </w:r>
          </w:p>
        </w:tc>
        <w:tc>
          <w:tcPr>
            <w:tcW w:w="12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1,698</w:t>
            </w:r>
          </w:p>
        </w:tc>
      </w:tr>
      <w:tr>
        <w:trPr>
          <w:trHeight w:val="202"/>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5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1,325</w:t>
            </w:r>
          </w:p>
        </w:tc>
        <w:tc>
          <w:tcPr>
            <w:tcW w:w="12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1,227</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5620" w:type="dxa"/>
            <w:vAlign w:val="bottom"/>
            <w:gridSpan w:val="3"/>
          </w:tcPr>
          <w:p>
            <w:pPr>
              <w:jc w:val="right"/>
              <w:ind w:right="300"/>
              <w:spacing w:after="0"/>
              <w:rPr>
                <w:sz w:val="20"/>
                <w:szCs w:val="20"/>
                <w:color w:val="auto"/>
              </w:rPr>
            </w:pPr>
            <w:r>
              <w:rPr>
                <w:rFonts w:ascii="Arial" w:cs="Arial" w:eastAsia="Arial" w:hAnsi="Arial"/>
                <w:sz w:val="18"/>
                <w:szCs w:val="18"/>
                <w:color w:val="auto"/>
              </w:rPr>
              <w:t>83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r>
      <w:tr>
        <w:trPr>
          <w:trHeight w:val="350"/>
        </w:trPr>
        <w:tc>
          <w:tcPr>
            <w:tcW w:w="4200" w:type="dxa"/>
            <w:vAlign w:val="bottom"/>
          </w:tcPr>
          <w:p>
            <w:pPr>
              <w:spacing w:after="0"/>
              <w:rPr>
                <w:sz w:val="24"/>
                <w:szCs w:val="24"/>
                <w:color w:val="auto"/>
              </w:rPr>
            </w:pPr>
          </w:p>
        </w:tc>
        <w:tc>
          <w:tcPr>
            <w:tcW w:w="5620" w:type="dxa"/>
            <w:vAlign w:val="bottom"/>
            <w:gridSpan w:val="3"/>
          </w:tcPr>
          <w:p>
            <w:pPr>
              <w:ind w:left="112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2019, the Company recognized $0.6 million in revenue from amounts that were included in deferred revenue as of December 31, 2018.</w:t>
      </w:r>
    </w:p>
    <w:p>
      <w:pPr>
        <w:spacing w:after="0" w:line="197"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2020, the Company recognized $1.3 million in revenue from amounts that were included in deferred revenue as of December 31, 2019.</w:t>
      </w:r>
    </w:p>
    <w:p>
      <w:pPr>
        <w:spacing w:after="0" w:line="323" w:lineRule="exact"/>
        <w:rPr>
          <w:sz w:val="20"/>
          <w:szCs w:val="20"/>
          <w:color w:val="auto"/>
        </w:rPr>
      </w:pPr>
    </w:p>
    <w:p>
      <w:pPr>
        <w:ind w:left="660" w:hanging="544"/>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the allowance for doubtful accounts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6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Allowance for doubtful accounts at the beginning of the year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7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720"/>
              <w:spacing w:after="0" w:line="202" w:lineRule="exact"/>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(253)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8"/>
                <w:szCs w:val="18"/>
                <w:color w:val="auto"/>
              </w:rPr>
              <w:t>Allowance for doubtful accounts at the end of the year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0"/>
        </w:trPr>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gridSpan w:val="19"/>
          </w:tcPr>
          <w:p>
            <w:pPr>
              <w:ind w:left="22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5"/>
        </w:trPr>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13,179</w:t>
            </w:r>
          </w:p>
        </w:tc>
        <w:tc>
          <w:tcPr>
            <w:tcW w:w="360" w:type="dxa"/>
            <w:vAlign w:val="bottom"/>
          </w:tcPr>
          <w:p>
            <w:pPr>
              <w:spacing w:after="0"/>
              <w:rPr>
                <w:sz w:val="17"/>
                <w:szCs w:val="17"/>
                <w:color w:val="auto"/>
              </w:rPr>
            </w:pPr>
          </w:p>
        </w:tc>
        <w:tc>
          <w:tcPr>
            <w:tcW w:w="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13,179</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2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gridSpan w:val="3"/>
          </w:tcPr>
          <w:p>
            <w:pPr>
              <w:jc w:val="center"/>
              <w:ind w:left="217"/>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1,307</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ind w:left="217"/>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9"/>
        </w:trPr>
        <w:tc>
          <w:tcPr>
            <w:tcW w:w="576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left="277"/>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r>
      <w:tr>
        <w:trPr>
          <w:trHeight w:val="203"/>
        </w:trPr>
        <w:tc>
          <w:tcPr>
            <w:tcW w:w="5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13,179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3,312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3,312</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0"/>
          </w:tcPr>
          <w:p>
            <w:pPr>
              <w:spacing w:after="0"/>
              <w:rPr>
                <w:sz w:val="20"/>
                <w:szCs w:val="20"/>
                <w:color w:val="auto"/>
              </w:rPr>
            </w:pPr>
            <w:r>
              <w:rPr>
                <w:rFonts w:ascii="Arial" w:cs="Arial" w:eastAsia="Arial" w:hAnsi="Arial"/>
                <w:sz w:val="14"/>
                <w:szCs w:val="14"/>
                <w:b w:val="1"/>
                <w:bCs w:val="1"/>
                <w:color w:val="auto"/>
              </w:rPr>
              <w:t>Fair Value Measurements as of December 31, 2020 Using:</w:t>
            </w:r>
          </w:p>
        </w:tc>
      </w:tr>
      <w:tr>
        <w:trPr>
          <w:trHeight w:val="155"/>
        </w:trPr>
        <w:tc>
          <w:tcPr>
            <w:tcW w:w="5760" w:type="dxa"/>
            <w:vAlign w:val="bottom"/>
          </w:tcPr>
          <w:p>
            <w:pPr>
              <w:spacing w:after="0"/>
              <w:rPr>
                <w:sz w:val="13"/>
                <w:szCs w:val="13"/>
                <w:color w:val="auto"/>
              </w:rPr>
            </w:pPr>
          </w:p>
        </w:tc>
        <w:tc>
          <w:tcPr>
            <w:tcW w:w="5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3"/>
                <w:szCs w:val="13"/>
                <w:color w:val="auto"/>
              </w:rPr>
            </w:pPr>
          </w:p>
        </w:tc>
      </w:tr>
      <w:tr>
        <w:trPr>
          <w:trHeight w:val="183"/>
        </w:trPr>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left="354"/>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9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left="354"/>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1,932</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1,932</w:t>
            </w:r>
          </w:p>
        </w:tc>
        <w:tc>
          <w:tcPr>
            <w:tcW w:w="6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12,500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center"/>
              <w:ind w:right="59"/>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70"/>
              <w:spacing w:after="0"/>
              <w:rPr>
                <w:sz w:val="20"/>
                <w:szCs w:val="20"/>
                <w:color w:val="auto"/>
              </w:rPr>
            </w:pPr>
            <w:r>
              <w:rPr>
                <w:rFonts w:ascii="Arial" w:cs="Arial" w:eastAsia="Arial" w:hAnsi="Arial"/>
                <w:sz w:val="18"/>
                <w:szCs w:val="18"/>
                <w:color w:val="auto"/>
              </w:rPr>
              <w:t>14,432</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14,432</w:t>
            </w:r>
          </w:p>
        </w:tc>
        <w:tc>
          <w:tcPr>
            <w:tcW w:w="6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40" w:right="1500" w:hanging="4882"/>
        <w:spacing w:after="0" w:line="418" w:lineRule="auto"/>
        <w:rPr>
          <w:sz w:val="20"/>
          <w:szCs w:val="20"/>
          <w:color w:val="auto"/>
        </w:rPr>
      </w:pPr>
      <w:r>
        <w:rPr>
          <w:rFonts w:ascii="Arial" w:cs="Arial" w:eastAsia="Arial" w:hAnsi="Arial"/>
          <w:sz w:val="18"/>
          <w:szCs w:val="18"/>
          <w:color w:val="auto"/>
        </w:rPr>
        <w:t>During the year ended December 31, 2019 and 2020, there were no transfers between Level 1, Level 2 or Level 3. F-27</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24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560" w:type="dxa"/>
            <w:vAlign w:val="bottom"/>
          </w:tcPr>
          <w:p>
            <w:pPr>
              <w:spacing w:after="0"/>
              <w:rPr>
                <w:sz w:val="13"/>
                <w:szCs w:val="13"/>
                <w:color w:val="auto"/>
              </w:rPr>
            </w:pPr>
          </w:p>
        </w:tc>
        <w:tc>
          <w:tcPr>
            <w:tcW w:w="6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4.67</w:t>
            </w: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6.48</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1.83%</w:t>
            </w: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44.0%</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w:t>
            </w: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1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w:t>
            </w:r>
          </w:p>
        </w:tc>
        <w:tc>
          <w:tcPr>
            <w:tcW w:w="12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 Ended December 31, 2020</w:t>
            </w: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2660" w:type="dxa"/>
            <w:vAlign w:val="bottom"/>
            <w:shd w:val="clear" w:color="auto" w:fill="CCEEFF"/>
          </w:tcPr>
          <w:p>
            <w:pPr>
              <w:jc w:val="right"/>
              <w:ind w:right="1075"/>
              <w:spacing w:after="0" w:line="196" w:lineRule="exact"/>
              <w:rPr>
                <w:sz w:val="20"/>
                <w:szCs w:val="20"/>
                <w:color w:val="auto"/>
              </w:rPr>
            </w:pPr>
            <w:r>
              <w:rPr>
                <w:rFonts w:ascii="Arial" w:cs="Arial" w:eastAsia="Arial" w:hAnsi="Arial"/>
                <w:sz w:val="18"/>
                <w:szCs w:val="18"/>
                <w:color w:val="auto"/>
              </w:rPr>
              <w:t>10%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w:t>
            </w:r>
          </w:p>
        </w:tc>
        <w:tc>
          <w:tcPr>
            <w:tcW w:w="2660" w:type="dxa"/>
            <w:vAlign w:val="bottom"/>
          </w:tcPr>
          <w:p>
            <w:pPr>
              <w:jc w:val="right"/>
              <w:ind w:right="815"/>
              <w:spacing w:after="0" w:line="202" w:lineRule="exact"/>
              <w:rPr>
                <w:sz w:val="20"/>
                <w:szCs w:val="20"/>
                <w:color w:val="auto"/>
              </w:rPr>
            </w:pPr>
            <w:r>
              <w:rPr>
                <w:rFonts w:ascii="Arial" w:cs="Arial" w:eastAsia="Arial" w:hAnsi="Arial"/>
                <w:sz w:val="18"/>
                <w:szCs w:val="18"/>
                <w:color w:val="auto"/>
              </w:rPr>
              <w:t>71%-100%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26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Probability of successful achievement was set at 71% for certain targets and at 100% for others based on the Company’s best estimates on achieving them.</w:t>
      </w:r>
    </w:p>
    <w:p>
      <w:pPr>
        <w:spacing w:after="0" w:line="21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58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13,763</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7,100</w:t>
            </w:r>
          </w:p>
        </w:tc>
      </w:tr>
      <w:tr>
        <w:trPr>
          <w:trHeight w:val="202"/>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(12,423)</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12,500</w:t>
            </w:r>
          </w:p>
        </w:tc>
      </w:tr>
      <w:tr>
        <w:trPr>
          <w:trHeight w:val="20"/>
        </w:trPr>
        <w:tc>
          <w:tcPr>
            <w:tcW w:w="5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right="40" w:hanging="424"/>
        <w:spacing w:after="0" w:line="258" w:lineRule="auto"/>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Amounts of $0.7 million paid in excess of fair value initially recorded in purchase accounting were classified as operating cash flows in the Consolidated Statements of Cash Flows.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2019 and 2020, respectively, the Company had 1,570 and 3,647 open foreign exchange contracts. As of December 31, 2019 and 2020, the Company had foreign currency forward contracts outstanding with a notional amount of $10.2 million and $11.8 million,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records all derivative instruments in the consolidated balance sheets at their fair values. As of December 31, 2019,</w:t>
      </w:r>
    </w:p>
    <w:p>
      <w:pPr>
        <w:ind w:left="120"/>
        <w:spacing w:after="0" w:line="234" w:lineRule="auto"/>
        <w:rPr>
          <w:sz w:val="20"/>
          <w:szCs w:val="20"/>
          <w:color w:val="auto"/>
        </w:rPr>
      </w:pPr>
      <w:r>
        <w:rPr>
          <w:rFonts w:ascii="Arial" w:cs="Arial" w:eastAsia="Arial" w:hAnsi="Arial"/>
          <w:sz w:val="18"/>
          <w:szCs w:val="18"/>
          <w:color w:val="auto"/>
        </w:rPr>
        <w:t>the Company recorded a liability of less than $0.1 million and as of December 31, 2020, the Company recorded an asset of less than</w:t>
      </w:r>
    </w:p>
    <w:p>
      <w:pPr>
        <w:ind w:left="120"/>
        <w:spacing w:after="0" w:line="235" w:lineRule="auto"/>
        <w:rPr>
          <w:sz w:val="20"/>
          <w:szCs w:val="20"/>
          <w:color w:val="auto"/>
        </w:rPr>
      </w:pPr>
      <w:r>
        <w:rPr>
          <w:rFonts w:ascii="Arial" w:cs="Arial" w:eastAsia="Arial" w:hAnsi="Arial"/>
          <w:sz w:val="18"/>
          <w:szCs w:val="18"/>
          <w:color w:val="auto"/>
        </w:rPr>
        <w:t>$0.1 million related to outstanding foreign exchange contracts. The Company recognized a loss of $0.1 million and $0.5 million during the</w:t>
      </w:r>
    </w:p>
    <w:p>
      <w:pPr>
        <w:ind w:left="120"/>
        <w:spacing w:after="0" w:line="235" w:lineRule="auto"/>
        <w:rPr>
          <w:sz w:val="20"/>
          <w:szCs w:val="20"/>
          <w:color w:val="auto"/>
        </w:rPr>
      </w:pPr>
      <w:r>
        <w:rPr>
          <w:rFonts w:ascii="Arial" w:cs="Arial" w:eastAsia="Arial" w:hAnsi="Arial"/>
          <w:sz w:val="18"/>
          <w:szCs w:val="18"/>
          <w:color w:val="auto"/>
        </w:rPr>
        <w:t>year ended December 31, 2019 and 2020, respectively, which was included in the general and administrative line within the consolidated</w:t>
      </w:r>
    </w:p>
    <w:p>
      <w:pPr>
        <w:ind w:left="120"/>
        <w:spacing w:after="0"/>
        <w:rPr>
          <w:sz w:val="20"/>
          <w:szCs w:val="20"/>
          <w:color w:val="auto"/>
        </w:rPr>
      </w:pPr>
      <w:r>
        <w:rPr>
          <w:rFonts w:ascii="Arial" w:cs="Arial" w:eastAsia="Arial" w:hAnsi="Arial"/>
          <w:sz w:val="18"/>
          <w:szCs w:val="18"/>
          <w:color w:val="auto"/>
        </w:rPr>
        <w:t>statements of operations and comprehensive loss.</w:t>
      </w:r>
    </w:p>
    <w:p>
      <w:pPr>
        <w:spacing w:after="0" w:line="338" w:lineRule="exact"/>
        <w:rPr>
          <w:sz w:val="20"/>
          <w:szCs w:val="20"/>
          <w:color w:val="auto"/>
        </w:rPr>
      </w:pPr>
    </w:p>
    <w:p>
      <w:pPr>
        <w:ind w:left="660" w:hanging="54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30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vendor liabilities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7,388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 consisted of the following (dollars in thousands):</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6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Useful Life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1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3-5</w:t>
            </w: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Internal use software</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rPr>
              <w:t>Leasehold improvements</w:t>
            </w:r>
          </w:p>
        </w:tc>
        <w:tc>
          <w:tcPr>
            <w:tcW w:w="18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9"/>
              </w:rPr>
              <w:t>Shorter of lease term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4,864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8"/>
              </w:rPr>
              <w:t>or useful life</w:t>
            </w: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8,170</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w:t>
            </w:r>
          </w:p>
        </w:tc>
        <w:tc>
          <w:tcPr>
            <w:tcW w:w="24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20" w:type="dxa"/>
            <w:vAlign w:val="bottom"/>
            <w:gridSpan w:val="2"/>
            <w:vMerge w:val="restart"/>
          </w:tcPr>
          <w:p>
            <w:pPr>
              <w:ind w:left="5020"/>
              <w:spacing w:after="0"/>
              <w:rPr>
                <w:sz w:val="20"/>
                <w:szCs w:val="20"/>
                <w:color w:val="auto"/>
              </w:rPr>
            </w:pPr>
            <w:r>
              <w:rPr>
                <w:rFonts w:ascii="Arial" w:cs="Arial" w:eastAsia="Arial" w:hAnsi="Arial"/>
                <w:sz w:val="18"/>
                <w:szCs w:val="18"/>
                <w:color w:val="auto"/>
              </w:rPr>
              <w:t>F-29</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Depreciation and amortization expense was $1.2 million and $1.9 million for the years ended December 31, 2019 and 2020, respectively.</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During the year ended December 31, 2020 the Company wrote off $2.6 million of property and equipment with accumulated depreciation of $2.5 million, as the assets were determined to no longer have any future economic benefits.</w:t>
      </w:r>
    </w:p>
    <w:p>
      <w:pPr>
        <w:spacing w:after="0" w:line="19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As of December 31, 2019 and 2020, the carrying value of internal-used software was $0 and $ 1.7 million, respectively. Amortization expense related to internal-used software was $0 and $0.1 million for the year ended December 31, 2019 and 2020,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Long-lived 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2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3,957</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4,485</w:t>
            </w:r>
          </w:p>
        </w:tc>
      </w:tr>
      <w:tr>
        <w:trPr>
          <w:trHeight w:val="202"/>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r>
      <w:tr>
        <w:trPr>
          <w:trHeight w:val="210"/>
        </w:trPr>
        <w:tc>
          <w:tcPr>
            <w:tcW w:w="926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03"/>
        </w:trPr>
        <w:tc>
          <w:tcPr>
            <w:tcW w:w="9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4,850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5,101</w:t>
            </w: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230"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During the year ended December 31, 2020 the Company expensed $1.1 million 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18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The Company incurred $ 1.9 million in transaction costs related to the Simplee acquisition, of which $0.4 million was incurred during the year ended December 31, 2019 and $1.5 million was incurred during the year ended December 31, 2020. Additionally, the Company incurred $3.4 million of retention costs during the year ended December 31, 2020 to compensate employees of Simplee for future services. This amount was included in personnel costs in the Company’s consolidated statements of operations and comprehensive loss.</w:t>
      </w:r>
    </w:p>
    <w:p>
      <w:pPr>
        <w:spacing w:after="0" w:line="18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10"/>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200" w:type="dxa"/>
            <w:vAlign w:val="bottom"/>
          </w:tcPr>
          <w:p>
            <w:pPr>
              <w:spacing w:after="0"/>
              <w:rPr>
                <w:sz w:val="14"/>
                <w:szCs w:val="14"/>
                <w:color w:val="auto"/>
              </w:rPr>
            </w:pPr>
          </w:p>
        </w:tc>
        <w:tc>
          <w:tcPr>
            <w:tcW w:w="21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Estimated Fair</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 Amortization</w:t>
            </w:r>
          </w:p>
        </w:tc>
      </w:tr>
      <w:tr>
        <w:trPr>
          <w:trHeight w:val="175"/>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Values</w:t>
            </w:r>
          </w:p>
        </w:tc>
        <w:tc>
          <w:tcPr>
            <w:tcW w:w="1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6"/>
        </w:trPr>
        <w:tc>
          <w:tcPr>
            <w:tcW w:w="7200" w:type="dxa"/>
            <w:vAlign w:val="bottom"/>
          </w:tcPr>
          <w:p>
            <w:pPr>
              <w:spacing w:after="0"/>
              <w:rPr>
                <w:sz w:val="13"/>
                <w:szCs w:val="13"/>
                <w:color w:val="auto"/>
              </w:rPr>
            </w:pPr>
          </w:p>
        </w:tc>
        <w:tc>
          <w:tcPr>
            <w:tcW w:w="2160" w:type="dxa"/>
            <w:vAlign w:val="bottom"/>
            <w:gridSpan w:val="3"/>
          </w:tcPr>
          <w:p>
            <w:pPr>
              <w:jc w:val="center"/>
              <w:ind w:right="1160"/>
              <w:spacing w:after="0" w:line="155" w:lineRule="exact"/>
              <w:rPr>
                <w:sz w:val="20"/>
                <w:szCs w:val="20"/>
                <w:color w:val="auto"/>
              </w:rPr>
            </w:pPr>
            <w:r>
              <w:rPr>
                <w:rFonts w:ascii="Arial" w:cs="Arial" w:eastAsia="Arial" w:hAnsi="Arial"/>
                <w:sz w:val="14"/>
                <w:szCs w:val="14"/>
                <w:color w:val="auto"/>
              </w:rPr>
              <w:t>(in thousands)</w:t>
            </w:r>
          </w:p>
        </w:tc>
        <w:tc>
          <w:tcPr>
            <w:tcW w:w="16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10,500</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96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48,300</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58,800</w:t>
            </w: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since the acquisition date was $34.1 million. The Company has not disclosed net income or loss since the acquisition date as the business was fully integrated into the consolidated Company’s operations and therefore it was impracticable to determine this amount.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2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years ended December 31, 2019 and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1320" w:right="520" w:hanging="435"/>
        <w:spacing w:after="0" w:line="246" w:lineRule="auto"/>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 addition, the pro forma net loss attributable to the Company includes recognition of transaction costs related to the acquisition in net loss as of the beginning of the earliest period presented. Accordingly, pro forma net loss attributable to the Company for the year ended December 31, 2019 includes $1.9 million of transaction costs.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 2020</w:t>
            </w: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5"/>
          </w:tcPr>
          <w:p>
            <w:pPr>
              <w:jc w:val="right"/>
              <w:ind w:right="799"/>
              <w:spacing w:after="0" w:line="155"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94,918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120,516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131,783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136,269</w:t>
            </w: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(20,116)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(11,107)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(13,444)</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OnPlan Holdings, LLC</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January 18, 2018, the Company acquired all of the issued and outstanding capital stock of OnPlan Holdings, LLC (“OnPlan”), a payment plan platform, for total purchase consideration of $28.1 million, consisting of $13.2 million of cash paid at closing, $1.5 million deferred consideration paid in 2019 and $13.4 million estimated fair value of contingent consideration dependent upon the achievement of certain revenue targets. Based on actual results, the final contingent consideration was $14.1 million. Of this amount, $12.1 million was paid in 2019 with the remaining $2.0 million paid in January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VialQ</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April 20, 2018, the Company acquired certain assets of ViaIQ LLC (“VialQ”), a cloud-based customer invoicing platform for total purchase consideration of $1.6 million, consisting of $1.1 million cash paid at closing and $0.5 million paid in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amount of goodwill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20" w:type="dxa"/>
            <w:vAlign w:val="bottom"/>
          </w:tcPr>
          <w:p>
            <w:pPr>
              <w:spacing w:after="0"/>
              <w:rPr>
                <w:sz w:val="17"/>
                <w:szCs w:val="17"/>
                <w:color w:val="auto"/>
              </w:rPr>
            </w:pPr>
          </w:p>
        </w:tc>
        <w:tc>
          <w:tcPr>
            <w:tcW w:w="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44,650</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years ended December 31, 2019 and 2020.</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to amortization consisted of the following (in thousands, other than years):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14,564</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11,053</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(1,234)</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2,778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364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(180)</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289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14,297</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52,312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(10,144)</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years ended December 31, 2019 and 2020 was $2.5 million and $4.9 million, respectively.</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2020,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10"/>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68,211</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w:t>
            </w:r>
          </w:p>
        </w:tc>
      </w:tr>
      <w:tr>
        <w:trPr>
          <w:trHeight w:val="210"/>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debt, net</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 In connection with the LSA, the Company issued 381,000 warrants to purchase Series C Convertible Preferred Stock. The Company determined the fair value of the debt and warrants and allocated the debt proceeds to the debt and warrants as these warrants are freestanding financial instruments that may require the Company to transfer assets upon exercise. The initial fair value of the warrants was $0.6 million and was treated as a debt discount and amortized to interest expense, using the effective interest method, over the term of the loan.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 misrepresentations. The Company may make voluntary prepayments of the LSA at any time without penalty or premium. The Company did not make any prepayments of the LSA during the years ended December 31,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connection with the Joinder and Second Amendment, the Company issued warrants to the lenders under the LSA to purchase up to a total of 189,171 shares of the Company’s common stock, at an exercise price of $3.95 per share. These warrants are classified as equity (refer to Note 14). The initial fair value of the warrants of $0.3 million and was treated as a debt discount and amortized to interest expense, using the effective interest method, over the term of the loan.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December 31, 2020,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jc w:val="right"/>
              <w:ind w:right="9630"/>
              <w:spacing w:after="0"/>
              <w:rPr>
                <w:sz w:val="20"/>
                <w:szCs w:val="20"/>
                <w:color w:val="auto"/>
              </w:rPr>
            </w:pPr>
            <w:r>
              <w:rPr>
                <w:rFonts w:ascii="Arial" w:cs="Arial" w:eastAsia="Arial" w:hAnsi="Arial"/>
                <w:sz w:val="18"/>
                <w:szCs w:val="18"/>
                <w:color w:val="auto"/>
                <w:w w:val="9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2022</w:t>
            </w:r>
          </w:p>
        </w:tc>
        <w:tc>
          <w:tcPr>
            <w:tcW w:w="180" w:type="dxa"/>
            <w:vAlign w:val="bottom"/>
          </w:tcPr>
          <w:p>
            <w:pPr>
              <w:spacing w:after="0"/>
              <w:rPr>
                <w:sz w:val="17"/>
                <w:szCs w:val="17"/>
                <w:color w:val="auto"/>
              </w:rPr>
            </w:pPr>
          </w:p>
        </w:tc>
        <w:tc>
          <w:tcPr>
            <w:tcW w:w="7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2024</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2025</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80" w:type="dxa"/>
            <w:vAlign w:val="bottom"/>
            <w:shd w:val="clear" w:color="auto" w:fill="CCEEFF"/>
          </w:tcPr>
          <w:p>
            <w:pPr>
              <w:spacing w:after="0"/>
              <w:rPr>
                <w:sz w:val="17"/>
                <w:szCs w:val="17"/>
                <w:color w:val="auto"/>
              </w:rPr>
            </w:pPr>
          </w:p>
        </w:tc>
      </w:tr>
      <w:tr>
        <w:trPr>
          <w:trHeight w:val="210"/>
        </w:trPr>
        <w:tc>
          <w:tcPr>
            <w:tcW w:w="10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2019, the Company recorded interest expense of $2.5 million, including amortization of debt issuance cost and debt discount of $0.3 million. In 2020, the Company recorded interest expense of $2.5 million, including amortization of debt issuance cost and debt discount of $0.2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Preferred Stock</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Series D convertible preferred stock (the “Series D Preferred Stock”), Series E-1 redeemable convertible preferred stock and Series E-2 redeemable convertible preferred stock (the “Series E Preferred Stock”). The Series A Preferred Stock, the Series B Preferred Stock, the Series B1-NV Preferred Stock, the Series B1 Preferred Stock, the Series C Preferred Stock, the Series D Preferred Stock, and the Series E Preferred Stock are collectively referred to as the “Preferred Stock”.</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February 2020, the Company issued and sold 11,239,920 shares of Series E Preferred Stock at $10.67623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78,938,526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Issued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9,917,487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9,917,487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9,199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8,325,933</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1,145,526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8,325,933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7,180,407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7,326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7,357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15,245,853</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14,864,853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28,143</w:t>
            </w:r>
          </w:p>
        </w:tc>
      </w:tr>
      <w:tr>
        <w:trPr>
          <w:trHeight w:val="202"/>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6,625,002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6,625,002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49,859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62,915,394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54,208,461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110,401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110,716</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5"/>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Stock Issued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14,475,186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9,917,487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9,917,487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9,917,487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8,325,933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1,145,526</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1,145,526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8,325,933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7,180,407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7,180,407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15,245,853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14,864,853</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14,864,853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6,625,002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6,625,002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49,859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6,625,002</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7,124,862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5,251,542</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55,960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70,080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5,251,542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8,898,270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5,988,378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79,920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5,988,378</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78,938,526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65,448,381</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230,170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260,716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65,448,381</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F-36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and the Series E-2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$ 0.6580 for Series A Preferred Stock, $0.6580 for Series B Preferred Stock, $0.7507 for Series B1 Preferred Stock and Series B1 -NV Preferred Stock, $ 1.480 for Series C Preferred Stock, $7.54717 for Series D Preferred Stock, and $10.67623 for Series E Preferred Stock, each subject to appropriate adjustment in the event of any stock dividend, stock split, combination or other similar recapitalization and other adjustments as set forth in the Company’s certificate of incorporation, as amended and restated. The Conversion Price per share is $0.6580 for Series A Preferred Stock, $ 0.6580 for Series B Preferred Stock, $0.7507 for Series B1 Preferred Stock and Series B1-NV Preferred Stock, $1.480 for Series C Preferred Stock, $7.54717 for Series D Preferred Stock, and $10.67623 for Series E Preferred Stock.</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$14.9468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and Series E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6,143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 Preferred Stock</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09"/>
        </w:trPr>
        <w:tc>
          <w:tcPr>
            <w:tcW w:w="8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16,415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years ended December 31,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All classes of the Company’s Preferred Stock are contingently redeemable upon a deemed liquidation event.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294" w:lineRule="exact"/>
        <w:rPr>
          <w:sz w:val="20"/>
          <w:szCs w:val="20"/>
          <w:color w:val="auto"/>
        </w:rPr>
      </w:pPr>
    </w:p>
    <w:p>
      <w:pPr>
        <w:ind w:left="560" w:hanging="444"/>
        <w:spacing w:after="0"/>
        <w:tabs>
          <w:tab w:leader="none" w:pos="5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381,000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85,809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Weight</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Preferred Shares</w:t>
            </w: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Issuable under</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Term</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120" w:type="dxa"/>
            <w:vAlign w:val="bottom"/>
          </w:tcPr>
          <w:p>
            <w:pPr>
              <w:spacing w:after="0"/>
              <w:rPr>
                <w:sz w:val="16"/>
                <w:szCs w:val="16"/>
                <w:color w:val="auto"/>
              </w:rPr>
            </w:pPr>
          </w:p>
        </w:tc>
        <w:tc>
          <w:tcPr>
            <w:tcW w:w="206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Warrant</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(In Years)</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January 16, 2018</w:t>
            </w:r>
          </w:p>
        </w:tc>
        <w:tc>
          <w:tcPr>
            <w:tcW w:w="6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381,000</w:t>
            </w: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1.48</w:t>
            </w: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other expense of $0.1 million and $0.6 million, for the years ended December 31, 2019 and 2020, respectively.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880" w:type="dxa"/>
            <w:vAlign w:val="bottom"/>
            <w:tcBorders>
              <w:bottom w:val="single" w:sz="8" w:color="CCEEFF"/>
            </w:tcBorders>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7"/>
        </w:trPr>
        <w:tc>
          <w:tcPr>
            <w:tcW w:w="3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5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5120" w:type="dxa"/>
            <w:vAlign w:val="bottom"/>
            <w:gridSpan w:val="2"/>
          </w:tcPr>
          <w:p>
            <w:pPr>
              <w:jc w:val="right"/>
              <w:ind w:right="3230"/>
              <w:spacing w:after="0"/>
              <w:rPr>
                <w:sz w:val="20"/>
                <w:szCs w:val="20"/>
                <w:color w:val="auto"/>
              </w:rPr>
            </w:pPr>
            <w:r>
              <w:rPr>
                <w:rFonts w:ascii="Arial" w:cs="Arial" w:eastAsia="Arial" w:hAnsi="Arial"/>
                <w:sz w:val="18"/>
                <w:szCs w:val="18"/>
                <w:color w:val="auto"/>
              </w:rPr>
              <w:t>F-41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December 31, 2019, the Company’s amended and restated certificate of incorporation authorized the issuance of 102 million shares, par value of $.0001 common stock. In February 2020, the amended and restated certificate of incorporation adjusted common stock reserved for issuance in connection with the conversion of Preferred Stock to a total of 78,938,526 shares and upon the exercise of stock options under the Company’s 2018 Equity Incentive plan to a total of 29,931,525.</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2019 and 2020, no cash divided have been declared or paid.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On May 18, 2020, in connection with the Company’s refinancing of the LSA, the Company issued warrants to purchase 189,171 shares of common stock at $3.95 per share that were classified as equity. The initial fair value of the warrants was $0.4 million. The warrants, if not exercised, expire on May 17, 2030. The fair value of the warrants was determined using the Black Scholes model on the date of issuance using the assumptions as presented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0.73%</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w:t>
            </w: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24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Warrants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Strike</w:t>
            </w:r>
          </w:p>
        </w:tc>
        <w:tc>
          <w:tcPr>
            <w:tcW w:w="13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74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7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Issued</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Expiration</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 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August-22</w:t>
            </w: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$ 0.17</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LSA Warrants</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May-20</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May-30</w:t>
            </w: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$ 3.95</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189,171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20" w:right="8100" w:hanging="4"/>
        <w:spacing w:after="0" w:line="394" w:lineRule="auto"/>
        <w:tabs>
          <w:tab w:leader="none" w:pos="66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2009 Equity Incentive Plan</w:t>
      </w:r>
    </w:p>
    <w:p>
      <w:pPr>
        <w:spacing w:after="0" w:line="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2009 Equity Incentive Plan (the “2009 Plan”) provided for the issuance of shares of common stock in the form of incentive stock options, nonqualified stock options, and restricted stock awards to the Company’s Board of Directors, officers, employees and outside consultants. The 2009 Plan was terminated in 2018, as such no further awards are currently being made under the 2009 Plan, however awards outstanding under the 2009 Plan will continue to be governed by their existing terms.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The stock options under 2009 Plan generally vest over four-year period and expire within ten years from the date of grant. Any options that are canceled or forfeited before expiration become available for future grants.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2018 Equity Incentive Plan (the “2018 Plan”) provides for the issuance of a total of 29,931,525 shares of common stock in the form of incentive stock options, nonqualified stock options, and restricted stock awards to the Company’s directors, officers, employees and outside consultants. The 2018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20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The stock options generally vest over four-year period and expire within ten years from the date of grant. Any options that are canceled or forfeited before expiration become available for future grants. As of December 31, 2020, an aggregate of 2,351,847 incentive stock options, nonqualified options, and restricted stock awards of the Company were still available for future grant.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a summary of option activity since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Contractual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Aggregate Intrinsic</w:t>
            </w:r>
          </w:p>
        </w:tc>
      </w:tr>
      <w:tr>
        <w:trPr>
          <w:trHeight w:val="162"/>
        </w:trPr>
        <w:tc>
          <w:tcPr>
            <w:tcW w:w="46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8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75"/>
        </w:trPr>
        <w:tc>
          <w:tcPr>
            <w:tcW w:w="4620" w:type="dxa"/>
            <w:vAlign w:val="bottom"/>
          </w:tcPr>
          <w:p>
            <w:pPr>
              <w:spacing w:after="0"/>
              <w:rPr>
                <w:sz w:val="15"/>
                <w:szCs w:val="15"/>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8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2019</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16,650,192</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2,846,523</w:t>
            </w: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3.95</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(1,852,695)</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0.41</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(795,519)</w:t>
            </w: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3.06</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(139,698)</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1.39</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16,708,803</w:t>
            </w:r>
          </w:p>
        </w:tc>
        <w:tc>
          <w:tcPr>
            <w:tcW w:w="18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32,174</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2020</w:t>
            </w:r>
          </w:p>
        </w:tc>
        <w:tc>
          <w:tcPr>
            <w:tcW w:w="168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10,610,670</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1.24</w:t>
            </w:r>
          </w:p>
        </w:tc>
        <w:tc>
          <w:tcPr>
            <w:tcW w:w="14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28,792</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Vested or expected to vest as of December 31,</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620" w:type="dxa"/>
            <w:vAlign w:val="bottom"/>
          </w:tcPr>
          <w:p>
            <w:pPr>
              <w:ind w:left="180"/>
              <w:spacing w:after="0"/>
              <w:rPr>
                <w:sz w:val="20"/>
                <w:szCs w:val="20"/>
                <w:color w:val="auto"/>
              </w:rPr>
            </w:pPr>
            <w:r>
              <w:rPr>
                <w:rFonts w:ascii="Arial" w:cs="Arial" w:eastAsia="Arial" w:hAnsi="Arial"/>
                <w:sz w:val="18"/>
                <w:szCs w:val="18"/>
                <w:color w:val="auto"/>
              </w:rPr>
              <w:t>2020</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16,340,229</w:t>
            </w:r>
          </w:p>
        </w:tc>
        <w:tc>
          <w:tcPr>
            <w:tcW w:w="18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1.99</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32,032</w:t>
            </w:r>
          </w:p>
        </w:tc>
      </w:tr>
    </w:tbl>
    <w:p>
      <w:pPr>
        <w:spacing w:after="0" w:line="20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The aggregate intrinsic value of stock options exercised during the years ended December 31, 2019 and 2020 was $1.9 million and $6.6 million, respectively.</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$0.8 million during the years ended December 31, 2019 and 2020, respectively.</w:t>
      </w:r>
    </w:p>
    <w:p>
      <w:pPr>
        <w:spacing w:after="0" w:line="197"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and 2020 was $3.30 per share and $3.95 per share,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860"/>
              <w:spacing w:after="0" w:line="196" w:lineRule="exact"/>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0.47%</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39.8%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42.0%</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20" w:type="dxa"/>
            <w:vAlign w:val="bottom"/>
            <w:gridSpan w:val="2"/>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During 2018, the Company granted restricted stock awards (“RSAs”) to employees under the 2018 Plan. The RSAs vest ratably over a four-year period from the date of grant. The fair value of each RSA on the date of grant is the estimated fair value of the common stock on the date of grant. The following table summarizes the restricted stock activity 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Weighted-Average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r>
      <w:tr>
        <w:trPr>
          <w:trHeight w:val="175"/>
        </w:trPr>
        <w:tc>
          <w:tcPr>
            <w:tcW w:w="5400" w:type="dxa"/>
            <w:vAlign w:val="bottom"/>
          </w:tcPr>
          <w:p>
            <w:pPr>
              <w:spacing w:after="0"/>
              <w:rPr>
                <w:sz w:val="15"/>
                <w:szCs w:val="15"/>
                <w:color w:val="auto"/>
              </w:rPr>
            </w:pPr>
          </w:p>
        </w:tc>
        <w:tc>
          <w:tcPr>
            <w:tcW w:w="21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Number of Shares</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Grant Date Fair Value</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56"/>
        </w:trPr>
        <w:tc>
          <w:tcPr>
            <w:tcW w:w="54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2019</w:t>
            </w:r>
          </w:p>
        </w:tc>
        <w:tc>
          <w:tcPr>
            <w:tcW w:w="21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1,512,141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0.98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21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(734,655)</w:t>
            </w: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0.98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21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(105,969)</w:t>
            </w:r>
          </w:p>
        </w:tc>
        <w:tc>
          <w:tcPr>
            <w:tcW w:w="100" w:type="dxa"/>
            <w:vAlign w:val="bottom"/>
          </w:tcPr>
          <w:p>
            <w:pPr>
              <w:spacing w:after="0"/>
              <w:rPr>
                <w:sz w:val="17"/>
                <w:szCs w:val="17"/>
                <w:color w:val="auto"/>
              </w:rPr>
            </w:pPr>
          </w:p>
        </w:tc>
        <w:tc>
          <w:tcPr>
            <w:tcW w:w="1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0.98</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w:t>
            </w:r>
          </w:p>
        </w:tc>
      </w:tr>
      <w:tr>
        <w:trPr>
          <w:trHeight w:val="27"/>
        </w:trPr>
        <w:tc>
          <w:tcPr>
            <w:tcW w:w="54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2020</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671,517</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0.98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As of December 31, 2020, there was $7.9 million of total unrecognized compensation expense related to unvested stock options and restricted stock awards, which is expected to be recognized over a weighted-average period of 2.4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1,275</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7"/>
                <w:szCs w:val="17"/>
                <w:color w:val="auto"/>
              </w:rPr>
            </w:pPr>
          </w:p>
        </w:tc>
      </w:tr>
      <w:tr>
        <w:trPr>
          <w:trHeight w:val="210"/>
        </w:trPr>
        <w:tc>
          <w:tcPr>
            <w:tcW w:w="890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2,949</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   3,844</w:t>
            </w: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During the year ended December 31, 2019, the Company repurchased 90,000 shares of common stock for $0.3 million. The repurchase was approved by the Board of Directors.</w:t>
      </w:r>
    </w:p>
    <w:p>
      <w:pPr>
        <w:spacing w:after="0" w:line="197" w:lineRule="exact"/>
        <w:rPr>
          <w:sz w:val="20"/>
          <w:szCs w:val="20"/>
          <w:color w:val="auto"/>
        </w:rPr>
      </w:pPr>
    </w:p>
    <w:p>
      <w:pPr>
        <w:jc w:val="both"/>
        <w:ind w:left="120" w:right="100" w:firstLine="440"/>
        <w:spacing w:after="0" w:line="261" w:lineRule="auto"/>
        <w:rPr>
          <w:sz w:val="20"/>
          <w:szCs w:val="20"/>
          <w:color w:val="auto"/>
        </w:rPr>
      </w:pPr>
      <w:r>
        <w:rPr>
          <w:rFonts w:ascii="Arial" w:cs="Arial" w:eastAsia="Arial" w:hAnsi="Arial"/>
          <w:sz w:val="17"/>
          <w:szCs w:val="17"/>
          <w:color w:val="auto"/>
        </w:rPr>
        <w:t>As of December 31, 2019 and 2020, the Company had reserved 85,132,167 and 98,263,437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0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7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(20,116)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stockholders—basic and diluted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(20,116)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w w:val="97"/>
              </w:rPr>
              <w:t>16,067,088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18,389,898</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(0.60)</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264,171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Warrants for the purchase of convertible preferred stock (as converted into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381,000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381,000</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(as converted into common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11,239,920</w:t>
            </w: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Convertible preferred stock (as converted into common stock)</w:t>
            </w: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54,208,461</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54,208,461</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14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1,512,141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671,517</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Stock options to purchase common stock (as converted to common stock)</w:t>
            </w:r>
          </w:p>
        </w:tc>
        <w:tc>
          <w:tcPr>
            <w:tcW w:w="140" w:type="dxa"/>
            <w:vAlign w:val="bottom"/>
          </w:tcPr>
          <w:p>
            <w:pPr>
              <w:spacing w:after="0"/>
              <w:rPr>
                <w:sz w:val="17"/>
                <w:szCs w:val="17"/>
                <w:color w:val="auto"/>
              </w:rPr>
            </w:pP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16,650,192</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16,708,803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72,826,794</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83,473,872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17.   Income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(21,338)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(19,566)</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82"/>
        </w:trPr>
        <w:tc>
          <w:tcPr>
            <w:tcW w:w="83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561</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provision for income taxes</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4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(3,243)</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(8,535)</w:t>
            </w:r>
          </w:p>
        </w:tc>
      </w:tr>
      <w:tr>
        <w:trPr>
          <w:trHeight w:val="27"/>
        </w:trPr>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income tax provision (benefit)</w:t>
            </w:r>
          </w:p>
        </w:tc>
        <w:tc>
          <w:tcPr>
            <w:tcW w:w="7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8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0060" w:type="dxa"/>
            <w:vAlign w:val="bottom"/>
            <w:gridSpan w:val="6"/>
          </w:tcPr>
          <w:p>
            <w:pPr>
              <w:ind w:left="4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320" w:type="dxa"/>
            <w:vAlign w:val="bottom"/>
          </w:tcPr>
          <w:p>
            <w:pPr>
              <w:spacing w:after="0"/>
              <w:rPr>
                <w:sz w:val="24"/>
                <w:szCs w:val="24"/>
                <w:color w:val="auto"/>
              </w:rPr>
            </w:pPr>
          </w:p>
        </w:tc>
        <w:tc>
          <w:tcPr>
            <w:tcW w:w="27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2"/>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Permanent differences</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Fair value of contingent consideration</w:t>
            </w:r>
          </w:p>
        </w:tc>
        <w:tc>
          <w:tcPr>
            <w:tcW w:w="86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Non-deductible transaction costs</w:t>
            </w:r>
          </w:p>
        </w:tc>
        <w:tc>
          <w:tcPr>
            <w:tcW w:w="86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r>
      <w:tr>
        <w:trPr>
          <w:trHeight w:val="27"/>
        </w:trPr>
        <w:tc>
          <w:tcPr>
            <w:tcW w:w="8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Effective income tax rate</w:t>
            </w:r>
          </w:p>
        </w:tc>
        <w:tc>
          <w:tcPr>
            <w:tcW w:w="116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w:t>
            </w: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39.3%</w:t>
            </w:r>
          </w:p>
        </w:tc>
      </w:tr>
      <w:tr>
        <w:trPr>
          <w:trHeight w:val="20"/>
        </w:trPr>
        <w:tc>
          <w:tcPr>
            <w:tcW w:w="8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9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18,741</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29,598</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temporary differences</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20,690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31,498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14,013</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(13,651)</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Goodwill</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(14,277)</w:t>
            </w:r>
          </w:p>
        </w:tc>
      </w:tr>
      <w:tr>
        <w:trPr>
          <w:trHeight w:val="27"/>
        </w:trPr>
        <w:tc>
          <w:tcPr>
            <w:tcW w:w="5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deferred tax liabilities</w:t>
            </w:r>
          </w:p>
        </w:tc>
        <w:tc>
          <w:tcPr>
            <w:tcW w:w="2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 December 31, 2020, the Company had federal and state net operating loss (“NOL”) carryforwards of $110.8 million and</w:t>
      </w:r>
    </w:p>
    <w:p>
      <w:pPr>
        <w:ind w:left="120" w:right="60"/>
        <w:spacing w:after="0" w:line="238" w:lineRule="auto"/>
        <w:rPr>
          <w:sz w:val="20"/>
          <w:szCs w:val="20"/>
          <w:color w:val="auto"/>
        </w:rPr>
      </w:pPr>
      <w:r>
        <w:rPr>
          <w:rFonts w:ascii="Arial" w:cs="Arial" w:eastAsia="Arial" w:hAnsi="Arial"/>
          <w:sz w:val="18"/>
          <w:szCs w:val="18"/>
          <w:color w:val="auto"/>
        </w:rPr>
        <w:t>$96.0 million, respectively, out of which $58.1 million of federal NOL carryforwards and $94.8 million of state NOL carryforwards begin to expire in 2030 and 2024, respectively. Additionally, $52.7 million of federal NOL carryforwards and $1.2 million of state NOL carryforwards have indefinite lives. As of December 31, 2020 the Company generated foreign NOL carryforwards of $0.6 million which begin to expire in 2025. The federal, state and foreign NOL carryforwards may be available to reduce future federal, state and foreign taxable income, respectively.</w:t>
      </w:r>
    </w:p>
    <w:p>
      <w:pPr>
        <w:spacing w:after="0" w:line="20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Ownership changes, as defined in the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have limited the Company’s ability to utilize the federal and state NOL carryforwards for tax purposes. Although, the Company has not performed a Section 382 study, it may be limited in its ability to use its federal and state NOL carryforwards NOLs.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NOL carryforward.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2019 and 2020.</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During the year ended December 31, 2019 the Company recorded an increase in the valuation allowance of $4.8 million. As of December 31, 2020, the Company recorded a net decrease in the valuation allowance of $3.1 million related primarily to a valuation allowance release with respect to the Simplee acquisition offset by a valuation allowance increase with respect to NOL carryforwards. Changes in the valuation allowance are summarized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8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(15,757)</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(20,554)</w:t>
            </w:r>
          </w:p>
        </w:tc>
        <w:tc>
          <w:tcPr>
            <w:tcW w:w="120" w:type="dxa"/>
            <w:vAlign w:val="bottom"/>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 as part of operations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(4,797)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(2,745)</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recorded to income tax (provision) benefit due to acquisition of Simplee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8,464</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Current year (increase)/decrease established through goodwill due to acquisition of Simplee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(2,650)</w:t>
            </w:r>
          </w:p>
        </w:tc>
      </w:tr>
      <w:tr>
        <w:trPr>
          <w:trHeight w:val="27"/>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(20,554)</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7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permanently reinvests the earnings, of its foreign subsidiaries and, therefore, does not provide for taxes that could result from the distribution of those earnings to the Company. As of December 31, 2020, the amount of unrecognized deferred taxes on these earnings would be immaterial.</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of December 31, 2019 and 2020, the Company had not recorded any amounts for unrecognized tax benefits and it had not accrued interest or penalties related to uncertain tax positions. The Company files income tax returns as prescribed by the tax laws of the jurisdiction in which it operates. In the normal course of business, the Company is subject to examination by federal, state and foreign jurisdictions, where applicable. The Company is open to future tax examination by the Internal Revenue Service from 2017 to the present; however, the Internal Revenue Service carryforward attributes that were generated prior to 2016 may still be adjusted upon examination by to the extent they will be used in a future period. The Company has recently been notified by the Internal Revenue Service that they plan to audit 2018.</w:t>
      </w:r>
    </w:p>
    <w:p>
      <w:pPr>
        <w:spacing w:after="0" w:line="329" w:lineRule="exact"/>
        <w:rPr>
          <w:sz w:val="20"/>
          <w:szCs w:val="20"/>
          <w:color w:val="auto"/>
        </w:rPr>
      </w:pPr>
    </w:p>
    <w:p>
      <w:pPr>
        <w:ind w:left="120" w:right="7620" w:hanging="4"/>
        <w:spacing w:after="0" w:line="372" w:lineRule="auto"/>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these lease agreements include free rent periods and annual rent increases. Accordingly, the Company recorded a deferred rent liability related to the free rent periods and periodic rent increases. Rent expense is recognized on a straight-line basis over the term of the lease.</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January 2019, the Company entered into a lease agreement for 6,932 square feet office space in Deerfield, Illinois. The term of the lease commenced on January 29, 2019 and continues until February 28, 2025. The Company has the option to extend the lease for an additional five-year term at market-based rates. The base rent payments commenced in November 2019 and are subject to increases over the 68 month term of the lease. The Company is also obligated to pay its portion of building operating and tax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for noncancelable operating leases as of December 31, 2020, are as follows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r>
      <w:tr>
        <w:trPr>
          <w:trHeight w:val="209"/>
        </w:trPr>
        <w:tc>
          <w:tcPr>
            <w:tcW w:w="10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years ended December 31, 2019 and 2020, was $2.2 million and $2.3 million,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of December 31, 2020, the Company was not subject to any currently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2019 and 2020.</w:t>
      </w:r>
    </w:p>
    <w:p>
      <w:pPr>
        <w:spacing w:after="0" w:line="329"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6"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940"/>
        <w:spacing w:after="0" w:line="246" w:lineRule="auto"/>
        <w:rPr>
          <w:sz w:val="20"/>
          <w:szCs w:val="20"/>
          <w:color w:val="auto"/>
        </w:rPr>
      </w:pPr>
      <w:r>
        <w:rPr>
          <w:rFonts w:ascii="Arial" w:cs="Arial" w:eastAsia="Arial" w:hAnsi="Arial"/>
          <w:sz w:val="18"/>
          <w:szCs w:val="18"/>
          <w:color w:val="auto"/>
        </w:rPr>
        <w:t>Company made contributions of $0.4 million and $0.5 million to the plan during the years ended December 31, 2019 and 2020, respectively.</w:t>
      </w:r>
    </w:p>
    <w:p>
      <w:pPr>
        <w:spacing w:after="0" w:line="283" w:lineRule="exact"/>
        <w:rPr>
          <w:sz w:val="20"/>
          <w:szCs w:val="20"/>
          <w:color w:val="auto"/>
        </w:rPr>
      </w:pPr>
    </w:p>
    <w:p>
      <w:pPr>
        <w:ind w:left="560" w:hanging="444"/>
        <w:spacing w:after="0"/>
        <w:tabs>
          <w:tab w:leader="none" w:pos="5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Company has evaluated subsequent events through March 11, 2021, the date on which these consolidated financial statements were available for issuance, and with respect to the stock split described below, through May 14,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25, 2021, the Company sold 2,571,936 shares of Series F redeemable convertible preferred stock at a price of</w:t>
      </w:r>
    </w:p>
    <w:p>
      <w:pPr>
        <w:ind w:left="120"/>
        <w:spacing w:after="0" w:line="234" w:lineRule="auto"/>
        <w:rPr>
          <w:sz w:val="20"/>
          <w:szCs w:val="20"/>
          <w:color w:val="auto"/>
        </w:rPr>
      </w:pPr>
      <w:r>
        <w:rPr>
          <w:rFonts w:ascii="Arial" w:cs="Arial" w:eastAsia="Arial" w:hAnsi="Arial"/>
          <w:sz w:val="18"/>
          <w:szCs w:val="18"/>
          <w:color w:val="auto"/>
        </w:rPr>
        <w:t>$23.32873 per share for total gross proceeds of $60.0 million and net proceeds of $59.7 million. The terms of the Series F redeemable</w:t>
      </w:r>
    </w:p>
    <w:p>
      <w:pPr>
        <w:ind w:left="120"/>
        <w:spacing w:after="0" w:line="235" w:lineRule="auto"/>
        <w:rPr>
          <w:sz w:val="20"/>
          <w:szCs w:val="20"/>
          <w:color w:val="auto"/>
        </w:rPr>
      </w:pPr>
      <w:r>
        <w:rPr>
          <w:rFonts w:ascii="Arial" w:cs="Arial" w:eastAsia="Arial" w:hAnsi="Arial"/>
          <w:sz w:val="18"/>
          <w:szCs w:val="18"/>
          <w:color w:val="auto"/>
        </w:rPr>
        <w:t>convertible preferred stock are generally consistent with the terms of the existing series of redeemable convertible preferred stock.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F redeemable convertible preferred stock has a liquidation price per share equal to the original issue price per share.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sale of the Series F redeemable convertible preferred stock, the Company amended its certificate of</w:t>
      </w:r>
    </w:p>
    <w:p>
      <w:pPr>
        <w:ind w:left="120"/>
        <w:spacing w:after="0" w:line="234" w:lineRule="auto"/>
        <w:rPr>
          <w:sz w:val="20"/>
          <w:szCs w:val="20"/>
          <w:color w:val="auto"/>
        </w:rPr>
      </w:pPr>
      <w:r>
        <w:rPr>
          <w:rFonts w:ascii="Arial" w:cs="Arial" w:eastAsia="Arial" w:hAnsi="Arial"/>
          <w:sz w:val="18"/>
          <w:szCs w:val="18"/>
          <w:color w:val="auto"/>
        </w:rPr>
        <w:t>incorporation to increase the shares authorized for issuance to 145,500,000 shares of Class A common stock, 9,070,395 shares of</w:t>
      </w:r>
    </w:p>
    <w:p>
      <w:pPr>
        <w:ind w:left="120"/>
        <w:spacing w:after="0" w:line="235" w:lineRule="auto"/>
        <w:rPr>
          <w:sz w:val="20"/>
          <w:szCs w:val="20"/>
          <w:color w:val="auto"/>
        </w:rPr>
      </w:pPr>
      <w:r>
        <w:rPr>
          <w:rFonts w:ascii="Arial" w:cs="Arial" w:eastAsia="Arial" w:hAnsi="Arial"/>
          <w:sz w:val="18"/>
          <w:szCs w:val="18"/>
          <w:color w:val="auto"/>
        </w:rPr>
        <w:t>Class B common stock and 81,682,587 shares of Preferred Stock with a par value of $.0001 per share. The certificate of incorporation, as</w:t>
      </w:r>
    </w:p>
    <w:p>
      <w:pPr>
        <w:ind w:left="120"/>
        <w:spacing w:after="0" w:line="235" w:lineRule="auto"/>
        <w:rPr>
          <w:sz w:val="20"/>
          <w:szCs w:val="20"/>
          <w:color w:val="auto"/>
        </w:rPr>
      </w:pPr>
      <w:r>
        <w:rPr>
          <w:rFonts w:ascii="Arial" w:cs="Arial" w:eastAsia="Arial" w:hAnsi="Arial"/>
          <w:sz w:val="18"/>
          <w:szCs w:val="18"/>
          <w:color w:val="auto"/>
        </w:rPr>
        <w:t>amended, adjusted common stock reserved for future issuance upon the exercise of stock options under the 2018 Plan to a total of</w:t>
      </w:r>
    </w:p>
    <w:p>
      <w:pPr>
        <w:ind w:left="120"/>
        <w:spacing w:after="0"/>
        <w:rPr>
          <w:sz w:val="20"/>
          <w:szCs w:val="20"/>
          <w:color w:val="auto"/>
        </w:rPr>
      </w:pPr>
      <w:r>
        <w:rPr>
          <w:rFonts w:ascii="Arial" w:cs="Arial" w:eastAsia="Arial" w:hAnsi="Arial"/>
          <w:sz w:val="18"/>
          <w:szCs w:val="18"/>
          <w:color w:val="auto"/>
        </w:rPr>
        <w:t>32,000,364.</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On May 14, 2021, the Company effected a three-for-one stock split of its issued and outstanding shares of common stock and issued and outstanding shares of Preferred Stock. Accordingly, all share and per share amounts for all periods presented in the accompanying consolidated financial statements and notes thereto have been adjusted retroactively, where applicable, to reflect this stock split.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26"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April 2021, certain of the Company’s existing investors conducted a tender offer whereby certain shareholders and employees were offered an opportunity to tender their equity holdings to such investors. The total number of shares tendered were 1,655,670 at an average price of $20.40 per share.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5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83"/>
        </w:trPr>
        <w:tc>
          <w:tcPr>
            <w:tcW w:w="85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104,052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146,313</w:t>
            </w: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$481 and $201, respectively</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11,573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11,470</w:t>
            </w: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9,139</w:t>
            </w:r>
          </w:p>
        </w:tc>
      </w:tr>
      <w:tr>
        <w:trPr>
          <w:trHeight w:val="209"/>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6,846</w:t>
            </w:r>
          </w:p>
        </w:tc>
        <w:tc>
          <w:tcPr>
            <w:tcW w:w="60" w:type="dxa"/>
            <w:vAlign w:val="bottom"/>
          </w:tcPr>
          <w:p>
            <w:pPr>
              <w:spacing w:after="0"/>
              <w:rPr>
                <w:sz w:val="18"/>
                <w:szCs w:val="18"/>
                <w:color w:val="auto"/>
              </w:rPr>
            </w:pPr>
          </w:p>
        </w:tc>
      </w:tr>
      <w:tr>
        <w:trPr>
          <w:trHeight w:val="203"/>
        </w:trPr>
        <w:tc>
          <w:tcPr>
            <w:tcW w:w="85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148,558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179,386</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6,084</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68,211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66,578</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44,650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44,618</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5,655</w:t>
            </w:r>
          </w:p>
        </w:tc>
        <w:tc>
          <w:tcPr>
            <w:tcW w:w="60" w:type="dxa"/>
            <w:vAlign w:val="bottom"/>
            <w:shd w:val="clear" w:color="auto" w:fill="CCEEFF"/>
          </w:tcPr>
          <w:p>
            <w:pPr>
              <w:spacing w:after="0"/>
              <w:rPr>
                <w:sz w:val="17"/>
                <w:szCs w:val="17"/>
                <w:color w:val="auto"/>
              </w:rPr>
            </w:pPr>
          </w:p>
        </w:tc>
      </w:tr>
      <w:tr>
        <w:trPr>
          <w:trHeight w:val="209"/>
        </w:trPr>
        <w:tc>
          <w:tcPr>
            <w:tcW w:w="854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271,442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302,321</w:t>
            </w:r>
          </w:p>
        </w:tc>
      </w:tr>
      <w:tr>
        <w:trPr>
          <w:trHeight w:val="20"/>
        </w:trPr>
        <w:tc>
          <w:tcPr>
            <w:tcW w:w="8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54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5,436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9,069</w:t>
            </w: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59,986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31,863</w:t>
            </w: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14,991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12,604</w:t>
            </w: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884</w:t>
            </w:r>
          </w:p>
        </w:tc>
      </w:tr>
      <w:tr>
        <w:trPr>
          <w:trHeight w:val="203"/>
        </w:trPr>
        <w:tc>
          <w:tcPr>
            <w:tcW w:w="8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5,465</w:t>
            </w:r>
          </w:p>
        </w:tc>
        <w:tc>
          <w:tcPr>
            <w:tcW w:w="60" w:type="dxa"/>
            <w:vAlign w:val="bottom"/>
            <w:shd w:val="clear" w:color="auto" w:fill="CCEEFF"/>
          </w:tcPr>
          <w:p>
            <w:pPr>
              <w:spacing w:after="0"/>
              <w:rPr>
                <w:sz w:val="17"/>
                <w:szCs w:val="17"/>
                <w:color w:val="auto"/>
              </w:rPr>
            </w:pPr>
          </w:p>
        </w:tc>
      </w:tr>
      <w:tr>
        <w:trPr>
          <w:trHeight w:val="210"/>
        </w:trPr>
        <w:tc>
          <w:tcPr>
            <w:tcW w:w="854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59,885</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483</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24,352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24,402</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2,065</w:t>
            </w:r>
          </w:p>
        </w:tc>
        <w:tc>
          <w:tcPr>
            <w:tcW w:w="60" w:type="dxa"/>
            <w:vAlign w:val="bottom"/>
            <w:shd w:val="clear" w:color="auto" w:fill="CCEEFF"/>
          </w:tcPr>
          <w:p>
            <w:pPr>
              <w:spacing w:after="0"/>
              <w:rPr>
                <w:sz w:val="17"/>
                <w:szCs w:val="17"/>
                <w:color w:val="auto"/>
              </w:rPr>
            </w:pPr>
          </w:p>
        </w:tc>
      </w:tr>
      <w:tr>
        <w:trPr>
          <w:trHeight w:val="216"/>
        </w:trPr>
        <w:tc>
          <w:tcPr>
            <w:tcW w:w="854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123,034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89,721</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54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62,915,394 shares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540" w:type="dxa"/>
            <w:vAlign w:val="bottom"/>
          </w:tcPr>
          <w:p>
            <w:pPr>
              <w:ind w:left="180"/>
              <w:spacing w:after="0" w:line="202" w:lineRule="exact"/>
              <w:rPr>
                <w:sz w:val="20"/>
                <w:szCs w:val="20"/>
                <w:color w:val="auto"/>
              </w:rPr>
            </w:pPr>
            <w:r>
              <w:rPr>
                <w:rFonts w:ascii="Arial" w:cs="Arial" w:eastAsia="Arial" w:hAnsi="Arial"/>
                <w:sz w:val="18"/>
                <w:szCs w:val="18"/>
                <w:color w:val="auto"/>
              </w:rPr>
              <w:t>authorized at December 31, 2020 and March 31, 2021; 54,208,461 shares issued and outstanding at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540" w:type="dxa"/>
            <w:vAlign w:val="bottom"/>
          </w:tcPr>
          <w:p>
            <w:pPr>
              <w:ind w:left="180"/>
              <w:spacing w:after="0" w:line="203" w:lineRule="exact"/>
              <w:rPr>
                <w:sz w:val="20"/>
                <w:szCs w:val="20"/>
                <w:color w:val="auto"/>
              </w:rPr>
            </w:pPr>
            <w:r>
              <w:rPr>
                <w:rFonts w:ascii="Arial" w:cs="Arial" w:eastAsia="Arial" w:hAnsi="Arial"/>
                <w:sz w:val="18"/>
                <w:szCs w:val="18"/>
                <w:color w:val="auto"/>
              </w:rPr>
              <w:t>December 31, 2020 and March 31, 2021; liquidation preference of $110,716 as of March 31, 2021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110,401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8"/>
              </w:rPr>
              <w:t>110,401</w:t>
            </w:r>
          </w:p>
        </w:tc>
      </w:tr>
      <w:tr>
        <w:trPr>
          <w:trHeight w:val="202"/>
        </w:trPr>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(Series E-1, E-2, F-1 and F-2), $0.0001 par value; 16,023,132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at December 31, 2020 and 18,767,193 shares authorized at March 31, 2021;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11,239,920 shares issued and outstanding at December 31, 2020 and 13,811,856 shares issued and</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5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outstanding at March 31, 2021; liquidation preference of $210,000 at March 31, 2021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119,769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8"/>
              </w:rPr>
              <w:t>179,509</w:t>
            </w:r>
          </w:p>
        </w:tc>
      </w:tr>
      <w:tr>
        <w:trPr>
          <w:trHeight w:val="372"/>
        </w:trPr>
        <w:tc>
          <w:tcPr>
            <w:tcW w:w="8540" w:type="dxa"/>
            <w:vAlign w:val="bottom"/>
          </w:tcPr>
          <w:p>
            <w:pPr>
              <w:ind w:left="5320"/>
              <w:spacing w:after="0"/>
              <w:rPr>
                <w:sz w:val="20"/>
                <w:szCs w:val="20"/>
                <w:color w:val="auto"/>
              </w:rPr>
            </w:pPr>
            <w:r>
              <w:rPr>
                <w:rFonts w:ascii="Arial" w:cs="Arial" w:eastAsia="Arial" w:hAnsi="Arial"/>
                <w:sz w:val="18"/>
                <w:szCs w:val="18"/>
                <w:color w:val="auto"/>
              </w:rPr>
              <w:t>F-51</w:t>
            </w: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6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83"/>
        </w:trPr>
        <w:tc>
          <w:tcPr>
            <w:tcW w:w="8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868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146,898,270 shares authorized, 22,240,872 shares issued and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tcPr>
          <w:p>
            <w:pPr>
              <w:ind w:left="540"/>
              <w:spacing w:after="0" w:line="202" w:lineRule="exact"/>
              <w:rPr>
                <w:sz w:val="20"/>
                <w:szCs w:val="20"/>
                <w:color w:val="auto"/>
              </w:rPr>
            </w:pPr>
            <w:r>
              <w:rPr>
                <w:rFonts w:ascii="Arial" w:cs="Arial" w:eastAsia="Arial" w:hAnsi="Arial"/>
                <w:sz w:val="18"/>
                <w:szCs w:val="18"/>
                <w:color w:val="auto"/>
              </w:rPr>
              <w:t>19,923,150 shares outstanding as of December 31, 2020; 154,570,395 shares authorized,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tcPr>
          <w:p>
            <w:pPr>
              <w:ind w:left="540"/>
              <w:spacing w:after="0" w:line="203" w:lineRule="exact"/>
              <w:rPr>
                <w:sz w:val="20"/>
                <w:szCs w:val="20"/>
                <w:color w:val="auto"/>
              </w:rPr>
            </w:pPr>
            <w:r>
              <w:rPr>
                <w:rFonts w:ascii="Arial" w:cs="Arial" w:eastAsia="Arial" w:hAnsi="Arial"/>
                <w:sz w:val="18"/>
                <w:szCs w:val="18"/>
                <w:color w:val="auto"/>
              </w:rPr>
              <w:t>25,397,964 shares issued and 23,080,242 shares outstanding as of March 31, 2021</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2,317,722 shares as of December 31, 2020 and March 31, 2021, held at cost</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(748)</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16,970</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29,734</w:t>
            </w: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(214)</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3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(97,772)</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(106,424)</w:t>
            </w:r>
          </w:p>
        </w:tc>
      </w:tr>
      <w:tr>
        <w:trPr>
          <w:trHeight w:val="27"/>
        </w:trPr>
        <w:tc>
          <w:tcPr>
            <w:tcW w:w="8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(81,762)</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(77,310)</w:t>
            </w:r>
          </w:p>
        </w:tc>
      </w:tr>
      <w:tr>
        <w:trPr>
          <w:trHeight w:val="209"/>
        </w:trPr>
        <w:tc>
          <w:tcPr>
            <w:tcW w:w="868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68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  271,442</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$ 302,321</w:t>
            </w:r>
          </w:p>
        </w:tc>
      </w:tr>
      <w:tr>
        <w:trPr>
          <w:trHeight w:val="20"/>
        </w:trPr>
        <w:tc>
          <w:tcPr>
            <w:tcW w:w="8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32,709</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44,991</w:t>
            </w:r>
          </w:p>
        </w:tc>
        <w:tc>
          <w:tcPr>
            <w:tcW w:w="120" w:type="dxa"/>
            <w:vAlign w:val="bottom"/>
            <w:shd w:val="clear" w:color="auto" w:fill="CCEEFF"/>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11,609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16,091</w:t>
            </w: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tcPr>
          <w:p>
            <w:pPr>
              <w:spacing w:after="0"/>
              <w:rPr>
                <w:sz w:val="17"/>
                <w:szCs w:val="17"/>
                <w:color w:val="auto"/>
              </w:rPr>
            </w:pP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5,348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7,522</w:t>
            </w: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11,931</w:t>
            </w: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10,265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15,914</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35,799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51,458</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(6,467)</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(597)</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(621)</w:t>
            </w: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(954)</w:t>
            </w: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(411)</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(1,986)</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(8,453)</w:t>
            </w: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(7,681)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(8,652)</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339</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(8,313)</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common stockholders -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(8,657)</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14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basic</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720"/>
              <w:spacing w:after="0" w:line="196" w:lineRule="exact"/>
              <w:rPr>
                <w:sz w:val="20"/>
                <w:szCs w:val="20"/>
                <w:color w:val="auto"/>
              </w:rPr>
            </w:pPr>
            <w:r>
              <w:rPr>
                <w:rFonts w:ascii="Arial" w:cs="Arial" w:eastAsia="Arial" w:hAnsi="Arial"/>
                <w:sz w:val="18"/>
                <w:szCs w:val="18"/>
                <w:color w:val="auto"/>
              </w:rPr>
              <w:t>0.04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(0.41)</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(0.41)</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4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620" w:type="dxa"/>
            <w:vAlign w:val="bottom"/>
            <w:gridSpan w:val="2"/>
          </w:tcPr>
          <w:p>
            <w:pPr>
              <w:jc w:val="right"/>
              <w:ind w:right="720"/>
              <w:spacing w:after="0" w:line="196" w:lineRule="exact"/>
              <w:rPr>
                <w:sz w:val="20"/>
                <w:szCs w:val="20"/>
                <w:color w:val="auto"/>
              </w:rPr>
            </w:pPr>
            <w:r>
              <w:rPr>
                <w:rFonts w:ascii="Arial" w:cs="Arial" w:eastAsia="Arial" w:hAnsi="Arial"/>
                <w:sz w:val="18"/>
                <w:szCs w:val="18"/>
                <w:color w:val="auto"/>
                <w:w w:val="97"/>
              </w:rPr>
              <w:t>17,513,319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21,100,077</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w w:val="97"/>
              </w:rPr>
              <w:t>27,249,072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21,100,077</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 CONDENSED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6"/>
              </w:rPr>
              <w:t>Accumu</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800" w:type="dxa"/>
            <w:vAlign w:val="bottom"/>
          </w:tcPr>
          <w:p>
            <w:pPr>
              <w:spacing w:after="0"/>
              <w:rPr>
                <w:sz w:val="3"/>
                <w:szCs w:val="3"/>
                <w:color w:val="auto"/>
              </w:rPr>
            </w:pPr>
          </w:p>
        </w:tc>
        <w:tc>
          <w:tcPr>
            <w:tcW w:w="1620" w:type="dxa"/>
            <w:vAlign w:val="bottom"/>
            <w:gridSpan w:val="5"/>
            <w:vMerge w:val="restart"/>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1600" w:type="dxa"/>
            <w:vAlign w:val="bottom"/>
            <w:tcBorders>
              <w:right w:val="single" w:sz="8" w:color="auto"/>
            </w:tcBorders>
            <w:gridSpan w:val="6"/>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60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Compre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1"/>
        </w:trPr>
        <w:tc>
          <w:tcPr>
            <w:tcW w:w="1800" w:type="dxa"/>
            <w:vAlign w:val="bottom"/>
          </w:tcPr>
          <w:p>
            <w:pPr>
              <w:spacing w:after="0"/>
              <w:rPr>
                <w:sz w:val="3"/>
                <w:szCs w:val="3"/>
                <w:color w:val="auto"/>
              </w:rPr>
            </w:pPr>
          </w:p>
        </w:tc>
        <w:tc>
          <w:tcPr>
            <w:tcW w:w="1460" w:type="dxa"/>
            <w:vAlign w:val="bottom"/>
            <w:gridSpan w:val="4"/>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60" w:type="dxa"/>
            <w:vAlign w:val="bottom"/>
          </w:tcPr>
          <w:p>
            <w:pPr>
              <w:spacing w:after="0"/>
              <w:rPr>
                <w:sz w:val="3"/>
                <w:szCs w:val="3"/>
                <w:color w:val="auto"/>
              </w:rPr>
            </w:pPr>
          </w:p>
        </w:tc>
        <w:tc>
          <w:tcPr>
            <w:tcW w:w="148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3"/>
            <w:vMerge w:val="restart"/>
          </w:tcPr>
          <w:p>
            <w:pPr>
              <w:jc w:val="right"/>
              <w:spacing w:after="0" w:line="117" w:lineRule="exact"/>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4"/>
            <w:vMerge w:val="restart"/>
          </w:tcPr>
          <w:p>
            <w:pPr>
              <w:ind w:left="280"/>
              <w:spacing w:after="0" w:line="117" w:lineRule="exact"/>
              <w:rPr>
                <w:sz w:val="20"/>
                <w:szCs w:val="20"/>
                <w:color w:val="auto"/>
              </w:rPr>
            </w:pPr>
            <w:r>
              <w:rPr>
                <w:rFonts w:ascii="Arial" w:cs="Arial" w:eastAsia="Arial" w:hAnsi="Arial"/>
                <w:sz w:val="11"/>
                <w:szCs w:val="11"/>
                <w:b w:val="1"/>
                <w:bCs w:val="1"/>
                <w:color w:val="auto"/>
                <w:w w:val="98"/>
              </w:rPr>
              <w:t>Treasury Stock</w:t>
            </w: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80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Additional</w:t>
            </w:r>
          </w:p>
        </w:tc>
        <w:tc>
          <w:tcPr>
            <w:tcW w:w="6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hensive</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Accumu</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29"/>
        </w:trPr>
        <w:tc>
          <w:tcPr>
            <w:tcW w:w="1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2020</w:t>
            </w:r>
          </w:p>
        </w:tc>
        <w:tc>
          <w:tcPr>
            <w:tcW w:w="74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5"/>
              </w:rPr>
              <w:t>54,208,461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$ 110,401</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20,494,146</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140"/>
              <w:spacing w:after="0" w:line="129" w:lineRule="exact"/>
              <w:rPr>
                <w:sz w:val="20"/>
                <w:szCs w:val="20"/>
                <w:color w:val="auto"/>
              </w:rPr>
            </w:pPr>
            <w:r>
              <w:rPr>
                <w:rFonts w:ascii="Arial" w:cs="Arial" w:eastAsia="Arial" w:hAnsi="Arial"/>
                <w:sz w:val="13"/>
                <w:szCs w:val="13"/>
                <w:color w:val="auto"/>
                <w:w w:val="87"/>
              </w:rPr>
              <w:t>(2,317,722)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12,031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(86,665)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(75,278)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options</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1,344,981</w:t>
            </w:r>
          </w:p>
        </w:tc>
        <w:tc>
          <w:tcPr>
            <w:tcW w:w="240" w:type="dxa"/>
            <w:vAlign w:val="bottom"/>
          </w:tcPr>
          <w:p>
            <w:pPr>
              <w:spacing w:after="0"/>
              <w:rPr>
                <w:sz w:val="12"/>
                <w:szCs w:val="12"/>
                <w:color w:val="auto"/>
              </w:rPr>
            </w:pPr>
          </w:p>
        </w:tc>
        <w:tc>
          <w:tcPr>
            <w:tcW w:w="3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w:t>
            </w: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503</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redeemable convertible</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preferred stock, net of</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11,239,920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119,755</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Accretion of redeemable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convertible preferred stock</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Forfeiture of unvested</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restricted stock awards</w:t>
            </w:r>
          </w:p>
        </w:tc>
        <w:tc>
          <w:tcPr>
            <w:tcW w:w="80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(7,092)</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adjustment</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8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expense</w:t>
            </w:r>
          </w:p>
        </w:tc>
        <w:tc>
          <w:tcPr>
            <w:tcW w:w="80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835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4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3,700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March 31, 2020</w:t>
            </w:r>
          </w:p>
        </w:tc>
        <w:tc>
          <w:tcPr>
            <w:tcW w:w="7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5"/>
              </w:rPr>
              <w:t>54,208,461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rPr>
              <w:t>$ 110,401</w:t>
            </w: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11,239,920</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119,757</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21,832,035</w:t>
            </w:r>
          </w:p>
        </w:tc>
        <w:tc>
          <w:tcPr>
            <w:tcW w:w="240" w:type="dxa"/>
            <w:vAlign w:val="bottom"/>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99"/>
              </w:rPr>
              <w:t>(2,317,722)</w:t>
            </w:r>
          </w:p>
        </w:tc>
        <w:tc>
          <w:tcPr>
            <w:tcW w:w="2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(748)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13,367</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(82,965)</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(70,341)</w:t>
            </w:r>
          </w:p>
        </w:tc>
        <w:tc>
          <w:tcPr>
            <w:tcW w:w="0" w:type="dxa"/>
            <w:vAlign w:val="bottom"/>
          </w:tcPr>
          <w:p>
            <w:pPr>
              <w:spacing w:after="0"/>
              <w:rPr>
                <w:sz w:val="1"/>
                <w:szCs w:val="1"/>
                <w:color w:val="auto"/>
              </w:rPr>
            </w:pPr>
          </w:p>
        </w:tc>
      </w:tr>
      <w:tr>
        <w:trPr>
          <w:trHeight w:val="329"/>
        </w:trPr>
        <w:tc>
          <w:tcPr>
            <w:tcW w:w="18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Accumu</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1620" w:type="dxa"/>
            <w:vAlign w:val="bottom"/>
            <w:gridSpan w:val="5"/>
            <w:vMerge w:val="restart"/>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1600" w:type="dxa"/>
            <w:vAlign w:val="bottom"/>
            <w:tcBorders>
              <w:right w:val="single" w:sz="8" w:color="auto"/>
            </w:tcBorders>
            <w:gridSpan w:val="6"/>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60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Compre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1460" w:type="dxa"/>
            <w:vAlign w:val="bottom"/>
            <w:gridSpan w:val="4"/>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60" w:type="dxa"/>
            <w:vAlign w:val="bottom"/>
          </w:tcPr>
          <w:p>
            <w:pPr>
              <w:spacing w:after="0"/>
              <w:rPr>
                <w:sz w:val="3"/>
                <w:szCs w:val="3"/>
                <w:color w:val="auto"/>
              </w:rPr>
            </w:pPr>
          </w:p>
        </w:tc>
        <w:tc>
          <w:tcPr>
            <w:tcW w:w="148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3"/>
            <w:vMerge w:val="restart"/>
          </w:tcPr>
          <w:p>
            <w:pPr>
              <w:jc w:val="right"/>
              <w:spacing w:after="0" w:line="117" w:lineRule="exact"/>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4"/>
            <w:vMerge w:val="restart"/>
          </w:tcPr>
          <w:p>
            <w:pPr>
              <w:ind w:left="280"/>
              <w:spacing w:after="0" w:line="117" w:lineRule="exact"/>
              <w:rPr>
                <w:sz w:val="20"/>
                <w:szCs w:val="20"/>
                <w:color w:val="auto"/>
              </w:rPr>
            </w:pPr>
            <w:r>
              <w:rPr>
                <w:rFonts w:ascii="Arial" w:cs="Arial" w:eastAsia="Arial" w:hAnsi="Arial"/>
                <w:sz w:val="11"/>
                <w:szCs w:val="11"/>
                <w:b w:val="1"/>
                <w:bCs w:val="1"/>
                <w:color w:val="auto"/>
                <w:w w:val="98"/>
              </w:rPr>
              <w:t>Treasury Stock</w:t>
            </w: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80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Additional</w:t>
            </w:r>
          </w:p>
        </w:tc>
        <w:tc>
          <w:tcPr>
            <w:tcW w:w="6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hensive</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Accumu</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2021</w:t>
            </w:r>
          </w:p>
        </w:tc>
        <w:tc>
          <w:tcPr>
            <w:tcW w:w="74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5"/>
              </w:rPr>
              <w:t>54,208,461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$ 110,401</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11,239,920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119,769</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22,240,872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140"/>
              <w:spacing w:after="0" w:line="129" w:lineRule="exact"/>
              <w:rPr>
                <w:sz w:val="20"/>
                <w:szCs w:val="20"/>
                <w:color w:val="auto"/>
              </w:rPr>
            </w:pPr>
            <w:r>
              <w:rPr>
                <w:rFonts w:ascii="Arial" w:cs="Arial" w:eastAsia="Arial" w:hAnsi="Arial"/>
                <w:sz w:val="13"/>
                <w:szCs w:val="13"/>
                <w:color w:val="auto"/>
                <w:w w:val="87"/>
              </w:rPr>
              <w:t>(2,317,722)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16,971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(97,772)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(81,762)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options</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3,005,574</w:t>
            </w:r>
          </w:p>
        </w:tc>
        <w:tc>
          <w:tcPr>
            <w:tcW w:w="240" w:type="dxa"/>
            <w:vAlign w:val="bottom"/>
          </w:tcPr>
          <w:p>
            <w:pPr>
              <w:spacing w:after="0"/>
              <w:rPr>
                <w:sz w:val="12"/>
                <w:szCs w:val="12"/>
                <w:color w:val="auto"/>
              </w:rPr>
            </w:pPr>
          </w:p>
        </w:tc>
        <w:tc>
          <w:tcPr>
            <w:tcW w:w="24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2,404</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2,405</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F-1</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redeemable convertible</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preferred stock, net of</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$265</w:t>
            </w:r>
          </w:p>
        </w:tc>
        <w:tc>
          <w:tcPr>
            <w:tcW w:w="80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2,571,936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59,735</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Exercise of common 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warrants</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151,518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 *</w:t>
            </w: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Accretion of redeemable</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convertible preferred stock</w:t>
            </w:r>
          </w:p>
        </w:tc>
        <w:tc>
          <w:tcPr>
            <w:tcW w:w="80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20"/>
              <w:spacing w:after="0" w:line="141" w:lineRule="exact"/>
              <w:rPr>
                <w:sz w:val="20"/>
                <w:szCs w:val="20"/>
                <w:color w:val="auto"/>
              </w:rPr>
            </w:pPr>
            <w:r>
              <w:rPr>
                <w:rFonts w:ascii="Arial" w:cs="Arial" w:eastAsia="Arial" w:hAnsi="Arial"/>
                <w:sz w:val="13"/>
                <w:szCs w:val="13"/>
                <w:color w:val="auto"/>
              </w:rPr>
              <w:t>adjustment</w:t>
            </w:r>
          </w:p>
        </w:tc>
        <w:tc>
          <w:tcPr>
            <w:tcW w:w="80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8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expense</w:t>
            </w:r>
          </w:p>
        </w:tc>
        <w:tc>
          <w:tcPr>
            <w:tcW w:w="80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4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10,364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10,364</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(8,652)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(8,652)</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March 31, 2021</w:t>
            </w:r>
          </w:p>
        </w:tc>
        <w:tc>
          <w:tcPr>
            <w:tcW w:w="7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5"/>
              </w:rPr>
              <w:t>54,208,461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rPr>
              <w:t>$ 110,401</w:t>
            </w: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13,811,856</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179,509</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25,397,964</w:t>
            </w:r>
          </w:p>
        </w:tc>
        <w:tc>
          <w:tcPr>
            <w:tcW w:w="240" w:type="dxa"/>
            <w:vAlign w:val="bottom"/>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99"/>
              </w:rPr>
              <w:t>(2,317,722)</w:t>
            </w:r>
          </w:p>
        </w:tc>
        <w:tc>
          <w:tcPr>
            <w:tcW w:w="2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(748)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29,734</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(106,424)</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(77,310)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3"/>
        </w:trPr>
        <w:tc>
          <w:tcPr>
            <w:tcW w:w="83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3,700</w:t>
            </w:r>
          </w:p>
        </w:tc>
        <w:tc>
          <w:tcPr>
            <w:tcW w:w="6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(8,652)</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1,516</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2,131</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835</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10,364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(300)</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(8,555)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(2,062)</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1,011</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10,120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13,342</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(51,212)</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(28,123)</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(922)</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(693)</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(511)</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(257)</w:t>
            </w: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(47,136)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(14,792)</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(79,401)</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(79,934)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 related to initial public offering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w:t>
            </w:r>
          </w:p>
        </w:tc>
      </w:tr>
      <w:tr>
        <w:trPr>
          <w:trHeight w:val="202"/>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119,755</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59,735</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(1,307)</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(3,800)</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7"/>
                <w:szCs w:val="17"/>
                <w:color w:val="auto"/>
              </w:rPr>
            </w:pPr>
          </w:p>
        </w:tc>
      </w:tr>
      <w:tr>
        <w:trPr>
          <w:trHeight w:val="217"/>
        </w:trPr>
        <w:tc>
          <w:tcPr>
            <w:tcW w:w="8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116,869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58,178</w:t>
            </w: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348</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(10,538)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42,261</w:t>
            </w: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beginning of period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86,027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109,052</w:t>
            </w:r>
          </w:p>
        </w:tc>
      </w:tr>
      <w:tr>
        <w:trPr>
          <w:trHeight w:val="209"/>
        </w:trPr>
        <w:tc>
          <w:tcPr>
            <w:tcW w:w="83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75,489</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151,313</w:t>
            </w:r>
          </w:p>
        </w:tc>
        <w:tc>
          <w:tcPr>
            <w:tcW w:w="12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8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3"/>
        </w:trPr>
        <w:tc>
          <w:tcPr>
            <w:tcW w:w="7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527</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531</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Purchase of property and equipment in accounts payable</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related to initial public offering included in accounts payable, accrued</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expenses and other current liabilities</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2,149</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75,489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146,313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w:t>
            </w:r>
          </w:p>
        </w:tc>
      </w:tr>
      <w:tr>
        <w:trPr>
          <w:trHeight w:val="27"/>
        </w:trPr>
        <w:tc>
          <w:tcPr>
            <w:tcW w:w="7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Cash, cash equivalents and restricted cash</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75,489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151,313</w:t>
            </w:r>
          </w:p>
        </w:tc>
      </w:tr>
      <w:tr>
        <w:trPr>
          <w:trHeight w:val="20"/>
        </w:trPr>
        <w:tc>
          <w:tcPr>
            <w:tcW w:w="7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(“GAAP”) regarding interim financial reporting and include the accounts of the Company and its wholly owned subsidiaries. Certain information and note disclosures normally included in the consolidated financial statements prepared in accordance with GAAP have been condensed or omitted. Therefore, these condensed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consolidated financial statements should be read in conjunction with the consolidated financial statements and notes included in the Company’s audited consolidated financial statements for the year ended December 31, 2020. Intercompany accounts and transactions have been eliminated upon consolidation.</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accompanying condensed consolidated balance sheet as of March 31, 2021, the condensed consolidated statements of operations and comprehensive loss for the three months ended March 31, 2020 and 2021, the condensed consolidated statements of convertible preferred stock, redeemable convertible preferred stock and stockholders’ deficit for the three months ended March 31, 2020 and 2021 and the condensed consolidated statements of cash flows for the three months ended March 31, 2020 and 2021, are unaudited.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2020 and 2021. The financial data and other information disclosed in these notes related to the three months ended March 31, 2020 and 2021 and as of March 31, 2021, are also unaudited. The accompanying consolidated balance sheet as of December 31, 2020 was derived from the Company’s audited consolidated financial statements for the year ended December 31, 2020. The results for the three months ended March 31, 2021, are not necessarily indicative of results to be expected for the year ended December 31, 2021, any other interim periods or any future year or period.</w:t>
      </w:r>
    </w:p>
    <w:p>
      <w:pPr>
        <w:spacing w:after="0" w:line="330"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customers and maintains allowances, to the extent necessary, for potential credit losses based upon the aging of its accounts receivable balances and known collection issues. The Company has not experienced any material credit losses for the three months ended March 31, 2020 and 2021.</w:t>
      </w:r>
    </w:p>
    <w:p>
      <w:pPr>
        <w:spacing w:after="0" w:line="205"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Accounts receivable are derived from revenue earned from customers located in the U.S. and internationally. Significant customers are those that represent 10% or more of accounts receivable, net as set forth in the following table: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40" w:type="dxa"/>
            <w:vAlign w:val="bottom"/>
          </w:tcPr>
          <w:p>
            <w:pPr>
              <w:spacing w:after="0"/>
              <w:rPr>
                <w:sz w:val="18"/>
                <w:szCs w:val="18"/>
                <w:color w:val="auto"/>
              </w:rPr>
            </w:pPr>
          </w:p>
        </w:tc>
        <w:tc>
          <w:tcPr>
            <w:tcW w:w="24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r>
      <w:tr>
        <w:trPr>
          <w:trHeight w:val="225"/>
        </w:trPr>
        <w:tc>
          <w:tcPr>
            <w:tcW w:w="75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Customer A</w:t>
            </w:r>
          </w:p>
        </w:tc>
        <w:tc>
          <w:tcPr>
            <w:tcW w:w="2420" w:type="dxa"/>
            <w:vAlign w:val="bottom"/>
            <w:gridSpan w:val="2"/>
            <w:shd w:val="clear" w:color="auto" w:fill="CCEEFF"/>
          </w:tcPr>
          <w:p>
            <w:pPr>
              <w:jc w:val="right"/>
              <w:ind w:right="1080"/>
              <w:spacing w:after="0" w:line="196" w:lineRule="exact"/>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w:t>
            </w:r>
          </w:p>
        </w:tc>
      </w:tr>
      <w:tr>
        <w:trPr>
          <w:trHeight w:val="217"/>
        </w:trPr>
        <w:tc>
          <w:tcPr>
            <w:tcW w:w="7540" w:type="dxa"/>
            <w:vAlign w:val="bottom"/>
          </w:tcPr>
          <w:p>
            <w:pPr>
              <w:spacing w:after="0"/>
              <w:rPr>
                <w:sz w:val="20"/>
                <w:szCs w:val="20"/>
                <w:color w:val="auto"/>
              </w:rPr>
            </w:pPr>
            <w:r>
              <w:rPr>
                <w:rFonts w:ascii="Arial" w:cs="Arial" w:eastAsia="Arial" w:hAnsi="Arial"/>
                <w:sz w:val="18"/>
                <w:szCs w:val="18"/>
                <w:color w:val="auto"/>
              </w:rPr>
              <w:t>Customer B</w:t>
            </w:r>
          </w:p>
        </w:tc>
        <w:tc>
          <w:tcPr>
            <w:tcW w:w="2420" w:type="dxa"/>
            <w:vAlign w:val="bottom"/>
            <w:gridSpan w:val="2"/>
          </w:tcPr>
          <w:p>
            <w:pPr>
              <w:jc w:val="right"/>
              <w:ind w:right="108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4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r>
      <w:tr>
        <w:trPr>
          <w:trHeight w:val="225"/>
        </w:trPr>
        <w:tc>
          <w:tcPr>
            <w:tcW w:w="75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2440" w:type="dxa"/>
            <w:vAlign w:val="bottom"/>
            <w:gridSpan w:val="2"/>
            <w:shd w:val="clear" w:color="auto" w:fill="CCEEFF"/>
          </w:tcPr>
          <w:p>
            <w:pPr>
              <w:jc w:val="right"/>
              <w:ind w:right="1100"/>
              <w:spacing w:after="0" w:line="196" w:lineRule="exact"/>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Partner B</w:t>
            </w:r>
          </w:p>
        </w:tc>
        <w:tc>
          <w:tcPr>
            <w:tcW w:w="244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12%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244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Partner D</w:t>
            </w: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Less than 10% of total balance.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2020 and 2021, no customers accounted for 10% or more of revenue.</w:t>
      </w:r>
    </w:p>
    <w:p>
      <w:pPr>
        <w:spacing w:after="0" w:line="21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During the three months ended March 31, 2020, revenue from customers located outside of the United States in the aggregate accounted for 24.5% of the Company’s total revenue, with the United Kingdom accounting for 11.0%. No other countries accounted for 10% or more of total revenue for the three months ended March 31, 2020.</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During the three months ended March 31, 2021, revenue from customers located outside of the United States in the aggregate accounted for 25.4% of the Company’s total revenue, with Canada accounting for 12.3% and the United Kingdom accounting for 11.0%. No other countries accounted for 10% or more of total revenue for the three months ended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2020 and March 31, 2021, the Company had $0 and $2.3 million, respectively, of deferred offering costs recorded in other assets in the consolidated balance sheets. As of March 31, 2021, the Company had $2.1 million of deferred offering costs that are unpaid, of which $0.4 million was recorded in accounts payable and $1.7 million was recorded in accrued expenses and other current liabilities.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capitalized $1.8 million and $1.4 million in costs related to internal use software as of December 31, 2020 and March 31, 2021, respectively. The Company capitalized $0.4 million in costs related to internal use software during the three months ended March 31, 2020. Software developed for internal use is amortized straight-line over its estimated useful life of five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$0.3 million and $0.5 million for the three months ended March 31, 2020 and 2021,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w:t>
      </w:r>
    </w:p>
    <w:p>
      <w:pPr>
        <w:spacing w:after="0" w:line="2" w:lineRule="exact"/>
        <w:rPr>
          <w:sz w:val="20"/>
          <w:szCs w:val="20"/>
          <w:color w:val="auto"/>
        </w:rPr>
      </w:pPr>
    </w:p>
    <w:p>
      <w:pPr>
        <w:ind w:left="120" w:right="760"/>
        <w:spacing w:after="0" w:line="274" w:lineRule="auto"/>
        <w:rPr>
          <w:sz w:val="20"/>
          <w:szCs w:val="20"/>
          <w:color w:val="auto"/>
        </w:rPr>
      </w:pPr>
      <w:r>
        <w:rPr>
          <w:rFonts w:ascii="Arial" w:cs="Arial" w:eastAsia="Arial" w:hAnsi="Arial"/>
          <w:sz w:val="17"/>
          <w:szCs w:val="17"/>
          <w:color w:val="auto"/>
        </w:rPr>
        <w:t>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5"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income attributable to common stockholders for the three months ended March 31, 2020 and a net loss for the three months ended March 31 2021. For the three months ended March 31, 2021, net loss per share attributable to common stockholders was the same as diluted net loss per share attributable to common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2022. The Company is currently evaluating the impact on its consolidated financial statements.</w:t>
      </w:r>
    </w:p>
    <w:p>
      <w:pPr>
        <w:spacing w:after="0" w:line="185"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removing certain exceptions for intra period tax allocations and deferred tax liabilities for equity method investments and adds guidance on whether a step -up in tax basis of goodwill relates to a business combination or a separate transaction. This ASU is effective for fiscal years beginning after December 15, 2020 for public companies and for fiscal years beginning after December 15, 2021 for nonpublic companies, with early adoption permitted. The Company expects to adopt this guidance effective January 1, 2022 and it is currently evaluating the impact on its consolidated financial statements and related disclosures.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1"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Primary geographical markets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United States (“U.S.”)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24,687</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6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Countries</w:t>
            </w:r>
            <w:r>
              <w:rPr>
                <w:rFonts w:ascii="Arial" w:cs="Arial" w:eastAsia="Arial" w:hAnsi="Arial"/>
                <w:sz w:val="15"/>
                <w:szCs w:val="15"/>
                <w:color w:val="auto"/>
              </w:rPr>
              <w:t>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32,709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44,991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25,217</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32,434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7,492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10"/>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920" w:type="dxa"/>
            <w:vAlign w:val="bottom"/>
          </w:tcPr>
          <w:p>
            <w:pPr>
              <w:spacing w:after="0"/>
              <w:rPr>
                <w:sz w:val="15"/>
                <w:szCs w:val="15"/>
                <w:color w:val="auto"/>
              </w:rPr>
            </w:pPr>
          </w:p>
        </w:tc>
        <w:tc>
          <w:tcPr>
            <w:tcW w:w="37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$ 11,470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436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1,698</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43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1,227</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884</w:t>
            </w: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4360" w:type="dxa"/>
            <w:vAlign w:val="bottom"/>
            <w:gridSpan w:val="3"/>
          </w:tcPr>
          <w:p>
            <w:pPr>
              <w:jc w:val="right"/>
              <w:ind w:right="580"/>
              <w:spacing w:after="0"/>
              <w:rPr>
                <w:sz w:val="20"/>
                <w:szCs w:val="20"/>
                <w:color w:val="auto"/>
              </w:rPr>
            </w:pPr>
            <w:r>
              <w:rPr>
                <w:rFonts w:ascii="Arial" w:cs="Arial" w:eastAsia="Arial" w:hAnsi="Arial"/>
                <w:sz w:val="18"/>
                <w:szCs w:val="18"/>
                <w:color w:val="auto"/>
              </w:rPr>
              <w:t>108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bl>
    <w:p>
      <w:pPr>
        <w:spacing w:after="0" w:line="201"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For the three months ended March 31, 2020 and 2021, the Company recognized $0.5 million and $0.6 million of revenue from amounts that were included in deferred revenue as of December 31, 2019 and 2020.</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Changes in the allowance for doubtful accounts for the three months ended March 31, 2020 and the three months ended March 31, 2021 were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Three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Three</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Months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Months</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Ended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9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at the beginning of the period</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(298)</w:t>
            </w: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3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680" w:type="dxa"/>
            <w:vAlign w:val="bottom"/>
            <w:tcBorders>
              <w:bottom w:val="single" w:sz="8" w:color="auto"/>
            </w:tcBorders>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7"/>
                <w:szCs w:val="17"/>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Allowance for doubtful accounts at the end of the period</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(298)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0"/>
        </w:trPr>
        <w:tc>
          <w:tcPr>
            <w:tcW w:w="8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1,932</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12,500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14,432</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Fair Value Measurements as of March 31, 2021 Using:</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7</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2,886</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8,351</w:t>
            </w: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2020 and 2021, there were no transfers between Level 1, Level 2 or Level 3.</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 during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00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7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7"/>
                <w:szCs w:val="17"/>
                <w:color w:val="auto"/>
              </w:rPr>
            </w:pPr>
          </w:p>
        </w:tc>
        <w:tc>
          <w:tcPr>
            <w:tcW w:w="18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7"/>
                <w:szCs w:val="17"/>
                <w:color w:val="auto"/>
              </w:rPr>
            </w:pPr>
          </w:p>
        </w:tc>
        <w:tc>
          <w:tcPr>
            <w:tcW w:w="18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w:t>
            </w:r>
          </w:p>
        </w:tc>
        <w:tc>
          <w:tcPr>
            <w:tcW w:w="1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1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8.15%</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 *</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80% - 99%</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0% - 100%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13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2 years</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40" w:hanging="324"/>
        <w:spacing w:after="0"/>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Probability of successful achievement was set at different targets based on the Company’s best estimates on achieving them.</w:t>
      </w:r>
    </w:p>
    <w:p>
      <w:pPr>
        <w:spacing w:after="0" w:line="21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for the three months ended</w:t>
      </w:r>
    </w:p>
    <w:p>
      <w:pPr>
        <w:ind w:left="120"/>
        <w:spacing w:after="0"/>
        <w:rPr>
          <w:sz w:val="20"/>
          <w:szCs w:val="20"/>
          <w:color w:val="auto"/>
        </w:rPr>
      </w:pPr>
      <w:r>
        <w:rPr>
          <w:rFonts w:ascii="Arial" w:cs="Arial" w:eastAsia="Arial" w:hAnsi="Arial"/>
          <w:sz w:val="18"/>
          <w:szCs w:val="18"/>
          <w:color w:val="auto"/>
        </w:rPr>
        <w:t>March 31, 2020 and 2021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7,100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(7,012)</w:t>
            </w:r>
          </w:p>
        </w:tc>
      </w:tr>
      <w:tr>
        <w:trPr>
          <w:trHeight w:val="27"/>
        </w:trPr>
        <w:tc>
          <w:tcPr>
            <w:tcW w:w="4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6,800</w:t>
            </w: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5,465</w:t>
            </w:r>
          </w:p>
        </w:tc>
      </w:tr>
      <w:tr>
        <w:trPr>
          <w:trHeight w:val="20"/>
        </w:trPr>
        <w:tc>
          <w:tcPr>
            <w:tcW w:w="4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jc w:val="both"/>
        <w:ind w:left="540" w:right="100" w:hanging="424"/>
        <w:spacing w:after="0" w:line="249" w:lineRule="auto"/>
        <w:tabs>
          <w:tab w:leader="none" w:pos="5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Amounts of $0.7 million paid in excess of fair value initially recorded in purchase accounting were classified as operating cash flows in the Consolidated Statements of Cash Flows during the three months ended March 31, 2020. Amounts of $3.2 million paid in excess of the fair value initially recorded in purchase accounting were classified as operating cash flows in the Consolidated Statements of Cash Flows during the three months ended March 31, 2021.</w:t>
      </w:r>
    </w:p>
    <w:p>
      <w:pPr>
        <w:spacing w:after="0" w:line="322"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2020 and March 31, 2021, respectively, the Company had 3,647 and 2,544 open foreign exchange contracts. As of December 31, 2020 and March 31, 2021, the Company had foreign currency forward contracts outstanding with a notional amount of $11.8 million and $11.5 million, respectively.</w:t>
      </w:r>
    </w:p>
    <w:p>
      <w:pPr>
        <w:spacing w:after="0" w:line="208" w:lineRule="exact"/>
        <w:rPr>
          <w:sz w:val="20"/>
          <w:szCs w:val="20"/>
          <w:color w:val="auto"/>
        </w:rPr>
      </w:pPr>
    </w:p>
    <w:p>
      <w:pPr>
        <w:ind w:left="120" w:right="300" w:firstLine="440"/>
        <w:spacing w:after="0" w:line="248" w:lineRule="auto"/>
        <w:rPr>
          <w:sz w:val="20"/>
          <w:szCs w:val="20"/>
          <w:color w:val="auto"/>
        </w:rPr>
      </w:pPr>
      <w:r>
        <w:rPr>
          <w:rFonts w:ascii="Arial" w:cs="Arial" w:eastAsia="Arial" w:hAnsi="Arial"/>
          <w:sz w:val="17"/>
          <w:szCs w:val="17"/>
          <w:color w:val="auto"/>
        </w:rPr>
        <w:t>The Company records all derivative instruments in the consolidated balance sheets at their fair values. As of December 31, 2020, the Company recorded a liability of less than $0.1 million and as of March 31, 2021, the Company recorded an asset of less than</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$0.1 million related to outstanding foreign exchange contracts. The Company recognized a gain of less than $0.1 million during both the three months ended March 31, 2020 and 2021, which was included as a component of general and administrative expense within the consolidated statements of operations and comprehensive loss.</w:t>
      </w:r>
    </w:p>
    <w:p>
      <w:pPr>
        <w:spacing w:after="0" w:line="329"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5,479</w:t>
            </w: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vendor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1,510</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1,154</w:t>
            </w: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2,353</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7"/>
                <w:szCs w:val="17"/>
                <w:color w:val="auto"/>
              </w:rPr>
            </w:pPr>
          </w:p>
        </w:tc>
      </w:tr>
      <w:tr>
        <w:trPr>
          <w:trHeight w:val="210"/>
        </w:trPr>
        <w:tc>
          <w:tcPr>
            <w:tcW w:w="87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14,991</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12,604</w:t>
            </w: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3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Internal use software</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3,175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630</w:t>
            </w:r>
          </w:p>
        </w:tc>
      </w:tr>
      <w:tr>
        <w:trPr>
          <w:trHeight w:val="209"/>
        </w:trPr>
        <w:tc>
          <w:tcPr>
            <w:tcW w:w="6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3,980</w:t>
            </w:r>
          </w:p>
        </w:tc>
        <w:tc>
          <w:tcPr>
            <w:tcW w:w="120" w:type="dxa"/>
            <w:vAlign w:val="bottom"/>
          </w:tcPr>
          <w:p>
            <w:pPr>
              <w:spacing w:after="0"/>
              <w:rPr>
                <w:sz w:val="18"/>
                <w:szCs w:val="18"/>
                <w:color w:val="auto"/>
              </w:rPr>
            </w:pPr>
          </w:p>
        </w:tc>
      </w:tr>
      <w:tr>
        <w:trPr>
          <w:trHeight w:val="203"/>
        </w:trPr>
        <w:tc>
          <w:tcPr>
            <w:tcW w:w="63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7,920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9,306</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(3,222)</w:t>
            </w:r>
          </w:p>
        </w:tc>
      </w:tr>
      <w:tr>
        <w:trPr>
          <w:trHeight w:val="27"/>
        </w:trPr>
        <w:tc>
          <w:tcPr>
            <w:tcW w:w="6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5,101</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6,084</w:t>
            </w:r>
          </w:p>
        </w:tc>
      </w:tr>
      <w:tr>
        <w:trPr>
          <w:trHeight w:val="20"/>
        </w:trPr>
        <w:tc>
          <w:tcPr>
            <w:tcW w:w="6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Depreciation and amortization expense was $0.5 million and $0.4 million for the three months ended March 31, 2020 and 2021, respectively.</w:t>
      </w:r>
    </w:p>
    <w:p>
      <w:pPr>
        <w:spacing w:after="0" w:line="197"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There were no write offs of assets during the three months ended March 31, 2020. During the three-months ended March 31, 2021, the Company sold $0.1 million of property and equipment with accumulated depreciation of $0.1 million. The company recognized a gain on the sale of the fixed assets of less than $0.1 million.</w:t>
      </w:r>
    </w:p>
    <w:p>
      <w:pPr>
        <w:spacing w:after="0" w:line="203"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As of December 31, 2020 and March 31, 2021, the carrying value of internal-used software was $ 1.7 million and $2.9 million, respectively. Amortization expense related to internal-used software was $0 and $0.1 million during the three-months ended March 31, 2020 and 2021,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122"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retaining key customers. A portion of the contingent consideration is also tied to continuing employment of certain key employees; accordingly, $ 2.1 million has been excluded from the purchase price allocation. During the three months ended March 31, 2020 and 2021, the Company expensed $0.3 million and $0.2 million in 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Company incurred $1.9 million in transaction costs related to the Simplee acquisition, of which $1.3 million was incurred during the three months ended March 31, 2020 and no costs were incurred during the three months ended March 31, 2021. Additionally, the Company incurred $0.7 million and $1.0 million of retention costs during the three months ended March 31, 2020 and 2021, respectively, to compensate employees of Simplee for future services. This amount was included in personnel costs in the Company’s consolidated statements of operations and comprehensive loss.</w:t>
      </w:r>
    </w:p>
    <w:p>
      <w:pPr>
        <w:spacing w:after="0" w:line="202"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2"/>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10"/>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Estimated</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50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Fair Values</w:t>
            </w:r>
          </w:p>
        </w:tc>
        <w:tc>
          <w:tcPr>
            <w:tcW w:w="8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60" w:type="dxa"/>
            <w:vAlign w:val="bottom"/>
            <w:gridSpan w:val="3"/>
          </w:tcPr>
          <w:p>
            <w:pPr>
              <w:jc w:val="right"/>
              <w:ind w:right="84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10,500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9"/>
        </w:trPr>
        <w:tc>
          <w:tcPr>
            <w:tcW w:w="506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48,300</w:t>
            </w:r>
          </w:p>
        </w:tc>
        <w:tc>
          <w:tcPr>
            <w:tcW w:w="840" w:type="dxa"/>
            <w:vAlign w:val="bottom"/>
          </w:tcPr>
          <w:p>
            <w:pPr>
              <w:spacing w:after="0"/>
              <w:rPr>
                <w:sz w:val="18"/>
                <w:szCs w:val="18"/>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506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58,800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 since the acquisition date for the three-months ended March 31, 2020 and 2021 was $5.5 million and $10.2 million, respectively. The Company has not disclosed net income or loss since the acquisition date as the business was fully integrated into the consolidated Company’s operations and therefore it was impracticable to determine this amount.</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Unaudited Pro Forma Financial Information</w:t>
      </w:r>
    </w:p>
    <w:p>
      <w:pPr>
        <w:spacing w:after="0" w:line="104"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three-months ended March 31,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March 31, 2020</w:t>
            </w:r>
          </w:p>
        </w:tc>
      </w:tr>
      <w:tr>
        <w:trPr>
          <w:trHeight w:val="142"/>
        </w:trPr>
        <w:tc>
          <w:tcPr>
            <w:tcW w:w="9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3" w:lineRule="exact"/>
              <w:rPr>
                <w:sz w:val="20"/>
                <w:szCs w:val="20"/>
                <w:color w:val="auto"/>
              </w:rPr>
            </w:pPr>
            <w:r>
              <w:rPr>
                <w:rFonts w:ascii="Arial" w:cs="Arial" w:eastAsia="Arial" w:hAnsi="Arial"/>
                <w:sz w:val="14"/>
                <w:szCs w:val="14"/>
                <w:b w:val="1"/>
                <w:bCs w:val="1"/>
                <w:color w:val="auto"/>
              </w:rPr>
              <w:t>Pro</w:t>
            </w:r>
          </w:p>
        </w:tc>
        <w:tc>
          <w:tcPr>
            <w:tcW w:w="60" w:type="dxa"/>
            <w:vAlign w:val="bottom"/>
          </w:tcPr>
          <w:p>
            <w:pPr>
              <w:spacing w:after="0"/>
              <w:rPr>
                <w:sz w:val="12"/>
                <w:szCs w:val="12"/>
                <w:color w:val="auto"/>
              </w:rPr>
            </w:pPr>
          </w:p>
        </w:tc>
      </w:tr>
      <w:tr>
        <w:trPr>
          <w:trHeight w:val="175"/>
        </w:trPr>
        <w:tc>
          <w:tcPr>
            <w:tcW w:w="9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Actual</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Forma</w:t>
            </w:r>
          </w:p>
        </w:tc>
        <w:tc>
          <w:tcPr>
            <w:tcW w:w="60" w:type="dxa"/>
            <w:vAlign w:val="bottom"/>
          </w:tcPr>
          <w:p>
            <w:pPr>
              <w:spacing w:after="0"/>
              <w:rPr>
                <w:sz w:val="15"/>
                <w:szCs w:val="15"/>
                <w:color w:val="auto"/>
              </w:rPr>
            </w:pPr>
          </w:p>
        </w:tc>
      </w:tr>
      <w:tr>
        <w:trPr>
          <w:trHeight w:val="155"/>
        </w:trPr>
        <w:tc>
          <w:tcPr>
            <w:tcW w:w="9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160"/>
              <w:spacing w:after="0" w:line="155" w:lineRule="exact"/>
              <w:rPr>
                <w:sz w:val="20"/>
                <w:szCs w:val="20"/>
                <w:color w:val="auto"/>
              </w:rPr>
            </w:pPr>
            <w:r>
              <w:rPr>
                <w:rFonts w:ascii="Arial" w:cs="Arial" w:eastAsia="Arial" w:hAnsi="Arial"/>
                <w:sz w:val="14"/>
                <w:szCs w:val="14"/>
                <w:color w:val="auto"/>
              </w:rPr>
              <w:t>(in thousands)</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w w:val="98"/>
              </w:rPr>
              <w:t>32,709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37,195</w:t>
            </w:r>
          </w:p>
        </w:tc>
      </w:tr>
      <w:tr>
        <w:trPr>
          <w:trHeight w:val="217"/>
        </w:trPr>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2"/>
              <w:spacing w:after="0"/>
              <w:rPr>
                <w:sz w:val="20"/>
                <w:szCs w:val="20"/>
                <w:color w:val="auto"/>
              </w:rPr>
            </w:pPr>
            <w:r>
              <w:rPr>
                <w:rFonts w:ascii="Arial" w:cs="Arial" w:eastAsia="Arial" w:hAnsi="Arial"/>
                <w:sz w:val="18"/>
                <w:szCs w:val="18"/>
                <w:color w:val="auto"/>
              </w:rPr>
              <w:t>3,700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2,145</w:t>
            </w:r>
          </w:p>
        </w:tc>
      </w:tr>
    </w:tbl>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126"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summarizes the changes in the carrying amount of goodwill for the three months ended March 31, 2020 and 2021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Three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Three</w:t>
            </w:r>
          </w:p>
        </w:tc>
      </w:tr>
      <w:tr>
        <w:trPr>
          <w:trHeight w:val="162"/>
        </w:trPr>
        <w:tc>
          <w:tcPr>
            <w:tcW w:w="812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Months Ended</w:t>
            </w:r>
          </w:p>
        </w:tc>
        <w:tc>
          <w:tcPr>
            <w:tcW w:w="7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44,650</w:t>
            </w:r>
          </w:p>
        </w:tc>
        <w:tc>
          <w:tcPr>
            <w:tcW w:w="120" w:type="dxa"/>
            <w:vAlign w:val="bottom"/>
            <w:shd w:val="clear" w:color="auto" w:fill="CCEEFF"/>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31,696</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0"/>
        </w:trPr>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1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44,872</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44,618</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three months ended March 31, 2020 and 2021.</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52,312</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(2,772)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511</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(504)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(10,144)</w:t>
            </w: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(7,605)</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17,458</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52,390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(3,443)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48,947</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173</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78,433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(11,855)</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66,578</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Includes less than $0.1 million of foreign currency translation adjustments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three-months ended March 31, 2020 and 2021 was $1.0 million and $1.6 million, respectively.</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As of March 31, 2021,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Remaining of fiscal year 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09"/>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66,578</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as of each period presented,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r>
      <w:tr>
        <w:trPr>
          <w:trHeight w:val="175"/>
        </w:trPr>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$ 25,000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74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(430)</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(396)</w:t>
            </w: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w:t>
            </w: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24,352</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$ 24,402</w:t>
            </w: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w:t>
      </w:r>
    </w:p>
    <w:p>
      <w:pPr>
        <w:spacing w:after="0" w:line="8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9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misrepresentations. The Company may make voluntary prepayments of the LSA at any time without penalty or premium. The Company did not make any prepayments of the LSA during the three months ended March 31, 2020 or 2021.</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March 31, 2021,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jc w:val="right"/>
              <w:ind w:right="9810"/>
              <w:spacing w:after="0"/>
              <w:rPr>
                <w:sz w:val="20"/>
                <w:szCs w:val="20"/>
                <w:color w:val="auto"/>
              </w:rPr>
            </w:pPr>
            <w:r>
              <w:rPr>
                <w:rFonts w:ascii="Arial" w:cs="Arial" w:eastAsia="Arial" w:hAnsi="Arial"/>
                <w:sz w:val="18"/>
                <w:szCs w:val="18"/>
                <w:color w:val="auto"/>
                <w:w w:val="94"/>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03"/>
        </w:trPr>
        <w:tc>
          <w:tcPr>
            <w:tcW w:w="10300" w:type="dxa"/>
            <w:vAlign w:val="bottom"/>
          </w:tcPr>
          <w:p>
            <w:pPr>
              <w:jc w:val="right"/>
              <w:ind w:right="9810"/>
              <w:spacing w:after="0" w:line="20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7"/>
                <w:szCs w:val="17"/>
                <w:color w:val="auto"/>
              </w:rPr>
            </w:pP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300" w:type="dxa"/>
            <w:vAlign w:val="bottom"/>
            <w:shd w:val="clear" w:color="auto" w:fill="CCEEFF"/>
          </w:tcPr>
          <w:p>
            <w:pPr>
              <w:jc w:val="right"/>
              <w:ind w:right="9810"/>
              <w:spacing w:after="0" w:line="202" w:lineRule="exact"/>
              <w:rPr>
                <w:sz w:val="20"/>
                <w:szCs w:val="20"/>
                <w:color w:val="auto"/>
              </w:rPr>
            </w:pPr>
            <w:r>
              <w:rPr>
                <w:rFonts w:ascii="Arial" w:cs="Arial" w:eastAsia="Arial" w:hAnsi="Arial"/>
                <w:sz w:val="18"/>
                <w:szCs w:val="18"/>
                <w:color w:val="auto"/>
                <w:w w:val="94"/>
              </w:rPr>
              <w:t>2023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jc w:val="right"/>
              <w:ind w:right="9810"/>
              <w:spacing w:after="0" w:line="20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12,500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jc w:val="right"/>
              <w:ind w:right="9810"/>
              <w:spacing w:after="0" w:line="202" w:lineRule="exact"/>
              <w:rPr>
                <w:sz w:val="20"/>
                <w:szCs w:val="20"/>
                <w:color w:val="auto"/>
              </w:rPr>
            </w:pPr>
            <w:r>
              <w:rPr>
                <w:rFonts w:ascii="Arial" w:cs="Arial" w:eastAsia="Arial" w:hAnsi="Arial"/>
                <w:sz w:val="18"/>
                <w:szCs w:val="18"/>
                <w:color w:val="auto"/>
                <w:w w:val="94"/>
              </w:rPr>
              <w:t>2025</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Company recorded interest expense of $0.6 million for both the three months ended March 31, 2020 and 2021, respectively. Included in interest expense is $0.1 million and $0.1 million of amortization of debt issuance cost and debt discount for the three months ended March 31, 2020 and 2021.</w:t>
      </w:r>
    </w:p>
    <w:p>
      <w:pPr>
        <w:spacing w:after="0" w:line="329"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 Series D convertible preferred stock (the “Series D Preferred Stock”), Series E-1 redeemable convertible preferred stock and Series E-2 redeemable convertible preferred stock (the “Series E Preferred Stock”) and Series F-1 redeemable convertible preferred stock (the “Series F Preferred Stock”). The Series A Preferred Stock, the Series B Preferred Stock, the Series B1-NV Preferred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Stock, the Series B1 Preferred Stock, the Series C Preferred Stock, the Series D Preferred Stock, the Series E Preferred Stock and the Series F Preferred Stock are collectively referred to as the “Preferred Stock”.</w:t>
      </w:r>
    </w:p>
    <w:p>
      <w:pPr>
        <w:spacing w:after="0" w:line="197"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February 2021, the Company issued and sold 2,571,936 shares of Series F-1 Preferred Stock at $23.32873 per share for total gross proceeds of $60.0 million. The Company incurred issuance costs in connection with this transaction of $0.2 million. In conjunction with the sale of the Series F-1 Preferred Stock, the Company amended its certificate of incorporation to increase shares authorized for issuance to a total of 81,682,587 shares of Preferred Stock with a par value of $0.0001 per share.</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February 2020, the Company issued and sold 11,239,920 shares of Series E Preferred Stock at $10.67623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78,938,526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r>
      <w:tr>
        <w:trPr>
          <w:trHeight w:val="162"/>
        </w:trPr>
        <w:tc>
          <w:tcPr>
            <w:tcW w:w="5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 Issued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5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and</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Liquidation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5"/>
        </w:trPr>
        <w:tc>
          <w:tcPr>
            <w:tcW w:w="5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Preference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9,917,487</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9,917,487</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9,163</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9,199</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9,917,487</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8,325,933</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1,145,526</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1,174</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1,174</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1,145,526</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8,325,933</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7,180,407</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7,326</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7,357</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7,180,407</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15,245,853</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14,864,853</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28,072</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28,143</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14,864,853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6,625,002</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6,625,002</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49,859</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6,625,002</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7,124,862</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5,251,542</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55,960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70,080</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5,251,542</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8,898,270</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5,988,378</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63,809</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79,920</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5,988,378</w:t>
            </w:r>
          </w:p>
        </w:tc>
      </w:tr>
      <w:tr>
        <w:trPr>
          <w:trHeight w:val="27"/>
        </w:trPr>
        <w:tc>
          <w:tcPr>
            <w:tcW w:w="5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78,938,526</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65,448,381</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230,170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260,716</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65,448,381</w:t>
            </w: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 2021</w:t>
            </w: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r>
      <w:tr>
        <w:trPr>
          <w:trHeight w:val="162"/>
        </w:trPr>
        <w:tc>
          <w:tcPr>
            <w:tcW w:w="5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Stock Issued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5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Liquidation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5"/>
        </w:trPr>
        <w:tc>
          <w:tcPr>
            <w:tcW w:w="5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Preference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14,475,186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9,917,487</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9,917,487</w:t>
            </w: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9,163</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9,199</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9,917,487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B1-NV Preferred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8,325,933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1,145,526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1,145,526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B1 Preferred Stock</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8,325,933</w:t>
            </w:r>
          </w:p>
        </w:tc>
        <w:tc>
          <w:tcPr>
            <w:tcW w:w="1100" w:type="dxa"/>
            <w:vAlign w:val="bottom"/>
          </w:tcPr>
          <w:p>
            <w:pPr>
              <w:jc w:val="right"/>
              <w:spacing w:after="0"/>
              <w:rPr>
                <w:sz w:val="20"/>
                <w:szCs w:val="20"/>
                <w:color w:val="auto"/>
              </w:rPr>
            </w:pPr>
            <w:r>
              <w:rPr>
                <w:rFonts w:ascii="Arial" w:cs="Arial" w:eastAsia="Arial" w:hAnsi="Arial"/>
                <w:sz w:val="18"/>
                <w:szCs w:val="18"/>
                <w:color w:val="auto"/>
              </w:rPr>
              <w:t>7,180,407</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7,326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7,357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7,180,407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15,245,853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14,864,853</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28,072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28,143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14,864,853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6,625,002</w:t>
            </w:r>
          </w:p>
        </w:tc>
        <w:tc>
          <w:tcPr>
            <w:tcW w:w="1100" w:type="dxa"/>
            <w:vAlign w:val="bottom"/>
          </w:tcPr>
          <w:p>
            <w:pPr>
              <w:jc w:val="right"/>
              <w:spacing w:after="0"/>
              <w:rPr>
                <w:sz w:val="20"/>
                <w:szCs w:val="20"/>
                <w:color w:val="auto"/>
              </w:rPr>
            </w:pPr>
            <w:r>
              <w:rPr>
                <w:rFonts w:ascii="Arial" w:cs="Arial" w:eastAsia="Arial" w:hAnsi="Arial"/>
                <w:sz w:val="18"/>
                <w:szCs w:val="18"/>
                <w:color w:val="auto"/>
              </w:rPr>
              <w:t>6,625,002</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49,859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6,625,002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E-1 Preferred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7,124,862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5,251,542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55,962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70,080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5,251,542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E-2 Preferred Stock</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8,898,270</w:t>
            </w:r>
          </w:p>
        </w:tc>
        <w:tc>
          <w:tcPr>
            <w:tcW w:w="1100" w:type="dxa"/>
            <w:vAlign w:val="bottom"/>
          </w:tcPr>
          <w:p>
            <w:pPr>
              <w:jc w:val="right"/>
              <w:spacing w:after="0"/>
              <w:rPr>
                <w:sz w:val="20"/>
                <w:szCs w:val="20"/>
                <w:color w:val="auto"/>
              </w:rPr>
            </w:pPr>
            <w:r>
              <w:rPr>
                <w:rFonts w:ascii="Arial" w:cs="Arial" w:eastAsia="Arial" w:hAnsi="Arial"/>
                <w:sz w:val="18"/>
                <w:szCs w:val="18"/>
                <w:color w:val="auto"/>
              </w:rPr>
              <w:t>5,988,378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63,810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79,920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5,988,378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F-1 Preferred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2,571,936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2,571,936</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Series F-2 Preferred Stock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172,125</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81,682,587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68,020,317</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286,910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320,716</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68,020,317</w:t>
            </w: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the Series E-2 Preferred Stock and the Series F-2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$ 0.6580 for Series A Preferred Stock, $0.6580 for Series B Preferred Stock, $0.7507 for Series B1 Preferred Stock and Series B1 -NV Preferred Stock, $1.480 for Series C Preferred Stock, $7.54717 for Series D Preferred Stock, $10.67623 for Series E Preferred Stock and $23.32873 for Series F Preferred Stock, each subject to appropriate adjustment in the event of any stock dividend, stock split, combination or other similar recapitalization and other adjustments as set forth in the Company’s certificate of</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incorporation, as amended and restated. The Conversion Price per share is $0.6580 for Series A Preferred Stock, $0.6580 for Series B Preferred Stock, $0.7507 for Series B1 Preferred Stock and Series B1-NV Preferred Stock, $1.480 for Series C Preferred Stock, $7.54717 for Series D Preferred Stock, $10.67623 for Series E Preferred Stock and $23.32873 for Series F Preferred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$14.9468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$100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 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 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proportion to the respective amounts which would otherwise be payable in respect of the shares held by them upon such distribution if all amounts payable on or with respect to such shares were paid in full.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F Preferred Stock (Series F-1 and F-2)</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F preferred stock then outstanding shall be entitled to be paid out of the assets of the Company available for distribution to its stockholders before any payment shall be made to the holders of (i) Series E Preferred Stock, (ii) Series D Preferred Stock, (iii) Series C Preferred Stock</w:t>
      </w:r>
    </w:p>
    <w:p>
      <w:pPr>
        <w:spacing w:after="0" w:line="2" w:lineRule="exact"/>
        <w:rPr>
          <w:sz w:val="20"/>
          <w:szCs w:val="20"/>
          <w:color w:val="auto"/>
        </w:rPr>
      </w:pPr>
    </w:p>
    <w:p>
      <w:pPr>
        <w:ind w:left="120" w:right="20" w:hanging="4"/>
        <w:spacing w:after="0" w:line="237" w:lineRule="auto"/>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Senior Preferred Stock, (v) Series A Preferred Stock, (vi) Common Stock, or (vii) any other class or series of capital stock of the Corporation, in each case by reason of their ownership thereof, an amount per share equal to the greater of (a) Series F Original Issue Price, plus any dividends declared but unpaid (if the voluntary or involuntary liquidation, dissolution or winding up of the corporation or any deemed liquidation event is consummated on or after the second anniversary of the Series F original issue date) or (b) such amount per share as would have been payable had all shares of Series F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F original issue date.</w:t>
      </w:r>
    </w:p>
    <w:p>
      <w:pPr>
        <w:spacing w:after="0" w:line="20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F Preferred Stock the full amount to which they shall be entitled, the holders of shares of Series F</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Series E Preferred Stock and Series F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December 31, March 31,</w:t>
            </w:r>
          </w:p>
        </w:tc>
      </w:tr>
      <w:tr>
        <w:trPr>
          <w:trHeight w:val="156"/>
        </w:trPr>
        <w:tc>
          <w:tcPr>
            <w:tcW w:w="90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 . . . . . . . . . . . . . . . . . . . . . . . . . . . . . . . . . . . . ...SeriesAPreferredStock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Series B Preferred Stock. . . . . . . . . . . . . . . . . . . . . . . . . . . . . . . . . . . . . . ...</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 . . . . . . . . . . . . . . . . . . . . .. . . . . . . . . . . . . . .</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Series B1 Preferred Stock. . . . . . . . . . . . . . . . . . . . . . . . . . . . . . . . . . . . . ...</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 . . . . . . . . . . . . . . . . . . . . . . . . . . . . . . . . . . . . . ...</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
        </w:trPr>
        <w:tc>
          <w:tcPr>
            <w:tcW w:w="9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three months ended March 31, 2020 and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At any time on or after the fifteenth anniversary of the Series F Preferred Stock issue date, any holder of Series F Preferred Stock may elect to have all outstanding shares of Series F Preferred Stock redeemed. The redemption price for each share of Series F Preferred Stock will be the original issue price per share, plus any declared but unpaid dividends. All classes of the Company’s Preferred Stock are contingently redeemable upon a deemed liquidation event.</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 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334" w:lineRule="exact"/>
        <w:rPr>
          <w:sz w:val="20"/>
          <w:szCs w:val="20"/>
          <w:color w:val="auto"/>
        </w:rPr>
      </w:pPr>
    </w:p>
    <w:p>
      <w:pPr>
        <w:ind w:left="660" w:hanging="544"/>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381,000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85,809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Weight</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Preferred Shares</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Average</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Issuable Under</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Term</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600" w:type="dxa"/>
            <w:vAlign w:val="bottom"/>
          </w:tcPr>
          <w:p>
            <w:pPr>
              <w:spacing w:after="0"/>
              <w:rPr>
                <w:sz w:val="16"/>
                <w:szCs w:val="16"/>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Issuance Date</w:t>
            </w: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Warrant</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Price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 Years)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January 16, 2018</w:t>
            </w:r>
          </w:p>
        </w:tc>
        <w:tc>
          <w:tcPr>
            <w:tcW w:w="5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381,000</w:t>
            </w:r>
          </w:p>
        </w:tc>
        <w:tc>
          <w:tcPr>
            <w:tcW w:w="5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$1.48</w:t>
            </w:r>
          </w:p>
        </w:tc>
        <w:tc>
          <w:tcPr>
            <w:tcW w:w="5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4.0</w:t>
            </w: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$1,932</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Weight</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 Issuable</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580" w:type="dxa"/>
            <w:vAlign w:val="bottom"/>
          </w:tcPr>
          <w:p>
            <w:pPr>
              <w:spacing w:after="0"/>
              <w:rPr>
                <w:sz w:val="16"/>
                <w:szCs w:val="16"/>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Issuance Date</w:t>
            </w: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Under Warrant</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(In Years)</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January 16, 2018</w:t>
            </w:r>
          </w:p>
        </w:tc>
        <w:tc>
          <w:tcPr>
            <w:tcW w:w="4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381,000</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1.48</w:t>
            </w:r>
          </w:p>
        </w:tc>
        <w:tc>
          <w:tcPr>
            <w:tcW w:w="5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w:t>
            </w: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2,886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expense of $0.3 million and $1.0 million, for the three months ended March 31, 2020 and 2021, respectively.</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for the three months ended March 31, 2020 and 2021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Ended</w:t>
            </w:r>
          </w:p>
        </w:tc>
      </w:t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42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w:t>
            </w:r>
          </w:p>
        </w:tc>
        <w:tc>
          <w:tcPr>
            <w:tcW w:w="60" w:type="dxa"/>
            <w:vAlign w:val="bottom"/>
            <w:shd w:val="clear" w:color="auto" w:fill="CCEEFF"/>
          </w:tcPr>
          <w:p>
            <w:pPr>
              <w:spacing w:after="0"/>
              <w:rPr>
                <w:sz w:val="17"/>
                <w:szCs w:val="17"/>
                <w:color w:val="auto"/>
              </w:rPr>
            </w:pPr>
          </w:p>
        </w:tc>
      </w:tr>
      <w:tr>
        <w:trPr>
          <w:trHeight w:val="209"/>
        </w:trPr>
        <w:tc>
          <w:tcPr>
            <w:tcW w:w="542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r>
      <w:tr>
        <w:trPr>
          <w:trHeight w:val="20"/>
        </w:trPr>
        <w:tc>
          <w:tcPr>
            <w:tcW w:w="5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March 31, 2021, the Company’s amended and restated certificate of incorporation authorized the issuance of 154.5 million shares, par value of $.0001 common stock. In February 2021, the amended and restated certificate of incorporation adjusted common stock reserved for issuance in connection with the conversion of Preferred Stock to a total of 81,682,587 shares and upon the exercise of stock options under the Company’s 2018 Equity Incentive plan to a total of 32,000,364.</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2020 and March 31, 2021, no cash divided have been declared or paid.</w:t>
      </w:r>
    </w:p>
    <w:p>
      <w:pPr>
        <w:spacing w:after="0" w:line="20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In August 2012, the Company entered into a Loan and Security Agreement. In connection with the agreement, the Company issued to the lender a warrant to purchase up to 75,000 shares of the Company’s common stock at a price of $0.17 per share.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On May 18, 2020, in connection with the Company’s refinancing of the LSA, the Company issued warrants to purchase 189,171 shares of common stock at $3.95 per share that were classified as equity. The initial fair value of the warrants was $0.4 million. The fair value of the warrants was determined using the Black Scholes model on the date of issuance using the assumptions as presented below: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44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4400" w:type="dxa"/>
            <w:vAlign w:val="bottom"/>
          </w:tcPr>
          <w:p>
            <w:pPr>
              <w:jc w:val="right"/>
              <w:ind w:right="13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On March 24, 2021, the May 2020 LSA warrants were exercised via a cashless exercise, resulting in the issuance of 151,518 shares of common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 and</w:t>
      </w:r>
    </w:p>
    <w:p>
      <w:pPr>
        <w:ind w:left="120"/>
        <w:spacing w:after="0"/>
        <w:rPr>
          <w:sz w:val="20"/>
          <w:szCs w:val="20"/>
          <w:color w:val="auto"/>
        </w:rPr>
      </w:pPr>
      <w:r>
        <w:rPr>
          <w:rFonts w:ascii="Arial" w:cs="Arial" w:eastAsia="Arial" w:hAnsi="Arial"/>
          <w:sz w:val="18"/>
          <w:szCs w:val="18"/>
          <w:color w:val="auto"/>
        </w:rPr>
        <w:t>March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3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w w:val="99"/>
              </w:rPr>
              <w:t>DATE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1"/>
        </w:trPr>
        <w:tc>
          <w:tcPr>
            <w:tcW w:w="4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Strike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Issued</w:t>
            </w: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6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7"/>
              </w:rPr>
              <w:t>August-12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August-22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$ 0.17</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LSA Warrants</w:t>
            </w:r>
          </w:p>
        </w:tc>
        <w:tc>
          <w:tcPr>
            <w:tcW w:w="1320" w:type="dxa"/>
            <w:vAlign w:val="bottom"/>
            <w:gridSpan w:val="3"/>
          </w:tcPr>
          <w:p>
            <w:pPr>
              <w:ind w:left="360"/>
              <w:spacing w:after="0"/>
              <w:rPr>
                <w:sz w:val="20"/>
                <w:szCs w:val="20"/>
                <w:color w:val="auto"/>
              </w:rPr>
            </w:pPr>
            <w:r>
              <w:rPr>
                <w:rFonts w:ascii="Arial" w:cs="Arial" w:eastAsia="Arial" w:hAnsi="Arial"/>
                <w:sz w:val="18"/>
                <w:szCs w:val="18"/>
                <w:color w:val="auto"/>
              </w:rPr>
              <w:t>May-20</w:t>
            </w:r>
          </w:p>
        </w:tc>
        <w:tc>
          <w:tcPr>
            <w:tcW w:w="880" w:type="dxa"/>
            <w:vAlign w:val="bottom"/>
          </w:tcPr>
          <w:p>
            <w:pPr>
              <w:ind w:left="280"/>
              <w:spacing w:after="0"/>
              <w:rPr>
                <w:sz w:val="20"/>
                <w:szCs w:val="20"/>
                <w:color w:val="auto"/>
              </w:rPr>
            </w:pPr>
            <w:r>
              <w:rPr>
                <w:rFonts w:ascii="Arial" w:cs="Arial" w:eastAsia="Arial" w:hAnsi="Arial"/>
                <w:sz w:val="18"/>
                <w:szCs w:val="18"/>
                <w:color w:val="auto"/>
                <w:w w:val="96"/>
              </w:rPr>
              <w:t>May-30</w:t>
            </w: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$ 3.95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189,171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64"/>
        </w:trPr>
        <w:tc>
          <w:tcPr>
            <w:tcW w:w="4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3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w w:val="99"/>
              </w:rPr>
              <w:t>DATE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1"/>
        </w:trPr>
        <w:tc>
          <w:tcPr>
            <w:tcW w:w="4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Strike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Issued</w:t>
            </w: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6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7"/>
              </w:rPr>
              <w:t>August-12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August-22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$ 0.17</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right="8100" w:hanging="4"/>
        <w:spacing w:after="0" w:line="394" w:lineRule="auto"/>
        <w:tabs>
          <w:tab w:leader="none" w:pos="6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2018 Equity Incentive Plan</w:t>
      </w:r>
    </w:p>
    <w:p>
      <w:pPr>
        <w:spacing w:after="0" w:line="1"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Company’s 2018 Equity Incentive Plan (the “2018 Plan”) provides for the issuance of a total of 32,000,364 shares of common stock in the form of incentive stock options, nonqualified stock options, and restricted stock awards to the Company’s directors, officers, employees and outside consultants.</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As of December 31, 2020 and March 31, 2021, an aggregate of 2,351,847 and 1,645,458 incentive stock options, nonqualified options, and restricted stock awards of the Company are still available for future grant, respectively.</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following table summarizes the outstanding stock option activity and a summary of information related to stock options as of and for the three months ended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Weighted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08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Price Per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608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2021</w:t>
            </w: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16,708,803</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2,868,465</w:t>
            </w: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6.19</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(3,005,574)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0.81</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(57,882)</w:t>
            </w: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4.06</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4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(17,589)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3.28</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Outstanding as of March 31, 2021</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16,496,223</w:t>
            </w: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2.96</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7.32</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201,879</w:t>
            </w: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as of March 31, 2021</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8,356,500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1.56</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5.74</w:t>
            </w: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114,001</w:t>
            </w: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Vested and expected to vest as of March 31, 2021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16,228,026</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200,463</w:t>
            </w:r>
          </w:p>
        </w:tc>
      </w:tr>
    </w:tbl>
    <w:p>
      <w:pPr>
        <w:spacing w:after="0" w:line="20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and March 31, 2021. The aggregate intrinsic value of stock options exercised during the three months ended March 31, 2020 and the three months ended March 31, 2021 was $4.8 million and $54.5 million, respectively.</w:t>
      </w:r>
    </w:p>
    <w:p>
      <w:pPr>
        <w:spacing w:after="0" w:line="205"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$2.4 million during the three months ended March 31, 2020 and the three months ended March 31, 2021, respectively.</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2020 and the three months ended March 31, 2021 was $3.95 per share and $5.80 per share, respectively.</w:t>
      </w:r>
    </w:p>
    <w:p>
      <w:pPr>
        <w:spacing w:after="0" w:line="197"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98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196"/>
        </w:trPr>
        <w:tc>
          <w:tcPr>
            <w:tcW w:w="9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0.70%</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42.3%</w:t>
            </w:r>
          </w:p>
        </w:tc>
      </w:tr>
      <w:tr>
        <w:trPr>
          <w:trHeight w:val="217"/>
        </w:trPr>
        <w:tc>
          <w:tcPr>
            <w:tcW w:w="98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The Company did not grant any stock options during the three months ended March 31, 2020.</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restricted stock activity as of and for the three months ended March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74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74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January 1, 2021</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671,517</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6"/>
              </w:rPr>
              <w:t>0.98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(154,962)</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6"/>
              </w:rPr>
              <w:t>0.98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151,346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6"/>
              </w:rPr>
              <w:t>0.</w:t>
            </w:r>
            <w:r>
              <w:rPr>
                <w:rFonts w:ascii="Arial" w:cs="Arial" w:eastAsia="Arial" w:hAnsi="Arial"/>
                <w:sz w:val="18"/>
                <w:szCs w:val="18"/>
                <w:u w:val="single" w:color="auto"/>
                <w:color w:val="auto"/>
                <w:w w:val="96"/>
              </w:rPr>
              <w:t>98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7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March 31, 2021</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516,555</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6"/>
              </w:rPr>
              <w:t>0.98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As of March 31, 2021, there was $26.6 million of total unrecognized compensation expense related to unvested stock options and restricted stock awards, which is expected to be recognized over a weighted-average period of 2.8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For the Three</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the Three</w:t>
            </w:r>
          </w:p>
        </w:tc>
      </w:t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99"/>
              </w:rPr>
              <w:t>Months Ended</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1,085</w:t>
            </w:r>
          </w:p>
        </w:tc>
        <w:tc>
          <w:tcPr>
            <w:tcW w:w="60" w:type="dxa"/>
            <w:vAlign w:val="bottom"/>
            <w:shd w:val="clear" w:color="auto" w:fill="CCEEFF"/>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2,644</w:t>
            </w:r>
          </w:p>
        </w:tc>
      </w:tr>
      <w:tr>
        <w:trPr>
          <w:trHeight w:val="202"/>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6,635</w:t>
            </w:r>
          </w:p>
        </w:tc>
        <w:tc>
          <w:tcPr>
            <w:tcW w:w="60" w:type="dxa"/>
            <w:vAlign w:val="bottom"/>
            <w:shd w:val="clear" w:color="auto" w:fill="CCEEFF"/>
          </w:tcPr>
          <w:p>
            <w:pPr>
              <w:spacing w:after="0"/>
              <w:rPr>
                <w:sz w:val="17"/>
                <w:szCs w:val="17"/>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10,364</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February 2021, certain of the Company’s existing investors acquired 1,205,118 outstanding common stock from employees of the Company, for a purchase price greater than the fair value of the common stock at the time of the transaction. As a result, the Company recorded $8.4 million in stock-based compensation during the three months ended March 31, 2021. The amount recorded as stock-based compensation represents the difference between the price paid and the estimated fair value at the date of the transaction.</w:t>
      </w:r>
    </w:p>
    <w:p>
      <w:pPr>
        <w:spacing w:after="0" w:line="20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As of December 31, 2020 and March 31, 2021, the Company had reserved 98,263,437 and 100,499,268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80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3,700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8060" w:type="dxa"/>
            <w:vAlign w:val="bottom"/>
          </w:tcPr>
          <w:p>
            <w:pPr>
              <w:ind w:left="360"/>
              <w:spacing w:after="0" w:line="202" w:lineRule="exact"/>
              <w:rPr>
                <w:sz w:val="20"/>
                <w:szCs w:val="20"/>
                <w:color w:val="auto"/>
              </w:rPr>
            </w:pPr>
            <w:r>
              <w:rPr>
                <w:rFonts w:ascii="Arial" w:cs="Arial" w:eastAsia="Arial" w:hAnsi="Arial"/>
                <w:sz w:val="18"/>
                <w:szCs w:val="18"/>
                <w:color w:val="auto"/>
              </w:rPr>
              <w:t>Less: Earnings attributable to participating securities</w:t>
            </w:r>
          </w:p>
        </w:tc>
        <w:tc>
          <w:tcPr>
            <w:tcW w:w="100" w:type="dxa"/>
            <w:vAlign w:val="bottom"/>
          </w:tcPr>
          <w:p>
            <w:pPr>
              <w:spacing w:after="0"/>
              <w:rPr>
                <w:sz w:val="17"/>
                <w:szCs w:val="17"/>
                <w:color w:val="auto"/>
              </w:rPr>
            </w:pPr>
          </w:p>
        </w:tc>
        <w:tc>
          <w:tcPr>
            <w:tcW w:w="17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2,917</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 attributable to common shareholders -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17,513,319</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21,100,077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Pr>
          <w:p>
            <w:pPr>
              <w:ind w:left="360"/>
              <w:spacing w:after="0" w:line="196" w:lineRule="exact"/>
              <w:rPr>
                <w:sz w:val="20"/>
                <w:szCs w:val="20"/>
                <w:color w:val="auto"/>
              </w:rPr>
            </w:pPr>
            <w:r>
              <w:rPr>
                <w:rFonts w:ascii="Arial" w:cs="Arial" w:eastAsia="Arial" w:hAnsi="Arial"/>
                <w:sz w:val="18"/>
                <w:szCs w:val="18"/>
                <w:color w:val="auto"/>
              </w:rPr>
              <w:t>Effect of potentially dilutive stock options</w:t>
            </w:r>
          </w:p>
        </w:tc>
        <w:tc>
          <w:tcPr>
            <w:tcW w:w="100" w:type="dxa"/>
            <w:vAlign w:val="bottom"/>
          </w:tcPr>
          <w:p>
            <w:pPr>
              <w:spacing w:after="0"/>
              <w:rPr>
                <w:sz w:val="17"/>
                <w:szCs w:val="17"/>
                <w:color w:val="auto"/>
              </w:rPr>
            </w:pPr>
          </w:p>
        </w:tc>
        <w:tc>
          <w:tcPr>
            <w:tcW w:w="1720" w:type="dxa"/>
            <w:vAlign w:val="bottom"/>
            <w:gridSpan w:val="2"/>
          </w:tcPr>
          <w:p>
            <w:pPr>
              <w:jc w:val="right"/>
              <w:ind w:right="820"/>
              <w:spacing w:after="0" w:line="196" w:lineRule="exact"/>
              <w:rPr>
                <w:sz w:val="20"/>
                <w:szCs w:val="20"/>
                <w:color w:val="auto"/>
              </w:rPr>
            </w:pPr>
            <w:r>
              <w:rPr>
                <w:rFonts w:ascii="Arial" w:cs="Arial" w:eastAsia="Arial" w:hAnsi="Arial"/>
                <w:sz w:val="18"/>
                <w:szCs w:val="18"/>
                <w:color w:val="auto"/>
              </w:rPr>
              <w:t>8,040,513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Effect of potentially restricted common stock</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1,358,169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360"/>
              <w:spacing w:after="0" w:line="202" w:lineRule="exact"/>
              <w:rPr>
                <w:sz w:val="20"/>
                <w:szCs w:val="20"/>
                <w:color w:val="auto"/>
              </w:rPr>
            </w:pPr>
            <w:r>
              <w:rPr>
                <w:rFonts w:ascii="Arial" w:cs="Arial" w:eastAsia="Arial" w:hAnsi="Arial"/>
                <w:sz w:val="18"/>
                <w:szCs w:val="18"/>
                <w:color w:val="auto"/>
              </w:rPr>
              <w:t>Effect of potentially dilutive warrants for convertible preferred stock</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266,073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Effect of potentially dilutive warrants for common stock</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71,538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Pr>
          <w:p>
            <w:pPr>
              <w:ind w:left="360"/>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27,249,612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21,100,077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basic</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0.03</w:t>
            </w:r>
          </w:p>
        </w:tc>
        <w:tc>
          <w:tcPr>
            <w:tcW w:w="8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 the three months ended March 31, 2021 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three months ended March 31, 2021 because including them would have had an anti-dilutive effect. There were no anti-dilutive securities for the three months ended March 31, 2020.</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Warrants for the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Warrants for the purchase of convertible preferred stock (as converted into common stock)</w:t>
      </w:r>
    </w:p>
    <w:p>
      <w:pPr>
        <w:ind w:left="120"/>
        <w:spacing w:after="0" w:line="234" w:lineRule="auto"/>
        <w:rPr>
          <w:sz w:val="20"/>
          <w:szCs w:val="20"/>
          <w:color w:val="auto"/>
        </w:rPr>
      </w:pPr>
      <w:r>
        <w:rPr>
          <w:rFonts w:ascii="Arial" w:cs="Arial" w:eastAsia="Arial" w:hAnsi="Arial"/>
          <w:sz w:val="18"/>
          <w:szCs w:val="18"/>
          <w:color w:val="auto"/>
        </w:rPr>
        <w:t>Redeemable convertible preferred stock (as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Convertible preferred stock (as converted into common stock)</w:t>
      </w:r>
    </w:p>
    <w:p>
      <w:pPr>
        <w:ind w:left="120"/>
        <w:spacing w:after="0" w:line="235" w:lineRule="auto"/>
        <w:rPr>
          <w:sz w:val="20"/>
          <w:szCs w:val="20"/>
          <w:color w:val="auto"/>
        </w:rPr>
      </w:pPr>
      <w:r>
        <w:rPr>
          <w:rFonts w:ascii="Arial" w:cs="Arial" w:eastAsia="Arial" w:hAnsi="Arial"/>
          <w:sz w:val="18"/>
          <w:szCs w:val="18"/>
          <w:color w:val="auto"/>
        </w:rPr>
        <w:t>Unvested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Stock options to purchase common stock (as converted to common stock)</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Months</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2021</w:t>
      </w:r>
    </w:p>
    <w:p>
      <w:pPr>
        <w:spacing w:after="0" w:line="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75,000</w:t>
      </w:r>
    </w:p>
    <w:p>
      <w:pPr>
        <w:jc w:val="right"/>
        <w:ind w:right="80"/>
        <w:spacing w:after="0" w:line="234" w:lineRule="auto"/>
        <w:rPr>
          <w:sz w:val="20"/>
          <w:szCs w:val="20"/>
          <w:color w:val="auto"/>
        </w:rPr>
      </w:pPr>
      <w:r>
        <w:rPr>
          <w:rFonts w:ascii="Arial" w:cs="Arial" w:eastAsia="Arial" w:hAnsi="Arial"/>
          <w:sz w:val="18"/>
          <w:szCs w:val="18"/>
          <w:color w:val="auto"/>
        </w:rPr>
        <w:t>381,000</w:t>
      </w:r>
    </w:p>
    <w:p>
      <w:pPr>
        <w:jc w:val="right"/>
        <w:ind w:right="80"/>
        <w:spacing w:after="0" w:line="235" w:lineRule="auto"/>
        <w:rPr>
          <w:sz w:val="20"/>
          <w:szCs w:val="20"/>
          <w:color w:val="auto"/>
        </w:rPr>
      </w:pPr>
      <w:r>
        <w:rPr>
          <w:rFonts w:ascii="Arial" w:cs="Arial" w:eastAsia="Arial" w:hAnsi="Arial"/>
          <w:sz w:val="18"/>
          <w:szCs w:val="18"/>
          <w:color w:val="auto"/>
        </w:rPr>
        <w:t>13,811,856</w:t>
      </w:r>
    </w:p>
    <w:p>
      <w:pPr>
        <w:jc w:val="right"/>
        <w:ind w:right="80"/>
        <w:spacing w:after="0" w:line="235" w:lineRule="auto"/>
        <w:rPr>
          <w:sz w:val="20"/>
          <w:szCs w:val="20"/>
          <w:color w:val="auto"/>
        </w:rPr>
      </w:pPr>
      <w:r>
        <w:rPr>
          <w:rFonts w:ascii="Arial" w:cs="Arial" w:eastAsia="Arial" w:hAnsi="Arial"/>
          <w:sz w:val="18"/>
          <w:szCs w:val="18"/>
          <w:color w:val="auto"/>
        </w:rPr>
        <w:t>54,208,461</w:t>
      </w:r>
    </w:p>
    <w:p>
      <w:pPr>
        <w:jc w:val="right"/>
        <w:ind w:right="80"/>
        <w:spacing w:after="0" w:line="235" w:lineRule="auto"/>
        <w:rPr>
          <w:sz w:val="20"/>
          <w:szCs w:val="20"/>
          <w:color w:val="auto"/>
        </w:rPr>
      </w:pPr>
      <w:r>
        <w:rPr>
          <w:rFonts w:ascii="Arial" w:cs="Arial" w:eastAsia="Arial" w:hAnsi="Arial"/>
          <w:sz w:val="18"/>
          <w:szCs w:val="18"/>
          <w:color w:val="auto"/>
        </w:rPr>
        <w:t>516,552</w:t>
      </w:r>
    </w:p>
    <w:p>
      <w:pPr>
        <w:jc w:val="right"/>
        <w:ind w:right="80"/>
        <w:spacing w:after="0"/>
        <w:rPr>
          <w:sz w:val="20"/>
          <w:szCs w:val="20"/>
          <w:color w:val="auto"/>
        </w:rPr>
      </w:pPr>
      <w:r>
        <w:rPr>
          <w:rFonts w:ascii="Arial" w:cs="Arial" w:eastAsia="Arial" w:hAnsi="Arial"/>
          <w:sz w:val="18"/>
          <w:szCs w:val="18"/>
          <w:color w:val="auto"/>
        </w:rPr>
        <w:t>16,496,223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-1905</wp:posOffset>
            </wp:positionV>
            <wp:extent cx="7283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85,489,092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6350</wp:posOffset>
            </wp:positionV>
            <wp:extent cx="7283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23495</wp:posOffset>
            </wp:positionV>
            <wp:extent cx="7283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9580" w:space="460"/>
            <w:col w:w="11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1140"/>
          </w:cols>
          <w:pgMar w:left="320" w:top="459" w:right="439" w:bottom="1440" w:gutter="0" w:footer="0" w:header="0"/>
          <w:type w:val="continuous"/>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b w:val="1"/>
          <w:bCs w:val="1"/>
          <w:i w:val="1"/>
          <w:iCs w:val="1"/>
          <w:color w:val="auto"/>
        </w:rPr>
        <w:t>Income Taxes</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reported an income tax benefit of $7.7 million and an income tax expense of $ 0.2 million for the three months ended March 31, 2020 and 2021, respectively. The tax benefit for the three-months ended March 31, 2020 was primarily attributable to the release of valuation allowance in connection with the acquisition of Simplee. This release was due to taxable temporary differences recorded as part of the Simplee acquisition which are a source of income to realize certain pre-existing federal and state deferred tax assets.</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income tax expense for the three-months ended March 31, 2021 was primarily attributable to foreign taxes.</w:t>
      </w:r>
    </w:p>
    <w:p>
      <w:pPr>
        <w:spacing w:after="0" w:line="10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Company’s effective tax rate differs from the Federal statutory rate primarily due to the change in valuation allowance primarily in the U.S. The Company has not recorded any amounts for unrecognized tax benefits. The Company is open to future tax examinations from 2016 to the present; however, carryforward attributes that were generated prior to 2016 may still be adjusted upon examination by federal, state or local tax authorities to the extent they will be used in a future period.</w:t>
      </w:r>
    </w:p>
    <w:p>
      <w:pPr>
        <w:spacing w:after="0" w:line="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2021, the Company continues to maintain a full valuation allowance of the U.S. net deferred tax assets.</w:t>
      </w:r>
    </w:p>
    <w:p>
      <w:pPr>
        <w:spacing w:after="0" w:line="331" w:lineRule="exact"/>
        <w:rPr>
          <w:sz w:val="20"/>
          <w:szCs w:val="20"/>
          <w:color w:val="auto"/>
        </w:rPr>
      </w:pPr>
    </w:p>
    <w:p>
      <w:pPr>
        <w:ind w:left="120" w:right="7620" w:hanging="4"/>
        <w:spacing w:after="0" w:line="372" w:lineRule="auto"/>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March 2021, the Company entered into a lease agreement for 680 square feet of office space in Tel Aviv, Israel. The term of the lease commenced on March 15, 2021 and continues until March 25, 2023. The Company has the option to extend the lease for an additional two-year term at market-based rates. The base rent payments commenced in March 2021. The Company is obligated to pay its portion of building operating and tax expenses.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0400" w:type="dxa"/>
            <w:vAlign w:val="bottom"/>
          </w:tcPr>
          <w:p>
            <w:pPr>
              <w:ind w:left="440"/>
              <w:spacing w:after="0"/>
              <w:rPr>
                <w:sz w:val="20"/>
                <w:szCs w:val="20"/>
                <w:color w:val="auto"/>
              </w:rPr>
            </w:pPr>
            <w:r>
              <w:rPr>
                <w:rFonts w:ascii="Arial" w:cs="Arial" w:eastAsia="Arial" w:hAnsi="Arial"/>
                <w:sz w:val="18"/>
                <w:szCs w:val="18"/>
                <w:color w:val="auto"/>
              </w:rPr>
              <w:t>Future minimum lease payments for noncancelable operating leases as of March 31, 2021, are as follows (in thousands):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0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Years Ending December 31,</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2021 (remaining nine months)</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$1,377</w:t>
            </w: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1,636</w:t>
            </w: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1,424</w:t>
            </w: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w:t>
            </w:r>
          </w:p>
        </w:tc>
      </w:tr>
      <w:tr>
        <w:trPr>
          <w:trHeight w:val="210"/>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03"/>
        </w:trPr>
        <w:tc>
          <w:tcPr>
            <w:tcW w:w="10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4,881</w:t>
            </w:r>
          </w:p>
        </w:tc>
      </w:tr>
      <w:tr>
        <w:trPr>
          <w:trHeight w:val="20"/>
        </w:trPr>
        <w:tc>
          <w:tcPr>
            <w:tcW w:w="10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three months ending March 31, 2020 and 2021, was $0.6 million and $0.5 million, respectively.</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 of March 31, 2021, the Company was not subject to any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2020 and March 31, 2021.</w:t>
      </w:r>
    </w:p>
    <w:p>
      <w:pPr>
        <w:spacing w:after="0" w:line="329" w:lineRule="exact"/>
        <w:rPr>
          <w:sz w:val="20"/>
          <w:szCs w:val="20"/>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For the Company’s interim condensed consolidated financial statements as of March 31, 2021 and for the three months then ended, the Company has evaluated subsequent events through May 3, 2021, the date on which these unaudited condensed consolidated financial statements were available for issuance, and with respect to the stock split described below, through May 14, 2021.</w:t>
      </w:r>
    </w:p>
    <w:p>
      <w:pPr>
        <w:spacing w:after="0" w:line="203"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In April 2021, the Company facilitated a tender offer whereby certain of the Company’s existing investors commenced a tender offer to purchase shares of the Company’s common stock from certain employees of the Company, at an average price of $20.40 per share.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On May 14, 2021, the Company effected a three-for-one stock split of its issued and outstanding shares of common stock and issued and outstanding shares of Preferred Stock. Accordingly, all share and per share amounts for all periods presented in the accompanying consolidated financial statements and notes thereto have been adjusted retroactively, where applicable, to reflect this stock split.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AUDITORS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THE SHAREHOLDERS OF SIMPLIFICARE INC.</w:t>
      </w:r>
    </w:p>
    <w:p>
      <w:pPr>
        <w:spacing w:after="0" w:line="23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audited the accompanying consolidated financial statements of Simplificare Inc., which comprise the consolidated balance sheets as of December 31, 2019 and 2018 and the related consolidated statements of operations and comprehensive loss, convertible preferred stocks and stockholders’ deficit and cash flows for the years then ended, and the related notes to the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Auditor’s Responsibility</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of material misstatement.</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Simplificare Inc. at December 31, 2019 and 2018 and the consolidated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Simplificare Inc.’s Ability to Continue as a Going Concern</w:t>
      </w:r>
    </w:p>
    <w:p>
      <w:pPr>
        <w:spacing w:after="0" w:line="104" w:lineRule="exact"/>
        <w:rPr>
          <w:sz w:val="20"/>
          <w:szCs w:val="20"/>
          <w:color w:val="auto"/>
        </w:rPr>
      </w:pPr>
    </w:p>
    <w:p>
      <w:pPr>
        <w:jc w:val="both"/>
        <w:ind w:left="120" w:right="280" w:firstLine="44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Simplificare Inc</w:t>
      </w:r>
      <w:r>
        <w:rPr>
          <w:rFonts w:ascii="Arial" w:cs="Arial" w:eastAsia="Arial" w:hAnsi="Arial"/>
          <w:sz w:val="17"/>
          <w:szCs w:val="17"/>
          <w:b w:val="1"/>
          <w:bCs w:val="1"/>
          <w:color w:val="auto"/>
        </w:rPr>
        <w:t>.</w:t>
      </w:r>
      <w:r>
        <w:rPr>
          <w:rFonts w:ascii="Arial" w:cs="Arial" w:eastAsia="Arial" w:hAnsi="Arial"/>
          <w:sz w:val="17"/>
          <w:szCs w:val="17"/>
          <w:color w:val="auto"/>
        </w:rPr>
        <w:t xml:space="preserve"> will continue as a going concern. As discussed in Note 1 to the consolidated financial statements, the Company has recurring losses from operations, and has stated that substantial doubt exists about the Company’s ability to continue as a going concern. Management’s evaluation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events and conditions and management’s plans regarding these matters are also described in Note 1. The consolidated financial statements do not include any adjustments that might result from the outcome of this uncertainty. Our opinion is not modified with respect to this matter.</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Kost Forer Gabbay &amp; Kasierer</w:t>
      </w:r>
    </w:p>
    <w:p>
      <w:pPr>
        <w:ind w:left="120"/>
        <w:spacing w:after="0"/>
        <w:rPr>
          <w:sz w:val="20"/>
          <w:szCs w:val="20"/>
          <w:color w:val="auto"/>
        </w:rPr>
      </w:pPr>
      <w:r>
        <w:rPr>
          <w:rFonts w:ascii="Arial" w:cs="Arial" w:eastAsia="Arial" w:hAnsi="Arial"/>
          <w:sz w:val="18"/>
          <w:szCs w:val="18"/>
          <w:color w:val="auto"/>
        </w:rPr>
        <w:t>A Member of Ernst &amp; Young Global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00"/>
          </w:cols>
          <w:pgMar w:left="320" w:top="459" w:right="5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4,951</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857</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9,778</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 net of current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 term deposits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301</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762</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1,820</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Long-term debt, net of current portion and net of issuance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3,158</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net of current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1,106</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11,498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7,949</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C and C-1), $0.001 par value, 46,307,481 shares authorized at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2018; 44,058,986 shares issued and outstanding at December 31, 2019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2018. Aggregate liquidation preferences of $38,268 at December 31, 2019 and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38,268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38,268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70,500,000 shares authorized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11,241,043 and 11,198,077 shares issued and outstanding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Additional-paid-in-capital</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2,397</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(40,515)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(38,425)</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(36,611)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(36,044)</w:t>
            </w: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13,155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14,740</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9,890</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5,756</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(4,607)</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(2,189)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(5,057)</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comprehensive income (expense) related to foreign currency translation adjustments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(5,140)</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STOCKS AND STOCKHOLDERS’ DEFICIT</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760" w:type="dxa"/>
            <w:vAlign w:val="bottom"/>
            <w:tcBorders>
              <w:right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760" w:type="dxa"/>
            <w:vAlign w:val="bottom"/>
            <w:tcBorders>
              <w:right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
                <w:szCs w:val="2"/>
                <w:color w:val="auto"/>
              </w:rPr>
            </w:pPr>
          </w:p>
        </w:tc>
        <w:tc>
          <w:tcPr>
            <w:tcW w:w="13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rPr>
              <w:t>Income</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(Loss), Net</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Balance at January 1, 2018</w:t>
            </w:r>
          </w:p>
        </w:tc>
        <w:tc>
          <w:tcPr>
            <w:tcW w:w="880" w:type="dxa"/>
            <w:vAlign w:val="bottom"/>
            <w:shd w:val="clear" w:color="auto" w:fill="CCEEFF"/>
          </w:tcPr>
          <w:p>
            <w:pPr>
              <w:ind w:left="80"/>
              <w:spacing w:after="0" w:line="183" w:lineRule="exact"/>
              <w:rPr>
                <w:sz w:val="20"/>
                <w:szCs w:val="20"/>
                <w:color w:val="auto"/>
              </w:rPr>
            </w:pPr>
            <w:r>
              <w:rPr>
                <w:rFonts w:ascii="Arial" w:cs="Arial" w:eastAsia="Arial" w:hAnsi="Arial"/>
                <w:sz w:val="16"/>
                <w:szCs w:val="16"/>
                <w:color w:val="auto"/>
                <w:w w:val="97"/>
              </w:rPr>
              <w:t>44,058,986</w:t>
            </w:r>
          </w:p>
        </w:tc>
        <w:tc>
          <w:tcPr>
            <w:tcW w:w="16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$38,268</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11,026,420</w:t>
            </w:r>
          </w:p>
        </w:tc>
        <w:tc>
          <w:tcPr>
            <w:tcW w:w="40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1,570</w:t>
            </w:r>
          </w:p>
        </w:tc>
        <w:tc>
          <w:tcPr>
            <w:tcW w:w="28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(33,368)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(31,731)</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(5,057)</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880" w:type="dxa"/>
            <w:vAlign w:val="bottom"/>
          </w:tcPr>
          <w:p>
            <w:pPr>
              <w:ind w:left="80"/>
              <w:spacing w:after="0"/>
              <w:rPr>
                <w:sz w:val="20"/>
                <w:szCs w:val="20"/>
                <w:color w:val="auto"/>
              </w:rPr>
            </w:pPr>
            <w:r>
              <w:rPr>
                <w:rFonts w:ascii="Arial" w:cs="Arial" w:eastAsia="Arial" w:hAnsi="Arial"/>
                <w:sz w:val="16"/>
                <w:szCs w:val="16"/>
                <w:color w:val="auto"/>
                <w:w w:val="97"/>
              </w:rPr>
              <w:t>44,068,986</w:t>
            </w:r>
          </w:p>
        </w:tc>
        <w:tc>
          <w:tcPr>
            <w:tcW w:w="16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38,268</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11,198,077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(38,425)</w:t>
            </w: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(36,044)</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of adoption of</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accounting standard</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2u)</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tcPr>
          <w:p>
            <w:pPr>
              <w:ind w:left="80"/>
              <w:spacing w:after="0"/>
              <w:rPr>
                <w:sz w:val="20"/>
                <w:szCs w:val="20"/>
                <w:color w:val="auto"/>
              </w:rPr>
            </w:pPr>
            <w:r>
              <w:rPr>
                <w:rFonts w:ascii="Arial" w:cs="Arial" w:eastAsia="Arial" w:hAnsi="Arial"/>
                <w:sz w:val="16"/>
                <w:szCs w:val="16"/>
                <w:color w:val="auto"/>
                <w:w w:val="97"/>
              </w:rPr>
              <w:t>44,058,986</w:t>
            </w:r>
          </w:p>
        </w:tc>
        <w:tc>
          <w:tcPr>
            <w:tcW w:w="16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38,268</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11,241,043</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3,772</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(40,515)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(36,611)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544"/>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Represent an amount lower than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deposit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Proceeds from issuance of term loan</w:t>
            </w:r>
          </w:p>
        </w:tc>
        <w:tc>
          <w:tcPr>
            <w:tcW w:w="160" w:type="dxa"/>
            <w:vAlign w:val="bottom"/>
          </w:tcPr>
          <w:p>
            <w:pPr>
              <w:spacing w:after="0"/>
              <w:rPr>
                <w:sz w:val="17"/>
                <w:szCs w:val="17"/>
                <w:color w:val="auto"/>
              </w:rPr>
            </w:pP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2"/>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(erosion) due to exchange rate differences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transactions</w:t>
            </w:r>
            <w:r>
              <w:rPr>
                <w:rFonts w:ascii="Arial" w:cs="Arial" w:eastAsia="Arial" w:hAnsi="Arial"/>
                <w:sz w:val="18"/>
                <w:szCs w:val="18"/>
                <w:u w:val="single" w:color="auto"/>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within the Consolidated 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Sheets to the amounts shown in the Consolidated Statements of Cash Flows above: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09"/>
        </w:trPr>
        <w:tc>
          <w:tcPr>
            <w:tcW w:w="89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4,132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Simplificare Inc., a Delaware corporation was founded on August 26, 2010. In 2010, Simplificare Inc. established Simplificare Ltd. (the “Subsidiary”), a wholly owned subsidiary, which was incorporated and has commenced operations in Israel (together with Simplificare Inc. the “Company”).</w:t>
      </w:r>
    </w:p>
    <w:p>
      <w:pPr>
        <w:spacing w:after="0" w:line="20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experience designed to engage patients on financial responsibility in a personalized way, matching needs to options starting with preservice.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February 13, 2020, all of the outstanding shares of Simplificare were acquired by Flywire Healthcare Corporation (“Flywire”). All outstanding shares of preferred stock were converted to common stock. Additionally, warrants and vested options were exercised for common stock and outstanding debt was paid off at the acquisition date with proceeds from the acquisition. The Company will continue to operate as a 100% wholly owned subsidiary of Flywire. Historically, the Company has generated losses from operations, and at December 31, 2019 has an accumulated deficit of $40.5 million and negative cash flows from operating activities during the year ended December 31, 2019 is $1 million. The Company requires additional financing in order to continue to fund its current operations and pay existing and future liabilities These conditions raise substantial doubt about the Company’s ability to continue as a going concern. The consolidated financial statements do not include any adjustments to the carrying amounts and classifications of assets and liabilities that would result if the Company was unable to continue as a going concern.</w:t>
      </w:r>
    </w:p>
    <w:p>
      <w:pPr>
        <w:spacing w:after="0" w:line="207"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Post acquisition, the Company has been integrated into Flywire, and determining the results from operations for Simplificare is impractical. Flywire, as the parent company, will fund any deficits incurred by Simplificare into the foreseeable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6"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(“U.S. GAAP”).</w:t>
      </w:r>
    </w:p>
    <w:p>
      <w:pPr>
        <w:spacing w:after="0" w:line="102" w:lineRule="exact"/>
        <w:rPr>
          <w:sz w:val="20"/>
          <w:szCs w:val="20"/>
          <w:color w:val="auto"/>
        </w:rPr>
      </w:pPr>
    </w:p>
    <w:p>
      <w:pPr>
        <w:ind w:left="660" w:hanging="544"/>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03" w:lineRule="exact"/>
        <w:rPr>
          <w:rFonts w:ascii="Arial" w:cs="Arial" w:eastAsia="Arial" w:hAnsi="Arial"/>
          <w:sz w:val="18"/>
          <w:szCs w:val="18"/>
          <w:color w:val="auto"/>
        </w:rPr>
      </w:pPr>
    </w:p>
    <w:p>
      <w:pPr>
        <w:ind w:left="660" w:right="240"/>
        <w:spacing w:after="0"/>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0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The functional currency of the Company is the U.S. dollar, as the U.S. dollar is the currency of the primary economic environment in which the Company and its subsidiary has operated and expects to continue to operate in the foreseeable future.</w:t>
      </w:r>
    </w:p>
    <w:p>
      <w:pPr>
        <w:spacing w:after="0" w:line="88" w:lineRule="exact"/>
        <w:rPr>
          <w:rFonts w:ascii="Arial" w:cs="Arial" w:eastAsia="Arial" w:hAnsi="Arial"/>
          <w:sz w:val="18"/>
          <w:szCs w:val="18"/>
          <w:color w:val="auto"/>
        </w:rPr>
      </w:pPr>
    </w:p>
    <w:p>
      <w:pPr>
        <w:jc w:val="both"/>
        <w:ind w:left="660" w:right="320"/>
        <w:spacing w:after="0"/>
        <w:rPr>
          <w:rFonts w:ascii="Arial" w:cs="Arial" w:eastAsia="Arial" w:hAnsi="Arial"/>
          <w:sz w:val="18"/>
          <w:szCs w:val="18"/>
          <w:color w:val="auto"/>
        </w:rPr>
      </w:pPr>
      <w:r>
        <w:rPr>
          <w:rFonts w:ascii="Arial" w:cs="Arial" w:eastAsia="Arial" w:hAnsi="Arial"/>
          <w:sz w:val="18"/>
          <w:szCs w:val="18"/>
          <w:color w:val="auto"/>
        </w:rPr>
        <w:t>Accordingly, monetary accounts maintained in currencies other than the dollar are re-measured into U.S. dollars. All transaction gains and losses of the re-measured monetary balance sheet items are reflected in the consolidated statement of operations as other income or expenses, as appropriate.</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NIS is the currency of the primary economic environment in which the Subsidiary expects to operate in the foreseeable future. The Subsidiary’s operations are currently conducted mostly in Israel and its expenses are currently paid in NIS.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Accordingly, monetary accounts maintained in currencies other than NIS are re-measured into NIS. All transaction gains and losses of the re-measurement of monetary balance sheet items are reflected in the consolidated statements of operations and comprehensive loss as other income or expenses, as appropriate.</w:t>
      </w:r>
    </w:p>
    <w:p>
      <w:pPr>
        <w:spacing w:after="0" w:line="108" w:lineRule="exact"/>
        <w:rPr>
          <w:sz w:val="20"/>
          <w:szCs w:val="20"/>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03" w:lineRule="exact"/>
        <w:rPr>
          <w:rFonts w:ascii="Arial" w:cs="Arial" w:eastAsia="Arial" w:hAnsi="Arial"/>
          <w:sz w:val="18"/>
          <w:szCs w:val="18"/>
          <w:color w:val="auto"/>
        </w:rPr>
      </w:pPr>
    </w:p>
    <w:p>
      <w:pPr>
        <w:ind w:left="660" w:right="240"/>
        <w:spacing w:after="0" w:line="246"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Simplificare Inc. and its Subsidiary. Intercompany transactions and balances have been eliminated upon consolidation.</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03" w:lineRule="exact"/>
        <w:rPr>
          <w:rFonts w:ascii="Arial" w:cs="Arial" w:eastAsia="Arial" w:hAnsi="Arial"/>
          <w:sz w:val="18"/>
          <w:szCs w:val="18"/>
          <w:color w:val="auto"/>
        </w:rPr>
      </w:pPr>
    </w:p>
    <w:p>
      <w:pPr>
        <w:ind w:left="660" w:right="640"/>
        <w:spacing w:after="0" w:line="246"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including merchant account and unrestricted short-term bank deposits purchased with stated maturities of three months or less from the date of purchase, to be cash equivalents.</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Restricted cash and deposits: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and deposits are used as a security for the Company’s lessor and as retention for merchant accounts.</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03" w:lineRule="exact"/>
        <w:rPr>
          <w:rFonts w:ascii="Arial" w:cs="Arial" w:eastAsia="Arial" w:hAnsi="Arial"/>
          <w:sz w:val="18"/>
          <w:szCs w:val="18"/>
          <w:color w:val="auto"/>
        </w:rPr>
      </w:pPr>
    </w:p>
    <w:p>
      <w:pPr>
        <w:ind w:left="660" w:right="560"/>
        <w:spacing w:after="0" w:line="246"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lives: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02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3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3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By the shorter of the term of the</w:t>
            </w:r>
          </w:p>
        </w:tc>
      </w:tr>
      <w:tr>
        <w:trPr>
          <w:trHeight w:val="203"/>
        </w:trPr>
        <w:tc>
          <w:tcPr>
            <w:tcW w:w="7020" w:type="dxa"/>
            <w:vAlign w:val="bottom"/>
            <w:shd w:val="clear" w:color="auto" w:fill="CCEEFF"/>
          </w:tcPr>
          <w:p>
            <w:pPr>
              <w:spacing w:after="0"/>
              <w:rPr>
                <w:sz w:val="17"/>
                <w:szCs w:val="17"/>
                <w:color w:val="auto"/>
              </w:rPr>
            </w:pPr>
          </w:p>
        </w:tc>
        <w:tc>
          <w:tcPr>
            <w:tcW w:w="3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lease or the life of the asset</w:t>
            </w:r>
          </w:p>
        </w:tc>
      </w:tr>
    </w:tbl>
    <w:p>
      <w:pPr>
        <w:spacing w:after="0" w:line="121" w:lineRule="exact"/>
        <w:rPr>
          <w:sz w:val="20"/>
          <w:szCs w:val="20"/>
          <w:color w:val="auto"/>
        </w:rPr>
      </w:pPr>
    </w:p>
    <w:p>
      <w:pPr>
        <w:ind w:left="660" w:hanging="544"/>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03"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2019, and 2018, no impairment losses have been identified.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 recognized under ASC 606:</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Performance obligations and timing of revenue recognition:</w:t>
      </w:r>
    </w:p>
    <w:p>
      <w:pPr>
        <w:spacing w:after="0" w:line="103" w:lineRule="exact"/>
        <w:rPr>
          <w:rFonts w:ascii="Arial" w:cs="Arial" w:eastAsia="Arial" w:hAnsi="Arial"/>
          <w:sz w:val="18"/>
          <w:szCs w:val="18"/>
          <w:color w:val="auto"/>
        </w:rPr>
      </w:pPr>
    </w:p>
    <w:p>
      <w:pPr>
        <w:ind w:left="660" w:right="80"/>
        <w:spacing w:after="0" w:line="238" w:lineRule="auto"/>
        <w:rPr>
          <w:rFonts w:ascii="Arial" w:cs="Arial" w:eastAsia="Arial" w:hAnsi="Arial"/>
          <w:sz w:val="18"/>
          <w:szCs w:val="18"/>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solution designed to optimize collections, namely, the Company provides its customers a cloud-based access to its software. The customers do not acquire the software to run on their systems, but instead are limited to accessing the platform from the systems of the Company under a hosting arrangement.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300"/>
        <w:spacing w:after="0" w:line="257" w:lineRule="auto"/>
        <w:rPr>
          <w:sz w:val="20"/>
          <w:szCs w:val="20"/>
          <w:color w:val="auto"/>
        </w:rPr>
      </w:pPr>
      <w:r>
        <w:rPr>
          <w:rFonts w:ascii="Arial" w:cs="Arial" w:eastAsia="Arial" w:hAnsi="Arial"/>
          <w:sz w:val="17"/>
          <w:szCs w:val="17"/>
          <w:color w:val="auto"/>
        </w:rPr>
        <w:t>The Company recognizes revenue in accordance with Accounting Standards Codification (“ASC”) 606- Revenue from Contracts with Customers (“ASC 606”) when, or as, control of the promised goods or services is transferred to the customer, in an amount that reflects the consideration it expect to be entitled to in exchange for those goods or services. Revenue is recognized net of allowances for refunds and any taxes collected from customers, which are subsequently remitted to governmental authorities.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17"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10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company’s contract is formed when a customer signs a Software Service Agreement and an Order Form. The contracts usually include an automatic renewal option for an additional 12 months period. The nature of the Company’s service is to stand ready to approve its Customers’ online transactions during the contract term. Customers are granted access to the platform under a hosting arrangement and do not acquire a license to run the software on their systems. The customers are obliged to pay a percentage-based amount per transaction. In limited cases the contracts include a minimal monthly fee. As the contracts include an unknown quantity of output (i.e. approved transactions) at a fixed contractual rate per the transactions executed on a monthly basis, the contract price is deemed variable. The Company allocates the variable consideration to the month in which the service is performed which coincides with the month the Company has the contractual right to bill. Invoiced amounts are recorded in accounts receivable and in revenue.</w:t>
      </w:r>
    </w:p>
    <w:p>
      <w:pPr>
        <w:spacing w:after="0" w:line="99"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The nature of the Company’s service is to provide its clients’ patients access to a cloud-based payments solution. The Company has determined that it has one performance obligation, the act of standing ready to provide continuous access to the platform and process related payment transactions. To provide those services the Company has to implement the client to the cloud-based solution, provide hosting services, generation and distribution of client patients billing statements, support services and when and updates, if applicable, that constitute inputs of a combined output.</w:t>
      </w:r>
    </w:p>
    <w:p>
      <w:pPr>
        <w:spacing w:after="0" w:line="94"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integration services the Company provides at inception of contracts, are in substance a set-up activity and are being accounted for as costs to fulfil a contract as detailed below.</w:t>
      </w:r>
    </w:p>
    <w:p>
      <w:pPr>
        <w:spacing w:after="0" w:line="89"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The Company has determined that it can use the “as-invoiced” practical expedient since the fees vary only within a given month, and the minimal fee is not substantive.</w:t>
      </w:r>
    </w:p>
    <w:p>
      <w:pPr>
        <w:spacing w:after="0" w:line="89"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4"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printing services are part of the performance obligation that comprises a series. In order for an element of a contract to be considered for separate treatment under the gross vs. net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220"/>
        <w:spacing w:after="0"/>
        <w:rPr>
          <w:sz w:val="20"/>
          <w:szCs w:val="20"/>
          <w:color w:val="auto"/>
        </w:rPr>
      </w:pPr>
      <w:r>
        <w:rPr>
          <w:rFonts w:ascii="Arial" w:cs="Arial" w:eastAsia="Arial" w:hAnsi="Arial"/>
          <w:sz w:val="18"/>
          <w:szCs w:val="18"/>
          <w:color w:val="auto"/>
        </w:rPr>
        <w:t>guidance of ASC 606, it would need to be considered a separate performance obligation (i.e. specified good). As the Company is the principal in the series performance obligation to the customer, and the printing services are part of the series, the cost of printing and postage is considered a fulfillment cost of the obligation and recorded gross.</w:t>
      </w:r>
    </w:p>
    <w:p>
      <w:pPr>
        <w:spacing w:after="0" w:line="95" w:lineRule="exact"/>
        <w:rPr>
          <w:sz w:val="20"/>
          <w:szCs w:val="20"/>
          <w:color w:val="auto"/>
        </w:rPr>
      </w:pPr>
    </w:p>
    <w:p>
      <w:pPr>
        <w:ind w:left="660" w:right="120"/>
        <w:spacing w:after="0" w:line="237"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has remaining performance obligations associated with contracts with terms greater than one year of $839. Remaining performance obligations range from an additional 1-5 years.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following table provides information above accounts receivable, unbilled receivable and deferred revenue from contracts with customers (in thousands):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594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7,161</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3,893</w:t>
            </w:r>
          </w:p>
        </w:tc>
        <w:tc>
          <w:tcPr>
            <w:tcW w:w="80" w:type="dxa"/>
            <w:vAlign w:val="bottom"/>
            <w:shd w:val="clear" w:color="auto" w:fill="CCEEFF"/>
          </w:tcPr>
          <w:p>
            <w:pPr>
              <w:spacing w:after="0"/>
              <w:rPr>
                <w:sz w:val="17"/>
                <w:szCs w:val="17"/>
                <w:color w:val="auto"/>
              </w:rPr>
            </w:pPr>
          </w:p>
        </w:tc>
      </w:tr>
      <w:tr>
        <w:trPr>
          <w:trHeight w:val="202"/>
        </w:trPr>
        <w:tc>
          <w:tcPr>
            <w:tcW w:w="5940" w:type="dxa"/>
            <w:vAlign w:val="bottom"/>
          </w:tcPr>
          <w:p>
            <w:pPr>
              <w:spacing w:after="0" w:line="202" w:lineRule="exact"/>
              <w:rPr>
                <w:sz w:val="20"/>
                <w:szCs w:val="20"/>
                <w:color w:val="auto"/>
              </w:rPr>
            </w:pPr>
            <w:r>
              <w:rPr>
                <w:rFonts w:ascii="Arial" w:cs="Arial" w:eastAsia="Arial" w:hAnsi="Arial"/>
                <w:sz w:val="18"/>
                <w:szCs w:val="18"/>
                <w:color w:val="auto"/>
              </w:rPr>
              <w:t>Deferred revenue - current</w:t>
            </w:r>
          </w:p>
        </w:tc>
        <w:tc>
          <w:tcPr>
            <w:tcW w:w="3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 non-current</w:t>
            </w:r>
          </w:p>
        </w:tc>
        <w:tc>
          <w:tcPr>
            <w:tcW w:w="28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acquisition and fulfillment costs</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Some of the sales commissions earned by the Company’s sales force are considered incremental and recoverable costs of obtaining a contract with a customer. Sales commissions for new contracts are deferred and then amortized on a straight-line basis over a period of benefit that is estimated to be four years. The Company determined the period of benefit by taking into consideration its technology’s useful life and other factors. Sales commissions for renewal contracts are deferred and then amortized on a straight-line basis over the related contractual renewal period.</w:t>
      </w:r>
    </w:p>
    <w:p>
      <w:pPr>
        <w:spacing w:after="0" w:line="94"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The Company applies the practical expedient to expense costs as incurred for sales commissions when the amortization period would have been one year or less.</w:t>
      </w:r>
    </w:p>
    <w:p>
      <w:pPr>
        <w:spacing w:after="0" w:line="89"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In addition, the Company is required to provide integration services in order to be able to fulfil its obligation to provide their services. The integration performed by the Company is in substance a set-up activity rather than a distinct performance obligation that allows the use of the platform and do not provide separate value to the customer. The integration costs incurred by the Company are being accounted for as costs to fulfill a contract.</w:t>
      </w:r>
    </w:p>
    <w:p>
      <w:pPr>
        <w:spacing w:after="0" w:line="97"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Company assesses on a periodic basis what part of the costs should be capitalized according to the employees’ time allocated to provide integration services.</w:t>
      </w:r>
    </w:p>
    <w:p>
      <w:pPr>
        <w:spacing w:after="0" w:line="89"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asset recognized from capitalizing the costs to fulfill a contract is amortized on a systematic basis consistent with the pattern of the transfer of the goods or services to which the asset relates.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Company incurs the relevant integration costs only at the beginning of the contract or due to upsells. As such, the amortization period was determined to be four years.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recognized under ASC 605:</w:t>
      </w:r>
    </w:p>
    <w:p>
      <w:pPr>
        <w:spacing w:after="0" w:line="122"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The Company’s main customers are health systems wishing to facilitate patients billing and collection process. The subscription fees are charged on a per month basis, additionally the company charges a fixed platform fee. Transaction fees are charged to the customer based on the success of collecting patient payments. These transactions fees are recognized in the period the transaction is complete. The company’s transaction processing expenses are recorded as part of cost of revenue.</w:t>
      </w: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Company commences revenue recognition when all of the following conditions are satisfied:</w:t>
      </w:r>
    </w:p>
    <w:p>
      <w:pPr>
        <w:spacing w:after="0" w:line="117" w:lineRule="exact"/>
        <w:rPr>
          <w:sz w:val="20"/>
          <w:szCs w:val="20"/>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service has been or is being provided to the customer;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collection of the fees is reasonably assured;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0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Amounts that have been invoiced are recorded in accounts receivable and in deferred revenue or revenue, depending on whether the revenue recognition criteria have been met.</w:t>
      </w:r>
    </w:p>
    <w:p>
      <w:pPr>
        <w:spacing w:after="0" w:line="89"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The Company enters into arrangements with multiple deliverables (ASC 605-25) that generally include subscription fees and Professional Services (“PS”) fees. The Company concluded that the PS does not have a standalone value since the implementation process is necessary for the customer in order to access and utilize the service and since the Company has no substantive experience of either (1) selling the service to new customers without the associated PS or (2) other vendors providing similar services. Subscriptions are recognized ratably over the contracted term of delivery, and PS is recognized after completed, over the remaining life of the agreement, assuming that the other revenue recognition criteria have been met.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the costs billed to the Company by third parties, such as pass-through and printing cost, was reimbursed by the end user (health care providers). The company is not the primary obligor in providing these services, as such, revenue for these transactions is presented net of these costs in the consolidated statements of operations.</w:t>
      </w:r>
    </w:p>
    <w:p>
      <w:pPr>
        <w:spacing w:after="0" w:line="108" w:lineRule="exact"/>
        <w:rPr>
          <w:sz w:val="20"/>
          <w:szCs w:val="20"/>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Research and development costs are charged to expenses as incurred.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long-term liabilities</w:t>
      </w:r>
    </w:p>
    <w:p>
      <w:pPr>
        <w:spacing w:after="0" w:line="103"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The Company receives cash proceeds from customers to offset the deposits the Company makes to printing and postage vendors. These customer deposits are payable back to the customer upon termination of the customer agreement.</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The Company accounts for stock-based arrangements in accordance with ASC 718, “Compensation—Stock Compensation”. ASC 718 requires companies to estimate the fair value of equity-based payment awards on the date of grant using an option-pricing model. The fair-value of the portion of the award that is ultimately expected to vest is recognized as an expense over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requisite service periods in the Company’s consolidated statement of operations and comprehensive loss.</w:t>
      </w:r>
    </w:p>
    <w:p>
      <w:pPr>
        <w:spacing w:after="0" w:line="104"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The Company recognizes compensation expenses for the fair-value of its awards granted based on the straight-line method over the requisite service period of each of the awards.</w:t>
      </w:r>
    </w:p>
    <w:p>
      <w:pPr>
        <w:spacing w:after="0" w:line="89"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weighted average assumptions noted in the following table: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2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Volatility</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1.4%-2.7%</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2.7%-3%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93"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Expected volatility is based on the average volatility of similar public entities for which stock price information is available. The expected option term represents the period that the Company’s stock options are expected to be outstanding and was determined based on the average of the vesting period and the contractual term. The risk-free rate is based on observed interest rates appropriate for the term of the Company’s employee stock options. The dividend yield assumption is based on the Company’s historical and expectation of future dividend payouts and may be subject to change in the future.</w:t>
      </w:r>
    </w:p>
    <w:p>
      <w:pPr>
        <w:spacing w:after="0" w:line="108" w:lineRule="exact"/>
        <w:rPr>
          <w:sz w:val="20"/>
          <w:szCs w:val="20"/>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03" w:lineRule="exact"/>
        <w:rPr>
          <w:rFonts w:ascii="Arial" w:cs="Arial" w:eastAsia="Arial" w:hAnsi="Arial"/>
          <w:sz w:val="18"/>
          <w:szCs w:val="18"/>
          <w:color w:val="auto"/>
        </w:rPr>
      </w:pPr>
    </w:p>
    <w:p>
      <w:pPr>
        <w:ind w:left="660" w:right="40"/>
        <w:spacing w:after="0" w:line="238"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(“ACS 740”).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Valuation allowance is recorded to reduce the deferred tax assets to the net amount that the Company believes is more likely than not to be realized.</w:t>
      </w:r>
    </w:p>
    <w:p>
      <w:pPr>
        <w:spacing w:after="0" w:line="94"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The Company accounts for its uncertain tax positions using a two-step approach to determine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includes interest and penalties in the provision for income taxes.</w:t>
      </w:r>
    </w:p>
    <w:p>
      <w:pPr>
        <w:spacing w:after="0" w:line="110" w:lineRule="exact"/>
        <w:rPr>
          <w:rFonts w:ascii="Arial" w:cs="Arial" w:eastAsia="Arial" w:hAnsi="Arial"/>
          <w:sz w:val="18"/>
          <w:szCs w:val="18"/>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103" w:lineRule="exact"/>
        <w:rPr>
          <w:rFonts w:ascii="Arial" w:cs="Arial" w:eastAsia="Arial" w:hAnsi="Arial"/>
          <w:sz w:val="18"/>
          <w:szCs w:val="18"/>
          <w:color w:val="auto"/>
        </w:rPr>
      </w:pPr>
    </w:p>
    <w:p>
      <w:pPr>
        <w:ind w:left="660" w:right="220"/>
        <w:spacing w:after="0" w:line="246" w:lineRule="auto"/>
        <w:rPr>
          <w:rFonts w:ascii="Arial" w:cs="Arial" w:eastAsia="Arial" w:hAnsi="Arial"/>
          <w:sz w:val="18"/>
          <w:szCs w:val="18"/>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w:t>
      </w:r>
    </w:p>
    <w:p>
      <w:pPr>
        <w:spacing w:after="0" w:line="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Advertising expenses were $762 and $601 for the years ended December 31, 2018 and 2019, respectively.</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103"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All of the Israeli subsidiary’s employees are included under section 14 of the Severance Compensation Law, 1963 (“section 14”). Pursuant to section 14, employees are entitled only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monthly deposits, at a rate of 8.33% of their monthly salary, made in their name with insurance companies. Payments in accordance with section 14 release the Company from any future severance payments in respect of those employees. The severance pay liabilities and deposits covered under the Company’s severance pay plans are not reflected in the balance sheet as the severance pay risks have been irrevocably transferred to the severance funds.</w:t>
      </w:r>
    </w:p>
    <w:p>
      <w:pPr>
        <w:spacing w:after="0" w:line="110" w:lineRule="exact"/>
        <w:rPr>
          <w:sz w:val="20"/>
          <w:szCs w:val="20"/>
          <w:color w:val="auto"/>
        </w:rPr>
      </w:pPr>
    </w:p>
    <w:p>
      <w:pPr>
        <w:ind w:left="660" w:hanging="54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Concentration of credit risks, Financial Instruments and Significant Customers:</w:t>
      </w:r>
    </w:p>
    <w:p>
      <w:pPr>
        <w:spacing w:after="0" w:line="103" w:lineRule="exact"/>
        <w:rPr>
          <w:rFonts w:ascii="Arial" w:cs="Arial" w:eastAsia="Arial" w:hAnsi="Arial"/>
          <w:sz w:val="18"/>
          <w:szCs w:val="18"/>
          <w:color w:val="auto"/>
        </w:rPr>
      </w:pPr>
    </w:p>
    <w:p>
      <w:pPr>
        <w:ind w:left="660" w:right="280"/>
        <w:spacing w:after="0" w:line="23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short-term deposits. The Company maintains its cash and cash equivalents with financial institutions that management believes are of high credit quality. To manage credit risk related to accounts receivable, the Company evaluations credit worthiness of its customers and maintains allowances, to the extent necessary, for potential credit losses based upon the aging of its accounts receivable balances and known collection issues. The Company has not experienced any significant credit losses to date.</w:t>
      </w:r>
    </w:p>
    <w:p>
      <w:pPr>
        <w:spacing w:after="0" w:line="96" w:lineRule="exact"/>
        <w:rPr>
          <w:rFonts w:ascii="Arial" w:cs="Arial" w:eastAsia="Arial" w:hAnsi="Arial"/>
          <w:sz w:val="18"/>
          <w:szCs w:val="18"/>
          <w:color w:val="auto"/>
        </w:rPr>
      </w:pPr>
    </w:p>
    <w:p>
      <w:pPr>
        <w:ind w:left="660" w:right="20"/>
        <w:spacing w:after="0"/>
        <w:rPr>
          <w:rFonts w:ascii="Arial" w:cs="Arial" w:eastAsia="Arial" w:hAnsi="Arial"/>
          <w:sz w:val="18"/>
          <w:szCs w:val="18"/>
          <w:color w:val="auto"/>
        </w:rPr>
      </w:pPr>
      <w:r>
        <w:rPr>
          <w:rFonts w:ascii="Arial" w:cs="Arial" w:eastAsia="Arial" w:hAnsi="Arial"/>
          <w:sz w:val="18"/>
          <w:szCs w:val="18"/>
          <w:color w:val="auto"/>
        </w:rPr>
        <w:t>From time to time, the Company may have corporate deposit balances with financial services institutions which exceed the Federal Deposit Insurance Corporation (“FDIC”) insurance limit of $250,000. As part of the cash management process, the Company performs periodic reviews of the financial institution credit standing.</w:t>
      </w:r>
    </w:p>
    <w:p>
      <w:pPr>
        <w:spacing w:after="0" w:line="94" w:lineRule="exact"/>
        <w:rPr>
          <w:rFonts w:ascii="Arial" w:cs="Arial" w:eastAsia="Arial" w:hAnsi="Arial"/>
          <w:sz w:val="18"/>
          <w:szCs w:val="18"/>
          <w:color w:val="auto"/>
        </w:rPr>
      </w:pPr>
    </w:p>
    <w:p>
      <w:pPr>
        <w:ind w:left="660" w:right="140"/>
        <w:spacing w:after="0" w:line="246" w:lineRule="auto"/>
        <w:rPr>
          <w:rFonts w:ascii="Arial" w:cs="Arial" w:eastAsia="Arial" w:hAnsi="Arial"/>
          <w:sz w:val="18"/>
          <w:szCs w:val="18"/>
          <w:color w:val="auto"/>
        </w:rPr>
      </w:pPr>
      <w:r>
        <w:rPr>
          <w:rFonts w:ascii="Arial" w:cs="Arial" w:eastAsia="Arial" w:hAnsi="Arial"/>
          <w:sz w:val="18"/>
          <w:szCs w:val="18"/>
          <w:color w:val="auto"/>
        </w:rPr>
        <w:t>The Company had no off-balance sheet concentration of credit risk, such as foreign exchange contracts, option contracts or other foreign hedging agreements.</w:t>
      </w:r>
    </w:p>
    <w:p>
      <w:pPr>
        <w:spacing w:after="0" w:line="8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Accounts receivable are derived from revenue earned from customers located in the U.S. As of December 31, 2018 there are three customers that account for more than 10% of net accounts receivable and aggregated to 36.7% of net accounts receivable, and as of December 31, 2019, there is one customer that accounted for 21.5% of net accounts receivable.</w:t>
      </w:r>
    </w:p>
    <w:p>
      <w:pPr>
        <w:spacing w:after="0" w:line="94" w:lineRule="exact"/>
        <w:rPr>
          <w:rFonts w:ascii="Arial" w:cs="Arial" w:eastAsia="Arial" w:hAnsi="Arial"/>
          <w:sz w:val="18"/>
          <w:szCs w:val="18"/>
          <w:color w:val="auto"/>
        </w:rPr>
      </w:pPr>
    </w:p>
    <w:p>
      <w:pPr>
        <w:ind w:left="660" w:right="80"/>
        <w:spacing w:after="0" w:line="246" w:lineRule="auto"/>
        <w:rPr>
          <w:rFonts w:ascii="Arial" w:cs="Arial" w:eastAsia="Arial" w:hAnsi="Arial"/>
          <w:sz w:val="18"/>
          <w:szCs w:val="18"/>
          <w:color w:val="auto"/>
        </w:rPr>
      </w:pPr>
      <w:r>
        <w:rPr>
          <w:rFonts w:ascii="Arial" w:cs="Arial" w:eastAsia="Arial" w:hAnsi="Arial"/>
          <w:sz w:val="18"/>
          <w:szCs w:val="18"/>
          <w:color w:val="auto"/>
        </w:rPr>
        <w:t>During the year ended December 31, 2018 there are two customers that account for 24.4% of revenue, and during the year ended December 31, 2019 there are no customers that account for 10% or more of revenue.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03"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080"/>
          </w:cols>
          <w:pgMar w:left="320" w:top="459"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cash equivalents, accounts receivable, accounts payables, and accrued payroll and related benefits and accrued expenses and other payables approximate their respective fair values due to the short-term nature of these assets and liabilities. The Company’s warrants to purchase convertible preferred stock are carried at fair value, determined using Level 3 inputs in the fair value hierarchy.</w:t>
      </w:r>
    </w:p>
    <w:p>
      <w:pPr>
        <w:spacing w:after="0" w:line="110" w:lineRule="exact"/>
        <w:rPr>
          <w:sz w:val="20"/>
          <w:szCs w:val="20"/>
          <w:color w:val="auto"/>
        </w:rPr>
      </w:pPr>
    </w:p>
    <w:p>
      <w:pPr>
        <w:ind w:left="660" w:hanging="544"/>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Software Developed for Internal Use</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product is available for general use, capitalization ceases and the asset begins being amortized. Software developed for internal use is amortized over its estimated useful life, which ranges between three and five years, in a manner that best depicts the pattern of economic use of assets which approximates straight-line.</w:t>
      </w:r>
    </w:p>
    <w:p>
      <w:pPr>
        <w:spacing w:after="0" w:line="98"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Due to immateriality the Company did not capitalize any cost related to internal use software during the years ended December 31, 2019 and 2018.</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Warrants to purchase Convertible Preferred Stock:</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warrants to purchase convertible preferred stock provide for net share settlement under which the maximum number of shares that could be issued represents the total amount of shares under the warrant agreements. These warrants are classified as liabilities and are marked to market each reporting period based on changes in the warrants’ fair value calculating using the Black-Scholes model. Inputs used in the fair value calculation include exercise price, risk-free interest rate, expected dividend yield, remaining contractual term and expected volatility. The Company determines the fair value per share of the underlying convertible preferred stock by taking into consideration the most recent sales of its convertible preferred stock, results obtained from third-party valuations and additional factors that the Company deems relevant. The Company is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w:t>
      </w:r>
    </w:p>
    <w:p>
      <w:pPr>
        <w:spacing w:after="0" w:line="96"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Changes in fair value of the warrants are recognized as a component of other income (expense), net on the on the consolidated statements of operations and comprehensive loss.</w:t>
      </w:r>
    </w:p>
    <w:p>
      <w:pPr>
        <w:spacing w:after="0" w:line="88" w:lineRule="exact"/>
        <w:rPr>
          <w:rFonts w:ascii="Arial" w:cs="Arial" w:eastAsia="Arial" w:hAnsi="Arial"/>
          <w:sz w:val="18"/>
          <w:szCs w:val="18"/>
          <w:color w:val="auto"/>
        </w:rPr>
      </w:pPr>
    </w:p>
    <w:p>
      <w:pPr>
        <w:ind w:left="660" w:right="900"/>
        <w:spacing w:after="0" w:line="246" w:lineRule="auto"/>
        <w:rPr>
          <w:rFonts w:ascii="Arial" w:cs="Arial" w:eastAsia="Arial" w:hAnsi="Arial"/>
          <w:sz w:val="18"/>
          <w:szCs w:val="18"/>
          <w:color w:val="auto"/>
        </w:rPr>
      </w:pPr>
      <w:r>
        <w:rPr>
          <w:rFonts w:ascii="Arial" w:cs="Arial" w:eastAsia="Arial" w:hAnsi="Arial"/>
          <w:sz w:val="18"/>
          <w:szCs w:val="18"/>
          <w:color w:val="auto"/>
        </w:rPr>
        <w:t>The company issued 356,009 and 95,174 warrants to purchase Series C Convertible Preferred Stock in 2019 and 2018, respectively (see also Note 9).</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hanging="544"/>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Funds receivable and funds payable:</w:t>
      </w:r>
    </w:p>
    <w:p>
      <w:pPr>
        <w:spacing w:after="0" w:line="103" w:lineRule="exact"/>
        <w:rPr>
          <w:rFonts w:ascii="Arial" w:cs="Arial" w:eastAsia="Arial" w:hAnsi="Arial"/>
          <w:sz w:val="18"/>
          <w:szCs w:val="18"/>
          <w:color w:val="auto"/>
        </w:rPr>
      </w:pPr>
    </w:p>
    <w:p>
      <w:pPr>
        <w:ind w:left="660" w:right="760"/>
        <w:spacing w:after="0" w:line="246" w:lineRule="auto"/>
        <w:rPr>
          <w:rFonts w:ascii="Arial" w:cs="Arial" w:eastAsia="Arial" w:hAnsi="Arial"/>
          <w:sz w:val="18"/>
          <w:szCs w:val="18"/>
          <w:color w:val="auto"/>
        </w:rPr>
      </w:pPr>
      <w:r>
        <w:rPr>
          <w:rFonts w:ascii="Arial" w:cs="Arial" w:eastAsia="Arial" w:hAnsi="Arial"/>
          <w:sz w:val="18"/>
          <w:szCs w:val="18"/>
          <w:color w:val="auto"/>
        </w:rPr>
        <w:t>Funds receivable and payable arise due to the time taken to clear transactions through external payment networks. Funds receivable and payable are treated as a receivable or payable, as the case may be, until the cash is settled.</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Recently adopted accounting pronouncements</w:t>
      </w:r>
    </w:p>
    <w:p>
      <w:pPr>
        <w:spacing w:after="0" w:line="117" w:lineRule="exact"/>
        <w:rPr>
          <w:rFonts w:ascii="Arial" w:cs="Arial" w:eastAsia="Arial" w:hAnsi="Arial"/>
          <w:sz w:val="18"/>
          <w:szCs w:val="18"/>
          <w:color w:val="auto"/>
        </w:rPr>
      </w:pPr>
    </w:p>
    <w:p>
      <w:pPr>
        <w:ind w:left="1300" w:hanging="644"/>
        <w:spacing w:after="0" w:line="236"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August 2016, the FASB issued Accounting Standards Update (“ASU”) No. 2016-15, “Classification of Certain Cash Receipts and Cash Payments,” which addresses eight classification issues related to the statement of cash flows. In November 2016, the FASB issued ASU 2016-18, “Statement of Cash Flows: Restricted Cash,” which addresses classification and presentation of changes in restricted cash on the statement of cash flows. The standard requires that restricted cash and restricted cash equivalents be included as components of total cash and cash equivalents as presented on the statement of cash flows. The Company adopted ASU 2016-15 and ASU 2016-18 on January 1, 2019 using a retrospective transition method and applied to the period presented on the consolidated statement of cash flows. Restricted cash includes cash and cash equivalents that is restricted through legal contracts, regulations or the Company’s intention to use the cash for a specific purpose. The Company’s restricted cash primarily relates to refundable deposits.</w:t>
      </w:r>
    </w:p>
    <w:p>
      <w:pPr>
        <w:spacing w:after="0" w:line="112" w:lineRule="exact"/>
        <w:rPr>
          <w:rFonts w:ascii="Arial" w:cs="Arial" w:eastAsia="Arial" w:hAnsi="Arial"/>
          <w:sz w:val="18"/>
          <w:szCs w:val="18"/>
          <w:color w:val="auto"/>
        </w:rPr>
      </w:pPr>
    </w:p>
    <w:p>
      <w:pPr>
        <w:ind w:left="1300" w:right="140" w:hanging="644"/>
        <w:spacing w:after="0" w:line="237"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June 2018, the FASB issued Accounting Standards Update (“ASU”)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is effective on January 1, 2019. Early adoption is permitted. The Company adopted this ASU on January 1, 2019 with no material impact on the Company’s consolidated financial statements.</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November 2019, the FASB issued ASU No. 2019-08, “Compensation—Stock Compensation (Topic 718) and Revenue from Contract with Customers (Topic 606): Codification Improvements Share-Based Consideration Payable to a Customer.” These amendments expand the scope of Topic 718, Compensation—Stock Compensation to include share-based payments issued to customers in conjunction with selling goods or services. Consequently, the accounting for share-based payments to customers will be measured and classified according to Topic 718. The guidance is effective for fiscal years beginning after December 15, 2019, and interim periods within fiscal years beginning after December 15, 2020, and early adoption is permitted. The Company adopted this update as of January 1, 2019 with no material impact on its consolidated financial statements.</w:t>
      </w:r>
    </w:p>
    <w:p>
      <w:pPr>
        <w:spacing w:after="0" w:line="113" w:lineRule="exact"/>
        <w:rPr>
          <w:rFonts w:ascii="Arial" w:cs="Arial" w:eastAsia="Arial" w:hAnsi="Arial"/>
          <w:sz w:val="18"/>
          <w:szCs w:val="18"/>
          <w:color w:val="auto"/>
        </w:rPr>
      </w:pPr>
    </w:p>
    <w:p>
      <w:pPr>
        <w:ind w:left="1300" w:hanging="644"/>
        <w:spacing w:after="0"/>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Adoption of ASC 606, “Revenue from Contracts with Customers”:</w:t>
      </w:r>
    </w:p>
    <w:p>
      <w:pPr>
        <w:spacing w:after="0" w:line="104" w:lineRule="exact"/>
        <w:rPr>
          <w:sz w:val="20"/>
          <w:szCs w:val="20"/>
          <w:color w:val="auto"/>
        </w:rPr>
      </w:pPr>
    </w:p>
    <w:p>
      <w:pPr>
        <w:ind w:left="1320" w:right="780"/>
        <w:spacing w:after="0" w:line="246" w:lineRule="auto"/>
        <w:rPr>
          <w:sz w:val="20"/>
          <w:szCs w:val="20"/>
          <w:color w:val="auto"/>
        </w:rPr>
      </w:pPr>
      <w:r>
        <w:rPr>
          <w:rFonts w:ascii="Arial" w:cs="Arial" w:eastAsia="Arial" w:hAnsi="Arial"/>
          <w:sz w:val="18"/>
          <w:szCs w:val="18"/>
          <w:color w:val="auto"/>
        </w:rPr>
        <w:t>In May 2014, the FASB issued ASU 2014-09 guidance on revenue from contracts with customers (Topic 606) that supersedes the existing revenue recognition guidance and clarifies the principles for recognizing revenue.</w:t>
      </w:r>
    </w:p>
    <w:p>
      <w:pPr>
        <w:spacing w:after="0" w:line="89" w:lineRule="exact"/>
        <w:rPr>
          <w:sz w:val="20"/>
          <w:szCs w:val="20"/>
          <w:color w:val="auto"/>
        </w:rPr>
      </w:pPr>
    </w:p>
    <w:p>
      <w:pPr>
        <w:jc w:val="both"/>
        <w:ind w:left="1320" w:right="380"/>
        <w:spacing w:after="0"/>
        <w:rPr>
          <w:sz w:val="20"/>
          <w:szCs w:val="20"/>
          <w:color w:val="auto"/>
        </w:rPr>
      </w:pPr>
      <w:r>
        <w:rPr>
          <w:rFonts w:ascii="Arial" w:cs="Arial" w:eastAsia="Arial" w:hAnsi="Arial"/>
          <w:sz w:val="18"/>
          <w:szCs w:val="18"/>
          <w:color w:val="auto"/>
        </w:rPr>
        <w:t>The Company adopted this standard on January 1, 2019 using the modified retrospective method of adoption to those contracts which were not completed as of January 1, 2019. This means that the cumulative impact of the adoption was recognized in accumulated deficit as of January 1, 2019 and that comparatives were not restated.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40"/>
        <w:spacing w:after="0" w:line="236" w:lineRule="auto"/>
        <w:rPr>
          <w:sz w:val="20"/>
          <w:szCs w:val="20"/>
          <w:color w:val="auto"/>
        </w:rPr>
      </w:pPr>
      <w:r>
        <w:rPr>
          <w:rFonts w:ascii="Arial" w:cs="Arial" w:eastAsia="Arial" w:hAnsi="Arial"/>
          <w:sz w:val="18"/>
          <w:szCs w:val="18"/>
          <w:color w:val="auto"/>
        </w:rPr>
        <w:t>The most significant impact of the standard on the Company’s financial statements is the accounting for costs to obtain a contract and costs to fulfill a contract. Additionally, printing and postage revenue and cost of revenue that was previously recorded as net revenue under ASC 605, are now recorded as gross revenue and gross cost of revenue. The printing services are part of the performance obligation that comprises a series. In order for an element of a contract to be considered for separate treatment under the gross vs. net guidance of ASC 606, it would need to be considered a separate performance obligation (i.e. specified good). As Simplee is the principal in the series performance obligation to the customer, and the printing services are part of the series, the cost of printing and postage is considered a fulfillment cost of the obligation and recorded gross.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7" w:lineRule="exact"/>
        <w:rPr>
          <w:sz w:val="20"/>
          <w:szCs w:val="20"/>
          <w:color w:val="auto"/>
        </w:rPr>
      </w:pPr>
    </w:p>
    <w:p>
      <w:pPr>
        <w:ind w:left="1320" w:right="220"/>
        <w:spacing w:after="0" w:line="237" w:lineRule="auto"/>
        <w:rPr>
          <w:sz w:val="20"/>
          <w:szCs w:val="20"/>
          <w:color w:val="auto"/>
        </w:rPr>
      </w:pPr>
      <w:r>
        <w:rPr>
          <w:rFonts w:ascii="Arial" w:cs="Arial" w:eastAsia="Arial" w:hAnsi="Arial"/>
          <w:sz w:val="18"/>
          <w:szCs w:val="18"/>
          <w:color w:val="auto"/>
        </w:rPr>
        <w:t>According to ASC 606, incremental costs of obtaining a contract are those costs that the entity would not have incurred if the contract had not been obtained (for example, sales commissions). Incremental costs of obtaining a contract with a customer are recognized as assets if they are recoverable. Expensing these costs as they are incurred is not permitted unless they qualify for the practical expedient that permits an entity to expense the costs to obtain a contract as incurred when the expected amortization period is one year or less. The Company chose to apply the practical expedient when applicable.</w:t>
      </w:r>
    </w:p>
    <w:p>
      <w:pPr>
        <w:spacing w:after="0" w:line="97" w:lineRule="exact"/>
        <w:rPr>
          <w:sz w:val="20"/>
          <w:szCs w:val="20"/>
          <w:color w:val="auto"/>
        </w:rPr>
      </w:pPr>
    </w:p>
    <w:p>
      <w:pPr>
        <w:ind w:left="1320" w:right="240"/>
        <w:spacing w:after="0" w:line="238" w:lineRule="auto"/>
        <w:rPr>
          <w:sz w:val="20"/>
          <w:szCs w:val="20"/>
          <w:color w:val="auto"/>
        </w:rPr>
      </w:pPr>
      <w:r>
        <w:rPr>
          <w:rFonts w:ascii="Arial" w:cs="Arial" w:eastAsia="Arial" w:hAnsi="Arial"/>
          <w:sz w:val="18"/>
          <w:szCs w:val="18"/>
          <w:color w:val="auto"/>
        </w:rPr>
        <w:t>The guidance in the revenue standard for costs to fulfill a contract only applies to those costs not addressed by other standards. Costs that are required to be expensed in accordance with other standards cannot be recognized as an asset under the revenue standard. Fulfillment costs not addressed by other standards qualify for capitalization if the following criteria are met:</w:t>
      </w:r>
    </w:p>
    <w:p>
      <w:pPr>
        <w:spacing w:after="0" w:line="110" w:lineRule="exact"/>
        <w:rPr>
          <w:sz w:val="20"/>
          <w:szCs w:val="20"/>
          <w:color w:val="auto"/>
        </w:rPr>
      </w:pPr>
    </w:p>
    <w:p>
      <w:pPr>
        <w:ind w:left="1860" w:hanging="543"/>
        <w:spacing w:after="0"/>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relate directly to a contract or an anticipated contract that the entity can specifically identify.</w:t>
      </w:r>
    </w:p>
    <w:p>
      <w:pPr>
        <w:spacing w:after="0" w:line="117" w:lineRule="exact"/>
        <w:rPr>
          <w:rFonts w:ascii="Arial" w:cs="Arial" w:eastAsia="Arial" w:hAnsi="Arial"/>
          <w:sz w:val="18"/>
          <w:szCs w:val="18"/>
          <w:color w:val="auto"/>
        </w:rPr>
      </w:pPr>
    </w:p>
    <w:p>
      <w:pPr>
        <w:ind w:left="1860" w:right="680" w:hanging="543"/>
        <w:spacing w:after="0" w:line="246" w:lineRule="auto"/>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generate or enhance resources of the entity that will be used in satisfying (or continuing to satisfy) performance obligations in the future.</w:t>
      </w:r>
    </w:p>
    <w:p>
      <w:pPr>
        <w:spacing w:after="0" w:line="102" w:lineRule="exact"/>
        <w:rPr>
          <w:rFonts w:ascii="Arial" w:cs="Arial" w:eastAsia="Arial" w:hAnsi="Arial"/>
          <w:sz w:val="18"/>
          <w:szCs w:val="18"/>
          <w:color w:val="auto"/>
        </w:rPr>
      </w:pPr>
    </w:p>
    <w:p>
      <w:pPr>
        <w:ind w:left="1860" w:hanging="543"/>
        <w:spacing w:after="0"/>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12" w:lineRule="exact"/>
        <w:rPr>
          <w:sz w:val="20"/>
          <w:szCs w:val="20"/>
          <w:color w:val="auto"/>
        </w:rPr>
      </w:pPr>
    </w:p>
    <w:p>
      <w:pPr>
        <w:ind w:left="1320" w:right="180"/>
        <w:spacing w:after="0" w:line="246" w:lineRule="auto"/>
        <w:rPr>
          <w:sz w:val="20"/>
          <w:szCs w:val="20"/>
          <w:color w:val="auto"/>
        </w:rPr>
      </w:pPr>
      <w:r>
        <w:rPr>
          <w:rFonts w:ascii="Arial" w:cs="Arial" w:eastAsia="Arial" w:hAnsi="Arial"/>
          <w:sz w:val="18"/>
          <w:szCs w:val="18"/>
          <w:color w:val="auto"/>
        </w:rPr>
        <w:t>The cumulative effect of the changes made to the January 1, 2019 consolidated balance sheet as a result of the adoption of ASC 606 were as follows: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Adjustments due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3940" w:type="dxa"/>
            <w:vAlign w:val="bottom"/>
          </w:tcPr>
          <w:p>
            <w:pPr>
              <w:spacing w:after="0"/>
              <w:rPr>
                <w:sz w:val="15"/>
                <w:szCs w:val="15"/>
                <w:color w:val="auto"/>
              </w:rPr>
            </w:pPr>
          </w:p>
        </w:tc>
        <w:tc>
          <w:tcPr>
            <w:tcW w:w="2340" w:type="dxa"/>
            <w:vAlign w:val="bottom"/>
            <w:gridSpan w:val="2"/>
          </w:tcPr>
          <w:p>
            <w:pPr>
              <w:jc w:val="center"/>
              <w:ind w:left="1336"/>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to Topic 606</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Deferred contract acquisition and fulfillment costs</w:t>
            </w:r>
          </w:p>
        </w:tc>
        <w:tc>
          <w:tcPr>
            <w:tcW w:w="1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Deferred revenues</w:t>
            </w:r>
          </w:p>
        </w:tc>
        <w:tc>
          <w:tcPr>
            <w:tcW w:w="304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(727)</w:t>
            </w:r>
          </w:p>
        </w:tc>
        <w:tc>
          <w:tcPr>
            <w:tcW w:w="18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(882)</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(38,425)</w:t>
            </w:r>
          </w:p>
        </w:tc>
        <w:tc>
          <w:tcPr>
            <w:tcW w:w="18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(38,326)</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3040" w:type="dxa"/>
            <w:vAlign w:val="bottom"/>
            <w:gridSpan w:val="3"/>
          </w:tcPr>
          <w:p>
            <w:pPr>
              <w:jc w:val="right"/>
              <w:ind w:right="2560"/>
              <w:spacing w:after="0"/>
              <w:rPr>
                <w:sz w:val="20"/>
                <w:szCs w:val="20"/>
                <w:color w:val="auto"/>
              </w:rPr>
            </w:pPr>
            <w:r>
              <w:rPr>
                <w:rFonts w:ascii="Arial" w:cs="Arial" w:eastAsia="Arial" w:hAnsi="Arial"/>
                <w:sz w:val="18"/>
                <w:szCs w:val="18"/>
                <w:color w:val="auto"/>
                <w:w w:val="97"/>
              </w:rPr>
              <w:t>F-102</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the consolidated statement of operation and balance sheet for the year ended December 31, 2019 was as follows:</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Income statement:</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Fiscal Year Ended</w:t>
            </w:r>
          </w:p>
        </w:tc>
        <w:tc>
          <w:tcPr>
            <w:tcW w:w="20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Before Adoption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2019 as Reported</w:t>
            </w:r>
          </w:p>
        </w:tc>
        <w:tc>
          <w:tcPr>
            <w:tcW w:w="20" w:type="dxa"/>
            <w:vAlign w:val="bottom"/>
          </w:tcPr>
          <w:p>
            <w:pPr>
              <w:spacing w:after="0"/>
              <w:rPr>
                <w:sz w:val="14"/>
                <w:szCs w:val="14"/>
                <w:color w:val="auto"/>
              </w:rPr>
            </w:pPr>
          </w:p>
        </w:tc>
        <w:tc>
          <w:tcPr>
            <w:tcW w:w="20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of Topic 606</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(ASC 606)</w:t>
            </w:r>
          </w:p>
        </w:tc>
        <w:tc>
          <w:tcPr>
            <w:tcW w:w="20" w:type="dxa"/>
            <w:vAlign w:val="bottom"/>
          </w:tcPr>
          <w:p>
            <w:pPr>
              <w:spacing w:after="0"/>
              <w:rPr>
                <w:sz w:val="15"/>
                <w:szCs w:val="15"/>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(ASC 605)</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(17,931)</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11,489</w:t>
            </w:r>
          </w:p>
        </w:tc>
        <w:tc>
          <w:tcPr>
            <w:tcW w:w="740" w:type="dxa"/>
            <w:vAlign w:val="bottom"/>
          </w:tcPr>
          <w:p>
            <w:pPr>
              <w:spacing w:after="0"/>
              <w:rPr>
                <w:sz w:val="17"/>
                <w:szCs w:val="17"/>
                <w:color w:val="auto"/>
              </w:rPr>
            </w:pPr>
          </w:p>
        </w:tc>
        <w:tc>
          <w:tcPr>
            <w:tcW w:w="13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3,303</w:t>
            </w:r>
          </w:p>
        </w:tc>
        <w:tc>
          <w:tcPr>
            <w:tcW w:w="7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8,186</w:t>
            </w:r>
          </w:p>
        </w:tc>
      </w:tr>
      <w:tr>
        <w:trPr>
          <w:trHeight w:val="203"/>
        </w:trPr>
        <w:tc>
          <w:tcPr>
            <w:tcW w:w="1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4,993</w:t>
            </w:r>
          </w:p>
        </w:tc>
        <w:tc>
          <w:tcPr>
            <w:tcW w:w="7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5,185</w:t>
            </w: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392"/>
        </w:trPr>
        <w:tc>
          <w:tcPr>
            <w:tcW w:w="5060" w:type="dxa"/>
            <w:vAlign w:val="bottom"/>
            <w:gridSpan w:val="3"/>
          </w:tcPr>
          <w:p>
            <w:pPr>
              <w:spacing w:after="0"/>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Balance at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Before Adoption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2019 as Reported</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of Topic 606</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(ASC 606)</w:t>
            </w:r>
          </w:p>
        </w:tc>
        <w:tc>
          <w:tcPr>
            <w:tcW w:w="20" w:type="dxa"/>
            <w:vAlign w:val="bottom"/>
          </w:tcPr>
          <w:p>
            <w:pPr>
              <w:spacing w:after="0"/>
              <w:rPr>
                <w:sz w:val="15"/>
                <w:szCs w:val="15"/>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(ASC 605)</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fulfillment cost</w:t>
            </w: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w:t>
            </w:r>
          </w:p>
        </w:tc>
        <w:tc>
          <w:tcPr>
            <w:tcW w:w="200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(1,246)</w:t>
            </w:r>
          </w:p>
        </w:tc>
        <w:tc>
          <w:tcPr>
            <w:tcW w:w="204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(727)</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(519)</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200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(40,515)</w:t>
            </w:r>
          </w:p>
        </w:tc>
        <w:tc>
          <w:tcPr>
            <w:tcW w:w="204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(40,112)</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403</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20" w:right="100"/>
        <w:spacing w:after="0" w:line="246" w:lineRule="auto"/>
        <w:rPr>
          <w:sz w:val="20"/>
          <w:szCs w:val="20"/>
          <w:color w:val="auto"/>
        </w:rPr>
      </w:pPr>
      <w:r>
        <w:rPr>
          <w:rFonts w:ascii="Arial" w:cs="Arial" w:eastAsia="Arial" w:hAnsi="Arial"/>
          <w:sz w:val="18"/>
          <w:szCs w:val="18"/>
          <w:color w:val="auto"/>
        </w:rPr>
        <w:t>The adoption of ASC 606 had no impact on cash provided by or used in operating, investing, and financing activities in the Company’s consolidated statement of cash flows.</w:t>
      </w:r>
    </w:p>
    <w:p>
      <w:pPr>
        <w:spacing w:after="0" w:line="102"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300" w:right="20" w:hanging="644"/>
        <w:spacing w:after="0" w:line="236"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February 2016, the FASB issued ASU 2016-02 (Topic 842), “Leases” related to how an entity should recognize lease assets and lease liabilities. Topic 842 supersedes the lease requirements in Accounting Standards Codification (ASC) Topic 840, “Leases”. Under Topic 842, The guidance specifies that an entity that is a lessee under lease agreements should recognize lease assets and lease liabilities on the balance sheet for most leases. Accounting for leases by lessors is largely unchanged under the new guidance. In September 2017, FASB issued additional amendments providing clarification and implementation guidance. In January 2018, the FASB issued an update that permits an entity to elect an optional transition practical expedient to not evaluate land easements that existed or expired before the entity’s adoption of the new standard and that were not previously accounted for as leases.</w:t>
      </w:r>
    </w:p>
    <w:p>
      <w:pPr>
        <w:spacing w:after="0" w:line="100" w:lineRule="exact"/>
        <w:rPr>
          <w:sz w:val="20"/>
          <w:szCs w:val="20"/>
          <w:color w:val="auto"/>
        </w:rPr>
      </w:pPr>
    </w:p>
    <w:p>
      <w:pPr>
        <w:ind w:left="1320" w:right="180"/>
        <w:spacing w:after="0" w:line="238" w:lineRule="auto"/>
        <w:rPr>
          <w:sz w:val="20"/>
          <w:szCs w:val="20"/>
          <w:color w:val="auto"/>
        </w:rPr>
      </w:pPr>
      <w:r>
        <w:rPr>
          <w:rFonts w:ascii="Arial" w:cs="Arial" w:eastAsia="Arial" w:hAnsi="Arial"/>
          <w:sz w:val="18"/>
          <w:szCs w:val="18"/>
          <w:color w:val="auto"/>
        </w:rPr>
        <w:t>The provisions of ASU 2016-02 are to be applied using a modified retrospective approach. In July 2018, the FASB issued an update, which provides entities with an additional (and optional) transition method to adopt the new leases standard. Under this method, an entity initially applies the new leases standard at the adoption date and recognizes a cumulative effect adjustment to the opening balance of retained earnings in the period of adoption. Consequently, the prior comparative period’s financials will remain the same as those previously presented.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In June 2020, the FASB issued ASU 2020-05, “Revenue with contracts with contracts with customers and leases” which defer the effective date of the adoption in one year for non-public entities that have not yet issued their financial statements (i.e. annual reporting periods beginning after December 15, 2021, including interim reporting periods beginning after December 15, 2022).</w:t>
      </w:r>
    </w:p>
    <w:p>
      <w:pPr>
        <w:spacing w:after="0" w:line="97" w:lineRule="exact"/>
        <w:rPr>
          <w:sz w:val="20"/>
          <w:szCs w:val="20"/>
          <w:color w:val="auto"/>
        </w:rPr>
      </w:pPr>
    </w:p>
    <w:p>
      <w:pPr>
        <w:ind w:left="1320" w:right="320"/>
        <w:spacing w:after="0"/>
        <w:rPr>
          <w:sz w:val="20"/>
          <w:szCs w:val="20"/>
          <w:color w:val="auto"/>
        </w:rPr>
      </w:pPr>
      <w:r>
        <w:rPr>
          <w:rFonts w:ascii="Arial" w:cs="Arial" w:eastAsia="Arial" w:hAnsi="Arial"/>
          <w:sz w:val="18"/>
          <w:szCs w:val="18"/>
          <w:color w:val="auto"/>
        </w:rPr>
        <w:t>The new standard becomes effective for the Company for the annual period beginning after December 15, 2021, and interim periods within fiscal years beginning after December 15, 2022. The provisions of ASU 2016-02 are to be applied using a modified retrospective approach.</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currently evaluating the impact of adopting this new guidance on its financial statements.</w:t>
      </w:r>
    </w:p>
    <w:p>
      <w:pPr>
        <w:spacing w:after="0" w:line="117" w:lineRule="exact"/>
        <w:rPr>
          <w:sz w:val="20"/>
          <w:szCs w:val="20"/>
          <w:color w:val="auto"/>
        </w:rPr>
      </w:pPr>
    </w:p>
    <w:p>
      <w:pPr>
        <w:ind w:left="1300" w:right="100" w:hanging="644"/>
        <w:spacing w:after="0" w:line="237" w:lineRule="auto"/>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June 2016, the FASB issued ASU No. 2016-13 (Topic 326), “Financial Instruments—Credit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ACCOUNTS RECEIVABLE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accounts receivable, net, as of December 31, 2019 and 2020 is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6"/>
          </w:tcPr>
          <w:p>
            <w:pPr>
              <w:jc w:val="center"/>
              <w:ind w:left="5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7,216</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accounts receivable, net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7,161</w:t>
            </w:r>
          </w:p>
        </w:tc>
        <w:tc>
          <w:tcPr>
            <w:tcW w:w="5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Changes in the allowance for doubtful accounts were as follows (in thousands):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5"/>
          </w:tcPr>
          <w:p>
            <w:pPr>
              <w:jc w:val="center"/>
              <w:ind w:left="6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Allowance for doubtful accounts at the beginning of the year</w:t>
            </w: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 —</w:t>
            </w:r>
          </w:p>
        </w:tc>
        <w:tc>
          <w:tcPr>
            <w:tcW w:w="24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3"/>
          </w:tcPr>
          <w:p>
            <w:pPr>
              <w:jc w:val="center"/>
              <w:ind w:right="70"/>
              <w:spacing w:after="0" w:line="202" w:lineRule="exact"/>
              <w:rPr>
                <w:sz w:val="20"/>
                <w:szCs w:val="20"/>
                <w:color w:val="auto"/>
              </w:rPr>
            </w:pPr>
            <w:r>
              <w:rPr>
                <w:rFonts w:ascii="Arial" w:cs="Arial" w:eastAsia="Arial" w:hAnsi="Arial"/>
                <w:sz w:val="18"/>
                <w:szCs w:val="18"/>
                <w:color w:val="auto"/>
                <w:w w:val="99"/>
              </w:rPr>
              <w:t>(55)</w:t>
            </w:r>
          </w:p>
        </w:tc>
        <w:tc>
          <w:tcPr>
            <w:tcW w:w="200" w:type="dxa"/>
            <w:vAlign w:val="bottom"/>
          </w:tcPr>
          <w:p>
            <w:pPr>
              <w:spacing w:after="0"/>
              <w:rPr>
                <w:sz w:val="17"/>
                <w:szCs w:val="17"/>
                <w:color w:val="auto"/>
              </w:rPr>
            </w:pP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Borders>
              <w:right w:val="single" w:sz="8" w:color="CCEEFF"/>
            </w:tcBorders>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Allowance for doubtful accounts at the end of the year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center"/>
              <w:ind w:right="70"/>
              <w:spacing w:after="0"/>
              <w:rPr>
                <w:sz w:val="20"/>
                <w:szCs w:val="20"/>
                <w:color w:val="auto"/>
              </w:rPr>
            </w:pPr>
            <w:r>
              <w:rPr>
                <w:rFonts w:ascii="Arial" w:cs="Arial" w:eastAsia="Arial" w:hAnsi="Arial"/>
                <w:sz w:val="18"/>
                <w:szCs w:val="18"/>
                <w:color w:val="auto"/>
                <w:w w:val="99"/>
              </w:rPr>
              <w:t>(55)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260"/>
              <w:spacing w:after="0"/>
              <w:rPr>
                <w:sz w:val="20"/>
                <w:szCs w:val="20"/>
                <w:color w:val="auto"/>
              </w:rPr>
            </w:pPr>
            <w:r>
              <w:rPr>
                <w:rFonts w:ascii="Arial" w:cs="Arial" w:eastAsia="Arial" w:hAnsi="Arial"/>
                <w:sz w:val="18"/>
                <w:szCs w:val="18"/>
                <w:color w:val="auto"/>
              </w:rPr>
              <w:t>F-104</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prepaid expenses and other current assets, as of December 31, 2019 and 2020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expenses and others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Government institutions</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FAIR VALUE MEASURAMENTS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9"/>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December 31, 2018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20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700" w:type="dxa"/>
            <w:vAlign w:val="bottom"/>
            <w:gridSpan w:val="4"/>
          </w:tcPr>
          <w:p>
            <w:pPr>
              <w:ind w:left="2020"/>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  37</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$ 37</w:t>
            </w:r>
          </w:p>
        </w:tc>
      </w:tr>
      <w:tr>
        <w:trPr>
          <w:trHeight w:val="20"/>
        </w:trPr>
        <w:tc>
          <w:tcPr>
            <w:tcW w:w="5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12"/>
          </w:tcPr>
          <w:p>
            <w:pPr>
              <w:jc w:val="center"/>
              <w:ind w:right="380"/>
              <w:spacing w:after="0"/>
              <w:rPr>
                <w:sz w:val="20"/>
                <w:szCs w:val="20"/>
                <w:color w:val="auto"/>
              </w:rPr>
            </w:pPr>
            <w:r>
              <w:rPr>
                <w:rFonts w:ascii="Arial" w:cs="Arial" w:eastAsia="Arial" w:hAnsi="Arial"/>
                <w:sz w:val="14"/>
                <w:szCs w:val="14"/>
                <w:b w:val="1"/>
                <w:bCs w:val="1"/>
                <w:color w:val="auto"/>
              </w:rPr>
              <w:t>Fair Value Measurements at</w:t>
            </w:r>
          </w:p>
        </w:tc>
      </w:tr>
      <w:tr>
        <w:trPr>
          <w:trHeight w:val="175"/>
        </w:trPr>
        <w:tc>
          <w:tcPr>
            <w:tcW w:w="5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December 31, 2019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59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20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5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$ 111</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$ 111</w:t>
            </w:r>
          </w:p>
        </w:tc>
      </w:tr>
      <w:tr>
        <w:trPr>
          <w:trHeight w:val="20"/>
        </w:trPr>
        <w:tc>
          <w:tcPr>
            <w:tcW w:w="5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2019 and 2018, there were no transfers between Level 1, Level 2 or Level 3.</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 purchase convertible Preferred stock:</w:t>
      </w:r>
    </w:p>
    <w:p>
      <w:pPr>
        <w:spacing w:after="0" w:line="212" w:lineRule="exact"/>
        <w:rPr>
          <w:sz w:val="20"/>
          <w:szCs w:val="20"/>
          <w:color w:val="auto"/>
        </w:rPr>
      </w:pPr>
    </w:p>
    <w:p>
      <w:pPr>
        <w:jc w:val="both"/>
        <w:ind w:left="120" w:right="840" w:firstLine="440"/>
        <w:spacing w:after="0"/>
        <w:rPr>
          <w:sz w:val="20"/>
          <w:szCs w:val="20"/>
          <w:color w:val="auto"/>
        </w:rPr>
      </w:pPr>
      <w:r>
        <w:rPr>
          <w:rFonts w:ascii="Arial" w:cs="Arial" w:eastAsia="Arial" w:hAnsi="Arial"/>
          <w:sz w:val="18"/>
          <w:szCs w:val="18"/>
          <w:color w:val="auto"/>
        </w:rPr>
        <w:t>The warrants to purchase convertible preferred stock in the table above consisted of the fair value of warrants to purchase convertible preferred stock (Note 9) and was based on significant inputs not observable in the market, which represent a Level 3 measurement within the fair value hierarchy.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significant inputs used to fair value the warrants to purchase convertible preferred stock:</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220" w:type="dxa"/>
            <w:vAlign w:val="bottom"/>
            <w:tcBorders>
              <w:bottom w:val="single" w:sz="8" w:color="CCEEFF"/>
            </w:tcBorders>
          </w:tcPr>
          <w:p>
            <w:pPr>
              <w:spacing w:after="0"/>
              <w:rPr>
                <w:sz w:val="13"/>
                <w:szCs w:val="13"/>
                <w:color w:val="auto"/>
              </w:rPr>
            </w:pPr>
          </w:p>
        </w:tc>
        <w:tc>
          <w:tcPr>
            <w:tcW w:w="49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convertible preferred stock</w:t>
            </w:r>
          </w:p>
        </w:tc>
        <w:tc>
          <w:tcPr>
            <w:tcW w:w="4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60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0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60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2"/>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60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r>
      <w:tr>
        <w:trPr>
          <w:trHeight w:val="365"/>
        </w:trPr>
        <w:tc>
          <w:tcPr>
            <w:tcW w:w="4220" w:type="dxa"/>
            <w:vAlign w:val="bottom"/>
          </w:tcPr>
          <w:p>
            <w:pPr>
              <w:spacing w:after="0"/>
              <w:rPr>
                <w:sz w:val="24"/>
                <w:szCs w:val="24"/>
                <w:color w:val="auto"/>
              </w:rPr>
            </w:pPr>
          </w:p>
        </w:tc>
        <w:tc>
          <w:tcPr>
            <w:tcW w:w="6000" w:type="dxa"/>
            <w:vAlign w:val="bottom"/>
            <w:gridSpan w:val="3"/>
          </w:tcPr>
          <w:p>
            <w:pPr>
              <w:jc w:val="right"/>
              <w:ind w:right="4480"/>
              <w:spacing w:after="0"/>
              <w:rPr>
                <w:sz w:val="20"/>
                <w:szCs w:val="20"/>
                <w:color w:val="auto"/>
              </w:rPr>
            </w:pPr>
            <w:r>
              <w:rPr>
                <w:rFonts w:ascii="Arial" w:cs="Arial" w:eastAsia="Arial" w:hAnsi="Arial"/>
                <w:sz w:val="18"/>
                <w:szCs w:val="18"/>
                <w:color w:val="auto"/>
              </w:rPr>
              <w:t>F-105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7"/>
                <w:szCs w:val="17"/>
                <w:color w:val="auto"/>
              </w:rPr>
            </w:pPr>
          </w:p>
        </w:tc>
      </w:tr>
      <w:tr>
        <w:trPr>
          <w:trHeight w:val="217"/>
        </w:trPr>
        <w:tc>
          <w:tcPr>
            <w:tcW w:w="9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amortization and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were $72 and $81 for the years ended December 31, 2019 and 2018,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ACCRUED PAYROLL AND RELATED BENEFITS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related benefits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Bonus provision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Employees and payroll accruals</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C convertible preferred stock (the “Series C Preferred Stock”) and Series C-1 convertible preferred stock (the “Series C-1 Preferred Stock”) The Series A Preferred Stock, the Series B Preferred Stock, the Series C Preferred Stock and the Series C-1 Preferred Stock, are collectively referred to as the “Preferred Stock”.</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Since inception, the Company has been funded through several private placements of preferred stock. The Company’s Article of Incorporation authorize the issuance of 46,307,481 of Preferred Stock with a par value of NIS 0.001.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2018, 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December 31, 2019 and 2018</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1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Authorized</w:t>
            </w:r>
          </w:p>
        </w:tc>
        <w:tc>
          <w:tcPr>
            <w:tcW w:w="2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61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40" w:type="dxa"/>
            <w:vAlign w:val="bottom"/>
            <w:tcBorders>
              <w:top w:val="single" w:sz="8" w:color="auto"/>
              <w:bottom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14,538,281</w:t>
            </w:r>
          </w:p>
        </w:tc>
        <w:tc>
          <w:tcPr>
            <w:tcW w:w="166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14,538,281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8,969</w:t>
            </w:r>
          </w:p>
        </w:tc>
        <w:tc>
          <w:tcPr>
            <w:tcW w:w="36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11,152,001</w:t>
            </w:r>
          </w:p>
        </w:tc>
        <w:tc>
          <w:tcPr>
            <w:tcW w:w="1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11,152,001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19,082,508</w:t>
            </w:r>
          </w:p>
        </w:tc>
        <w:tc>
          <w:tcPr>
            <w:tcW w:w="16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16,834,013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17,687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C-1 Preferred Stock</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1,534,691</w:t>
            </w:r>
          </w:p>
        </w:tc>
        <w:tc>
          <w:tcPr>
            <w:tcW w:w="1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1,534,691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1,612</w:t>
            </w:r>
          </w:p>
        </w:tc>
      </w:tr>
      <w:tr>
        <w:trPr>
          <w:trHeight w:val="27"/>
        </w:trPr>
        <w:tc>
          <w:tcPr>
            <w:tcW w:w="6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Preferred Stock</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46,307,481</w:t>
            </w:r>
          </w:p>
        </w:tc>
        <w:tc>
          <w:tcPr>
            <w:tcW w:w="16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44,058,986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38,268</w:t>
            </w:r>
          </w:p>
        </w:tc>
        <w:tc>
          <w:tcPr>
            <w:tcW w:w="3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38,268</w:t>
            </w:r>
          </w:p>
        </w:tc>
      </w:tr>
      <w:tr>
        <w:trPr>
          <w:trHeight w:val="20"/>
        </w:trPr>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40" w:firstLine="440"/>
        <w:spacing w:after="0" w:line="274" w:lineRule="auto"/>
        <w:rPr>
          <w:sz w:val="20"/>
          <w:szCs w:val="20"/>
          <w:color w:val="auto"/>
        </w:rPr>
      </w:pPr>
      <w:r>
        <w:rPr>
          <w:rFonts w:ascii="Arial" w:cs="Arial" w:eastAsia="Arial" w:hAnsi="Arial"/>
          <w:sz w:val="17"/>
          <w:szCs w:val="17"/>
          <w:color w:val="auto"/>
        </w:rPr>
        <w:t>Preferred stock shall confer upon the holders thereof all of the rights accruing to holders of common shares, on an as-converted basis, and, in addition, shall confer the following powers, preferences and rights and any other special rights as detailed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Preferred shareholders are entitled to receive, when declared by the board, out of any funds and assets of the corporation legally available therefore, noncumulative dividends at the annual dividend rate for such series of Preferred Stock, prior and in preference to the payment of any dividends on the common stock. Dividends on the Preferred Stock shall not be mandatory or cumulative.</w:t>
      </w:r>
    </w:p>
    <w:p>
      <w:pPr>
        <w:spacing w:after="0" w:line="9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After dividend in the full preferential amounts for the Preferred Stock have been paid or declared, additional dividends shall be declared pro rata on the Common Stock and the Preferred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Each holder of Preferred Stock are entitled to the number of votes equal to the number of whole shares of Common Stock into which such shares of Preferred Stock could be converted.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In the event of any liquidation, dissolution or winding up the corporation, the funds and assets that may be legally distributed to the corporation stockholders shall be distributed to stockholder in the following manner:</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holders of each share of Preferred Stock shall be entitled to be paid, out of the available funds and assets, and prior to any payment or distribution of any available funds and assets on any shares of common stock, an amount per share equal to the original issue price of such series plus all declared but unpaid dividends on such of series of Preferred Stock.</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the funds available in a liquidation event to preferred and common stockholders (“Distributable Proceeds”) are insufficient to permit the payment to holders of the Preferred Stock of their full preferential amount, then the entire available funds and assets are distributed among the holders of the then outstanding Preferred Stock pro rata according to the number of outstanding shares of Preferred Stock held by each holder thereof. Following payment of the Preferred Stock in full, the remaining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Distributable Proceeds, if any, shall be distributed among the holders of common shares on a pro rata according to the number of shares of common stock held by each holder thereof.</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Series A, B, C and C-1 Preferred Stock are not redeemable at the option of the holder thereof.</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Convertible Preferred Stock</w:t>
      </w:r>
    </w:p>
    <w:p>
      <w:pPr>
        <w:spacing w:after="0" w:line="122"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w:t>
      </w:r>
    </w:p>
    <w:p>
      <w:pPr>
        <w:spacing w:after="0" w:line="17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Accordingly, all shares of convertible Preferred Stock have been presented outside of permanent equity in mezzanine equity on the consolidated balance sheets.</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Company’s carrying values of the convertible preferred stock is equal to the deemed liquidation values of such shares. Subsequent adjustments to increase or decrease the carrying values to the ultimate liquidation values will be made only if, and when, it becomes probable that such a liquidation event will occur.</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Company will evaluate the redemption contingency at each reporting period, reclassifying the instrument to a liability when the contingency is resolved and the convertible preferred stock becomes mandatorily redeemable.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WARRANTS TO PURCHASE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accounts for freestanding warrants to purchase shares of its preferred stock as a liability at fair value. The warrants to purchase preferred stock are recorded as a liability because of the obligation to issue a variable number of shares where the monetary value is predominantly fixed. The value of the warrant was calculated based on the value of the warrant at issuance and at reporting periods using the Black-Scholes model.</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with a financial institution (see also Note 12). 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to February 2020. To facilitate the closing of this amendment, the Company issued 95,174 additional Series C Preferred Stock Warrants.</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On December 20, 2019, The Company granted a warrant to purchase 260,835 shares of Series C Preferred Stock (“Warrant Shares”) for a purchase price of $1.05 per share to one of its customers. Fifty percent of the Warrant Shares shall become purchasable upon the date the revenue received by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080"/>
          </w:cols>
          <w:pgMar w:left="320" w:top="459" w:right="49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320"/>
        <w:spacing w:after="0" w:line="257" w:lineRule="auto"/>
        <w:rPr>
          <w:sz w:val="20"/>
          <w:szCs w:val="20"/>
          <w:color w:val="auto"/>
        </w:rPr>
      </w:pPr>
      <w:r>
        <w:rPr>
          <w:rFonts w:ascii="Arial" w:cs="Arial" w:eastAsia="Arial" w:hAnsi="Arial"/>
          <w:sz w:val="17"/>
          <w:szCs w:val="17"/>
          <w:color w:val="auto"/>
        </w:rPr>
        <w:t>the Company from the holder, on a trailing twelve-month basis first equals or exceeds $3,000. Fifty percent of the Warrant Shares shall become purchasable upon the date that the annual revenue first equals or exceeds $ 5,000, or if there is a change in ownership of the Company. On February 13, 2020, Flywire Corporation acquired all of the stock of the Company. At December 31, 2019, the Company estimated that it was probable there would be a change in control of the Company and accelerated the vesting of the warrants issued.</w:t>
      </w:r>
    </w:p>
    <w:p>
      <w:pPr>
        <w:spacing w:after="0" w:line="18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fair value of warrants on the issuance date and subsequent reporting dates was determined using the Option Pricing Method. In determining the fair value of the warrants, management considered among other factors the valuation of invested capital (both preferred and common capital stock) from its 409A valuation as of December 31, 2017 to make the calculation. As of December 31, 2019, the liability associated with these warrants measured at fair value was $111.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Preferred</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Weight</w:t>
            </w:r>
          </w:p>
        </w:tc>
        <w:tc>
          <w:tcPr>
            <w:tcW w:w="3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9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rPr>
              <w:t>Shares Vested</w:t>
            </w:r>
          </w:p>
        </w:tc>
        <w:tc>
          <w:tcPr>
            <w:tcW w:w="400" w:type="dxa"/>
            <w:vAlign w:val="bottom"/>
          </w:tcPr>
          <w:p>
            <w:pPr>
              <w:spacing w:after="0"/>
              <w:rPr>
                <w:sz w:val="12"/>
                <w:szCs w:val="12"/>
                <w:color w:val="auto"/>
              </w:rPr>
            </w:pPr>
          </w:p>
        </w:tc>
        <w:tc>
          <w:tcPr>
            <w:tcW w:w="7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of Warrants</w:t>
            </w:r>
          </w:p>
        </w:tc>
        <w:tc>
          <w:tcPr>
            <w:tcW w:w="0" w:type="dxa"/>
            <w:vAlign w:val="bottom"/>
          </w:tcPr>
          <w:p>
            <w:pPr>
              <w:spacing w:after="0"/>
              <w:rPr>
                <w:sz w:val="1"/>
                <w:szCs w:val="1"/>
                <w:color w:val="auto"/>
              </w:rPr>
            </w:pPr>
          </w:p>
        </w:tc>
      </w:tr>
      <w:tr>
        <w:trPr>
          <w:trHeight w:val="162"/>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Issuable Under</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Exercise</w:t>
            </w:r>
          </w:p>
        </w:tc>
        <w:tc>
          <w:tcPr>
            <w:tcW w:w="3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Warrant</w:t>
            </w:r>
          </w:p>
        </w:tc>
        <w:tc>
          <w:tcPr>
            <w:tcW w:w="420" w:type="dxa"/>
            <w:vAlign w:val="bottom"/>
          </w:tcPr>
          <w:p>
            <w:pPr>
              <w:spacing w:after="0"/>
              <w:rPr>
                <w:sz w:val="16"/>
                <w:szCs w:val="16"/>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8"/>
              </w:rPr>
              <w:t>Warrant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320" w:type="dxa"/>
            <w:vAlign w:val="bottom"/>
          </w:tcPr>
          <w:p>
            <w:pPr>
              <w:spacing w:after="0"/>
              <w:rPr>
                <w:sz w:val="16"/>
                <w:szCs w:val="16"/>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0"/>
        </w:trPr>
        <w:tc>
          <w:tcPr>
            <w:tcW w:w="29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January 23, 2018</w:t>
            </w:r>
          </w:p>
        </w:tc>
        <w:tc>
          <w:tcPr>
            <w:tcW w:w="4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8.06</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gridSpan w:val="3"/>
          </w:tcPr>
          <w:p>
            <w:pPr>
              <w:spacing w:after="0" w:line="202" w:lineRule="exact"/>
              <w:rPr>
                <w:sz w:val="20"/>
                <w:szCs w:val="20"/>
                <w:color w:val="auto"/>
              </w:rPr>
            </w:pPr>
            <w:r>
              <w:rPr>
                <w:rFonts w:ascii="Arial" w:cs="Arial" w:eastAsia="Arial" w:hAnsi="Arial"/>
                <w:sz w:val="18"/>
                <w:szCs w:val="18"/>
                <w:color w:val="auto"/>
              </w:rPr>
              <w:t>Series C</w:t>
            </w:r>
          </w:p>
        </w:tc>
        <w:tc>
          <w:tcPr>
            <w:tcW w:w="1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April 8, 2019</w:t>
            </w: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95,174</w:t>
            </w:r>
          </w:p>
        </w:tc>
        <w:tc>
          <w:tcPr>
            <w:tcW w:w="14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95,174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9.27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190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December 20,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260,835</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130,418</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1.05</w:t>
            </w:r>
          </w:p>
        </w:tc>
        <w:tc>
          <w:tcPr>
            <w:tcW w:w="1180" w:type="dxa"/>
            <w:vAlign w:val="bottom"/>
            <w:gridSpan w:val="4"/>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9.97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451,183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320,765</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200" w:type="dxa"/>
            <w:vAlign w:val="bottom"/>
            <w:gridSpan w:val="27"/>
          </w:tcPr>
          <w:p>
            <w:pPr>
              <w:ind w:left="140"/>
              <w:spacing w:after="0"/>
              <w:rPr>
                <w:sz w:val="20"/>
                <w:szCs w:val="20"/>
                <w:color w:val="auto"/>
              </w:rPr>
            </w:pPr>
            <w:r>
              <w:rPr>
                <w:rFonts w:ascii="Arial" w:cs="Arial" w:eastAsia="Arial" w:hAnsi="Arial"/>
                <w:sz w:val="18"/>
                <w:szCs w:val="18"/>
                <w:color w:val="auto"/>
              </w:rPr>
              <w:t>Warrants issued to a customer were to vest upon the earlier of achieving certain revenue targets or a change in control. The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9320" w:type="dxa"/>
            <w:vAlign w:val="bottom"/>
            <w:gridSpan w:val="22"/>
          </w:tcPr>
          <w:p>
            <w:pPr>
              <w:ind w:left="140"/>
              <w:spacing w:after="0"/>
              <w:rPr>
                <w:sz w:val="20"/>
                <w:szCs w:val="20"/>
                <w:color w:val="auto"/>
              </w:rPr>
            </w:pPr>
            <w:r>
              <w:rPr>
                <w:rFonts w:ascii="Arial" w:cs="Arial" w:eastAsia="Arial" w:hAnsi="Arial"/>
                <w:sz w:val="18"/>
                <w:szCs w:val="18"/>
                <w:color w:val="auto"/>
              </w:rPr>
              <w:t>Company accelerated the vesting of 50% of the issued warrants based on the probable change in control.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10200" w:type="dxa"/>
            <w:vAlign w:val="bottom"/>
            <w:gridSpan w:val="27"/>
          </w:tcPr>
          <w:p>
            <w:pPr>
              <w:ind w:left="40"/>
              <w:spacing w:after="0"/>
              <w:rPr>
                <w:sz w:val="20"/>
                <w:szCs w:val="20"/>
                <w:color w:val="auto"/>
              </w:rPr>
            </w:pPr>
            <w:r>
              <w:rPr>
                <w:rFonts w:ascii="Arial" w:cs="Arial" w:eastAsia="Arial" w:hAnsi="Arial"/>
                <w:sz w:val="18"/>
                <w:szCs w:val="18"/>
                <w:color w:val="auto"/>
                <w:w w:val="99"/>
              </w:rPr>
              <w:t>The following table provides a roll forward of the aggregate fair value of the Company’s preferred stock warrants (in thousands):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center"/>
              <w:ind w:left="15"/>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480" w:type="dxa"/>
            <w:vAlign w:val="bottom"/>
            <w:tcBorders>
              <w:top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Changes in fair value</w:t>
            </w: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3"/>
          </w:tcPr>
          <w:p>
            <w:pPr>
              <w:spacing w:after="0"/>
              <w:rPr>
                <w:sz w:val="20"/>
                <w:szCs w:val="20"/>
                <w:color w:val="auto"/>
              </w:rPr>
            </w:pPr>
            <w:r>
              <w:rPr>
                <w:rFonts w:ascii="Arial" w:cs="Arial" w:eastAsia="Arial" w:hAnsi="Arial"/>
                <w:sz w:val="18"/>
                <w:szCs w:val="18"/>
                <w:color w:val="auto"/>
              </w:rPr>
              <w:t>Balance at end of period</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80" w:type="dxa"/>
            <w:vAlign w:val="bottom"/>
          </w:tcPr>
          <w:p>
            <w:pPr>
              <w:spacing w:after="0"/>
              <w:rPr>
                <w:sz w:val="18"/>
                <w:szCs w:val="18"/>
                <w:color w:val="auto"/>
              </w:rPr>
            </w:pPr>
          </w:p>
        </w:tc>
        <w:tc>
          <w:tcPr>
            <w:tcW w:w="48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COMMON STOCK</w:t>
            </w: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9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4480" w:type="dxa"/>
            <w:vAlign w:val="bottom"/>
            <w:gridSpan w:val="4"/>
          </w:tcPr>
          <w:p>
            <w:pPr>
              <w:ind w:left="140"/>
              <w:spacing w:after="0"/>
              <w:rPr>
                <w:sz w:val="20"/>
                <w:szCs w:val="20"/>
                <w:color w:val="auto"/>
              </w:rPr>
            </w:pPr>
            <w:r>
              <w:rPr>
                <w:rFonts w:ascii="Arial" w:cs="Arial" w:eastAsia="Arial" w:hAnsi="Arial"/>
                <w:sz w:val="18"/>
                <w:szCs w:val="18"/>
                <w:color w:val="auto"/>
              </w:rPr>
              <w:t>Composition of Common Stock:</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center"/>
              <w:ind w:left="23"/>
              <w:spacing w:after="0"/>
              <w:rPr>
                <w:sz w:val="20"/>
                <w:szCs w:val="20"/>
                <w:color w:val="auto"/>
              </w:rPr>
            </w:pPr>
            <w:r>
              <w:rPr>
                <w:rFonts w:ascii="Arial" w:cs="Arial" w:eastAsia="Arial" w:hAnsi="Arial"/>
                <w:sz w:val="14"/>
                <w:szCs w:val="14"/>
                <w:b w:val="1"/>
                <w:bCs w:val="1"/>
                <w:color w:val="auto"/>
              </w:rPr>
              <w:t>Authorized</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jc w:val="right"/>
              <w:ind w:right="59"/>
              <w:spacing w:after="0"/>
              <w:rPr>
                <w:sz w:val="20"/>
                <w:szCs w:val="20"/>
                <w:color w:val="auto"/>
              </w:rPr>
            </w:pPr>
            <w:r>
              <w:rPr>
                <w:rFonts w:ascii="Arial" w:cs="Arial" w:eastAsia="Arial" w:hAnsi="Arial"/>
                <w:sz w:val="14"/>
                <w:szCs w:val="14"/>
                <w:b w:val="1"/>
                <w:bCs w:val="1"/>
                <w:color w:val="auto"/>
              </w:rPr>
              <w:t>Issued and Outstanding</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jc w:val="center"/>
              <w:ind w:left="3"/>
              <w:spacing w:after="0" w:line="155" w:lineRule="exact"/>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6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6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Shares of NIS 0.001, par value:</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ind w:left="360"/>
              <w:spacing w:after="0" w:line="202" w:lineRule="exact"/>
              <w:rPr>
                <w:sz w:val="20"/>
                <w:szCs w:val="20"/>
                <w:color w:val="auto"/>
              </w:rPr>
            </w:pPr>
            <w:r>
              <w:rPr>
                <w:rFonts w:ascii="Arial" w:cs="Arial" w:eastAsia="Arial" w:hAnsi="Arial"/>
                <w:sz w:val="18"/>
                <w:szCs w:val="18"/>
                <w:color w:val="auto"/>
              </w:rPr>
              <w:t>Common Stocks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9"/>
              </w:rPr>
              <w:t>70,500,000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70,500,000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11,241,043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7"/>
          </w:tcPr>
          <w:p>
            <w:pPr>
              <w:jc w:val="right"/>
              <w:ind w:right="20"/>
              <w:spacing w:after="0" w:line="202" w:lineRule="exact"/>
              <w:rPr>
                <w:sz w:val="20"/>
                <w:szCs w:val="20"/>
                <w:color w:val="auto"/>
              </w:rPr>
            </w:pPr>
            <w:r>
              <w:rPr>
                <w:rFonts w:ascii="Arial" w:cs="Arial" w:eastAsia="Arial" w:hAnsi="Arial"/>
                <w:sz w:val="18"/>
                <w:szCs w:val="18"/>
                <w:color w:val="auto"/>
              </w:rPr>
              <w:t>11,203,077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F-109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180"/>
        <w:spacing w:after="0"/>
        <w:rPr>
          <w:sz w:val="20"/>
          <w:szCs w:val="20"/>
          <w:color w:val="auto"/>
        </w:rPr>
      </w:pPr>
      <w:r>
        <w:rPr>
          <w:rFonts w:ascii="Arial" w:cs="Arial" w:eastAsia="Arial" w:hAnsi="Arial"/>
          <w:sz w:val="18"/>
          <w:szCs w:val="18"/>
          <w:color w:val="auto"/>
        </w:rPr>
        <w:t>Each share of common stock entitles the holders the right to receive notice to participate and vote in general meetings of the Company, and the right to receive dividends, if declared and to participate in the distribution of the surplus assets of the Company upon liquidation of the Company, after the distribution of the preferred shares liquidation preference.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39" w:lineRule="exact"/>
        <w:rPr>
          <w:sz w:val="20"/>
          <w:szCs w:val="20"/>
          <w:color w:val="auto"/>
        </w:rPr>
      </w:pPr>
    </w:p>
    <w:p>
      <w:pPr>
        <w:ind w:left="660" w:hanging="544"/>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April 26, 2011, the Board of Directors of the Company adopted a share option plan (the “2011 Plan”).</w:t>
      </w:r>
    </w:p>
    <w:p>
      <w:pPr>
        <w:spacing w:after="0" w:line="103"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The 2011 Plan provides for the grant of options to directors, employees, officers and consultants of the Company. As of December 31, 2019, a total of 10,722,002 shares of common stock were reserved for issuance pursuant to stock awards under the 2011 Plan.</w:t>
      </w:r>
    </w:p>
    <w:p>
      <w:pPr>
        <w:spacing w:after="0" w:line="94" w:lineRule="exact"/>
        <w:rPr>
          <w:rFonts w:ascii="Arial" w:cs="Arial" w:eastAsia="Arial" w:hAnsi="Arial"/>
          <w:sz w:val="18"/>
          <w:szCs w:val="18"/>
          <w:color w:val="auto"/>
        </w:rPr>
      </w:pPr>
    </w:p>
    <w:p>
      <w:pPr>
        <w:jc w:val="both"/>
        <w:ind w:left="660" w:right="300"/>
        <w:spacing w:after="0"/>
        <w:rPr>
          <w:rFonts w:ascii="Arial" w:cs="Arial" w:eastAsia="Arial" w:hAnsi="Arial"/>
          <w:sz w:val="18"/>
          <w:szCs w:val="18"/>
          <w:color w:val="auto"/>
        </w:rPr>
      </w:pPr>
      <w:r>
        <w:rPr>
          <w:rFonts w:ascii="Arial" w:cs="Arial" w:eastAsia="Arial" w:hAnsi="Arial"/>
          <w:sz w:val="18"/>
          <w:szCs w:val="18"/>
          <w:color w:val="auto"/>
        </w:rPr>
        <w:t>Each option granted under the Plan expires no later than 10 years from the vesting commencement date. The options generally vest over four years. Any options that are canceled or forfeited before expiration become available for future grants. Each option entitles the holder to purchase one share of Common stock of the Company.</w:t>
      </w:r>
    </w:p>
    <w:p>
      <w:pPr>
        <w:spacing w:after="0" w:line="94" w:lineRule="exact"/>
        <w:rPr>
          <w:rFonts w:ascii="Arial" w:cs="Arial" w:eastAsia="Arial" w:hAnsi="Arial"/>
          <w:sz w:val="18"/>
          <w:szCs w:val="18"/>
          <w:color w:val="auto"/>
        </w:rPr>
      </w:pPr>
    </w:p>
    <w:p>
      <w:pPr>
        <w:ind w:left="660" w:right="20"/>
        <w:spacing w:after="0" w:line="371" w:lineRule="auto"/>
        <w:rPr>
          <w:rFonts w:ascii="Arial" w:cs="Arial" w:eastAsia="Arial" w:hAnsi="Arial"/>
          <w:sz w:val="18"/>
          <w:szCs w:val="18"/>
          <w:color w:val="auto"/>
        </w:rPr>
      </w:pPr>
      <w:r>
        <w:rPr>
          <w:rFonts w:ascii="Arial" w:cs="Arial" w:eastAsia="Arial" w:hAnsi="Arial"/>
          <w:sz w:val="18"/>
          <w:szCs w:val="18"/>
          <w:color w:val="auto"/>
        </w:rPr>
        <w:t>As of December 31, 2019, a total of 237,001 options to purchase the Company’s common stock remained available for future grant. The following is a summary of option activity under the Plan for the year ended December 31, 2019:</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620" w:type="dxa"/>
            <w:vAlign w:val="bottom"/>
          </w:tcPr>
          <w:p>
            <w:pPr>
              <w:spacing w:after="0"/>
              <w:rPr>
                <w:sz w:val="15"/>
                <w:szCs w:val="15"/>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of Options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 Value</w:t>
            </w:r>
          </w:p>
        </w:tc>
      </w:tr>
      <w:tr>
        <w:trPr>
          <w:trHeight w:val="155"/>
        </w:trPr>
        <w:tc>
          <w:tcPr>
            <w:tcW w:w="56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at the beginning of the year</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9,719,909</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0.62</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Changes during the year:</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1,270,000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0.80</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(42,966)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0.65</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Cancelled and forfeited</w:t>
            </w:r>
          </w:p>
        </w:tc>
        <w:tc>
          <w:tcPr>
            <w:tcW w:w="11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(1,222,985)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0.70</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at the end of the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9,723,958</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0.63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5,917,001</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0.59</w:t>
            </w:r>
          </w:p>
        </w:tc>
        <w:tc>
          <w:tcPr>
            <w:tcW w:w="10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6.39</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1,598</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20" w:type="dxa"/>
            <w:vAlign w:val="bottom"/>
          </w:tcPr>
          <w:p>
            <w:pPr>
              <w:spacing w:after="0" w:line="196" w:lineRule="exact"/>
              <w:rPr>
                <w:sz w:val="20"/>
                <w:szCs w:val="20"/>
                <w:color w:val="auto"/>
              </w:rPr>
            </w:pPr>
            <w:r>
              <w:rPr>
                <w:rFonts w:ascii="Arial" w:cs="Arial" w:eastAsia="Arial" w:hAnsi="Arial"/>
                <w:sz w:val="18"/>
                <w:szCs w:val="18"/>
                <w:color w:val="auto"/>
              </w:rPr>
              <w:t>Vested or expected to vest at December 31, 2019</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9,728,458</w:t>
            </w:r>
          </w:p>
        </w:tc>
        <w:tc>
          <w:tcPr>
            <w:tcW w:w="260" w:type="dxa"/>
            <w:vAlign w:val="bottom"/>
          </w:tcPr>
          <w:p>
            <w:pPr>
              <w:spacing w:after="0"/>
              <w:rPr>
                <w:sz w:val="17"/>
                <w:szCs w:val="17"/>
                <w:color w:val="auto"/>
              </w:rPr>
            </w:pP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0.64</w:t>
            </w:r>
          </w:p>
        </w:tc>
        <w:tc>
          <w:tcPr>
            <w:tcW w:w="10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7.27</w:t>
            </w: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2,627</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2019. The aggregate intrinsic value of stock options exercised during the years ended December 31, 2018 and 2019 was $35 and $7, respectively.</w:t>
      </w:r>
    </w:p>
    <w:p>
      <w:pPr>
        <w:spacing w:after="0" w:line="95" w:lineRule="exact"/>
        <w:rPr>
          <w:sz w:val="20"/>
          <w:szCs w:val="20"/>
          <w:color w:val="auto"/>
        </w:rPr>
      </w:pPr>
    </w:p>
    <w:p>
      <w:pPr>
        <w:ind w:left="660" w:right="78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$82 and $28 during the years ended December 31, 2018 and 2019,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2018 and 2019 was $0.68 per share and $0.80 per share, respectively.</w:t>
      </w:r>
    </w:p>
    <w:p>
      <w:pPr>
        <w:spacing w:after="0" w:line="89"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that uses the assumptions noted in the table below.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granted options to purchase ordinary shares to non-employee consultants as of December 31, 2019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Options</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Cancelled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Outstanding as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Options for</w:t>
            </w:r>
          </w:p>
        </w:tc>
        <w:tc>
          <w:tcPr>
            <w:tcW w:w="4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Forfeited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69"/>
        </w:trPr>
        <w:tc>
          <w:tcPr>
            <w:tcW w:w="3340" w:type="dxa"/>
            <w:vAlign w:val="bottom"/>
            <w:gridSpan w:val="2"/>
            <w:vMerge w:val="continue"/>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During 2019</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Price</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Exercisable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980" w:type="dxa"/>
            <w:vAlign w:val="bottom"/>
            <w:tcBorders>
              <w:top w:val="single" w:sz="8" w:color="auto"/>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August 27, 2018</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4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8/27/2028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Total stock-based compensation expenses resulting from stock options included in the statement of operations for the years ended December 31, 2019 and 2018 were $1,347 and $745, respectively.</w:t>
      </w:r>
    </w:p>
    <w:p>
      <w:pPr>
        <w:spacing w:after="0" w:line="89"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As of December 31, 2019 there was $1,437 of total unrecognized compensation expense related to unvested stock options which is expected to be recognized over a weighted-average period of 2.3 years.</w:t>
      </w:r>
    </w:p>
    <w:p>
      <w:pPr>
        <w:spacing w:after="0" w:line="89"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granted to employees that was recorded in the Company’s consolidated statements of operations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TERM LOAN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20" w:type="dxa"/>
            <w:vAlign w:val="bottom"/>
            <w:gridSpan w:val="2"/>
          </w:tcPr>
          <w:p>
            <w:pPr>
              <w:ind w:left="44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Borders>
              <w:bottom w:val="single" w:sz="8" w:color="CCEEFF"/>
            </w:tcBorders>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Arial" w:cs="Arial" w:eastAsia="Arial" w:hAnsi="Arial"/>
                <w:sz w:val="18"/>
                <w:szCs w:val="18"/>
                <w:color w:val="auto"/>
              </w:rPr>
              <w:t>Long term debt, net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680" w:type="dxa"/>
            <w:vAlign w:val="bottom"/>
            <w:vMerge w:val="restart"/>
          </w:tcPr>
          <w:p>
            <w:pPr>
              <w:ind w:left="4720"/>
              <w:spacing w:after="0"/>
              <w:rPr>
                <w:sz w:val="20"/>
                <w:szCs w:val="20"/>
                <w:color w:val="auto"/>
              </w:rPr>
            </w:pPr>
            <w:r>
              <w:rPr>
                <w:rFonts w:ascii="Arial" w:cs="Arial" w:eastAsia="Arial" w:hAnsi="Arial"/>
                <w:sz w:val="18"/>
                <w:szCs w:val="18"/>
                <w:color w:val="auto"/>
              </w:rPr>
              <w:t>F-111</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and Security Agreement</w:t>
      </w:r>
    </w:p>
    <w:p>
      <w:pPr>
        <w:spacing w:after="0" w:line="12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under which the Company borrowed $5,000 from a financial institution with interest at a rate of prime plus 3% (7.5%). The loan is for a period of 42 months and bears interest of one percent above the prime rate, which is to be paid monthly. The principal of the loan is to be paid in 30 monthly payments, beginning in February 10, 2019.</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As part of the amendment, the Company issued additional warrants to the financial institution in the same terms and conditions as the warrants issued before. The amendment extended the interest only period to continue through January 2020. The interest rate remained unchanged at prime plus 3% (rate at December 31, 2019 of 7.75%).</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accounted for this amendment as a debt modification.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Principal Payments</w:t>
      </w:r>
    </w:p>
    <w:p>
      <w:pPr>
        <w:spacing w:after="0" w:line="12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 of December 31, 2019, the aggregate minimum future principal payments due in connection with the Company’s Term Loan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r>
        <w:trPr>
          <w:trHeight w:val="210"/>
        </w:trPr>
        <w:tc>
          <w:tcPr>
            <w:tcW w:w="10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the Company recorded interest expense of $211. In 2019, the Company recorded interest expense of $325.</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Simplificare was acquired by Flywire Corporation. Proceeds from the sale were used to pay off the outstanding</w:t>
      </w:r>
    </w:p>
    <w:p>
      <w:pPr>
        <w:ind w:left="120"/>
        <w:spacing w:after="0"/>
        <w:rPr>
          <w:sz w:val="20"/>
          <w:szCs w:val="20"/>
          <w:color w:val="auto"/>
        </w:rPr>
      </w:pPr>
      <w:r>
        <w:rPr>
          <w:rFonts w:ascii="Arial" w:cs="Arial" w:eastAsia="Arial" w:hAnsi="Arial"/>
          <w:sz w:val="18"/>
          <w:szCs w:val="18"/>
          <w:color w:val="auto"/>
        </w:rPr>
        <w:t>debt.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39" w:lineRule="exact"/>
        <w:rPr>
          <w:sz w:val="20"/>
          <w:szCs w:val="20"/>
          <w:color w:val="auto"/>
        </w:rPr>
      </w:pPr>
    </w:p>
    <w:p>
      <w:pPr>
        <w:ind w:left="660" w:hanging="544"/>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03" w:lineRule="exact"/>
        <w:rPr>
          <w:rFonts w:ascii="Arial" w:cs="Arial" w:eastAsia="Arial" w:hAnsi="Arial"/>
          <w:sz w:val="18"/>
          <w:szCs w:val="18"/>
          <w:color w:val="auto"/>
        </w:rPr>
      </w:pPr>
    </w:p>
    <w:p>
      <w:pPr>
        <w:ind w:left="660" w:right="160"/>
        <w:spacing w:after="0"/>
        <w:rPr>
          <w:rFonts w:ascii="Arial" w:cs="Arial" w:eastAsia="Arial" w:hAnsi="Arial"/>
          <w:sz w:val="18"/>
          <w:szCs w:val="18"/>
          <w:color w:val="auto"/>
        </w:rPr>
      </w:pPr>
      <w:r>
        <w:rPr>
          <w:rFonts w:ascii="Arial" w:cs="Arial" w:eastAsia="Arial" w:hAnsi="Arial"/>
          <w:sz w:val="18"/>
          <w:szCs w:val="18"/>
          <w:color w:val="auto"/>
        </w:rPr>
        <w:t>The Company and its subsidiary rent their facilities under various operating lease agreements, which as of December 31, 2019 expire on various dates, the latest of which is in 2020. The lease agreement includes an option to continue the lease for additional two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rental payments under non-cancelable operating leases are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27" w:lineRule="exact"/>
        <w:rPr>
          <w:sz w:val="20"/>
          <w:szCs w:val="20"/>
          <w:color w:val="auto"/>
        </w:rPr>
      </w:pPr>
    </w:p>
    <w:p>
      <w:pPr>
        <w:ind w:left="660"/>
        <w:spacing w:after="0"/>
        <w:tabs>
          <w:tab w:leader="none" w:pos="1076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-130175</wp:posOffset>
            </wp:positionV>
            <wp:extent cx="664337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43370" cy="137160"/>
                    </a:xfrm>
                    <a:prstGeom prst="rect">
                      <a:avLst/>
                    </a:prstGeom>
                    <a:noFill/>
                  </pic:spPr>
                </pic:pic>
              </a:graphicData>
            </a:graphic>
          </wp:anchor>
        </w:drawing>
      </w:r>
    </w:p>
    <w:p>
      <w:pPr>
        <w:spacing w:after="0" w:line="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-1905</wp:posOffset>
            </wp:positionV>
            <wp:extent cx="2317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14605</wp:posOffset>
            </wp:positionV>
            <wp:extent cx="2317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2018 and 2019, was $364 and $439, respectively.</w:t>
      </w:r>
    </w:p>
    <w:p>
      <w:pPr>
        <w:spacing w:after="0" w:line="117" w:lineRule="exact"/>
        <w:rPr>
          <w:sz w:val="20"/>
          <w:szCs w:val="20"/>
          <w:color w:val="auto"/>
        </w:rPr>
      </w:pPr>
    </w:p>
    <w:p>
      <w:pPr>
        <w:ind w:left="660" w:hanging="544"/>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Guarantee</w:t>
      </w:r>
    </w:p>
    <w:p>
      <w:pPr>
        <w:spacing w:after="0" w:line="103" w:lineRule="exact"/>
        <w:rPr>
          <w:rFonts w:ascii="Arial" w:cs="Arial" w:eastAsia="Arial" w:hAnsi="Arial"/>
          <w:sz w:val="18"/>
          <w:szCs w:val="18"/>
          <w:color w:val="auto"/>
        </w:rPr>
      </w:pPr>
    </w:p>
    <w:p>
      <w:pPr>
        <w:ind w:left="660" w:right="740"/>
        <w:spacing w:after="0" w:line="246" w:lineRule="auto"/>
        <w:rPr>
          <w:rFonts w:ascii="Arial" w:cs="Arial" w:eastAsia="Arial" w:hAnsi="Arial"/>
          <w:sz w:val="18"/>
          <w:szCs w:val="18"/>
          <w:color w:val="auto"/>
        </w:rPr>
      </w:pPr>
      <w:r>
        <w:rPr>
          <w:rFonts w:ascii="Arial" w:cs="Arial" w:eastAsia="Arial" w:hAnsi="Arial"/>
          <w:sz w:val="18"/>
          <w:szCs w:val="18"/>
          <w:color w:val="auto"/>
        </w:rPr>
        <w:t>As of December 31, 2019, contingent liabilities exist regarding guarantee in the amount of $8 in respect of office rent lease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TAXES ON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laws applicable to the Company:</w:t>
      </w:r>
    </w:p>
    <w:p>
      <w:pPr>
        <w:spacing w:after="0" w:line="117" w:lineRule="exact"/>
        <w:rPr>
          <w:sz w:val="20"/>
          <w:szCs w:val="20"/>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US tax rates:</w:t>
      </w:r>
    </w:p>
    <w:p>
      <w:pPr>
        <w:spacing w:after="0" w:line="103" w:lineRule="exact"/>
        <w:rPr>
          <w:rFonts w:ascii="Arial" w:cs="Arial" w:eastAsia="Arial" w:hAnsi="Arial"/>
          <w:sz w:val="18"/>
          <w:szCs w:val="18"/>
          <w:color w:val="auto"/>
        </w:rPr>
      </w:pPr>
    </w:p>
    <w:p>
      <w:pPr>
        <w:ind w:left="660" w:right="380"/>
        <w:spacing w:after="0" w:line="246" w:lineRule="auto"/>
        <w:rPr>
          <w:rFonts w:ascii="Arial" w:cs="Arial" w:eastAsia="Arial" w:hAnsi="Arial"/>
          <w:sz w:val="18"/>
          <w:szCs w:val="18"/>
          <w:color w:val="auto"/>
        </w:rPr>
      </w:pPr>
      <w:r>
        <w:rPr>
          <w:rFonts w:ascii="Arial" w:cs="Arial" w:eastAsia="Arial" w:hAnsi="Arial"/>
          <w:sz w:val="18"/>
          <w:szCs w:val="18"/>
          <w:color w:val="auto"/>
        </w:rPr>
        <w:t>The company files income tax return in the U.S. federal jurisdiction and various state and local jurisdiction, the principal tax rate applicable to the Company is 21%.</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Israeli tax rates:</w:t>
      </w:r>
    </w:p>
    <w:p>
      <w:pPr>
        <w:spacing w:after="0" w:line="103" w:lineRule="exact"/>
        <w:rPr>
          <w:rFonts w:ascii="Arial" w:cs="Arial" w:eastAsia="Arial" w:hAnsi="Arial"/>
          <w:sz w:val="18"/>
          <w:szCs w:val="18"/>
          <w:color w:val="auto"/>
        </w:rPr>
      </w:pPr>
    </w:p>
    <w:p>
      <w:pPr>
        <w:ind w:left="660" w:right="620"/>
        <w:spacing w:after="0" w:line="246" w:lineRule="auto"/>
        <w:rPr>
          <w:rFonts w:ascii="Arial" w:cs="Arial" w:eastAsia="Arial" w:hAnsi="Arial"/>
          <w:sz w:val="18"/>
          <w:szCs w:val="18"/>
          <w:color w:val="auto"/>
        </w:rPr>
      </w:pPr>
      <w:r>
        <w:rPr>
          <w:rFonts w:ascii="Arial" w:cs="Arial" w:eastAsia="Arial" w:hAnsi="Arial"/>
          <w:sz w:val="18"/>
          <w:szCs w:val="18"/>
          <w:color w:val="auto"/>
        </w:rPr>
        <w:t>The company subsidiary is taxed at rates lower than the US rates. Tax benefits under Israel’s Law for the Encouragement of Industry (Taxes), 1969:</w:t>
      </w:r>
    </w:p>
    <w:p>
      <w:pPr>
        <w:spacing w:after="0" w:line="88" w:lineRule="exact"/>
        <w:rPr>
          <w:rFonts w:ascii="Arial" w:cs="Arial" w:eastAsia="Arial" w:hAnsi="Arial"/>
          <w:sz w:val="18"/>
          <w:szCs w:val="18"/>
          <w:color w:val="auto"/>
        </w:rPr>
      </w:pPr>
    </w:p>
    <w:p>
      <w:pPr>
        <w:ind w:left="660" w:right="60"/>
        <w:spacing w:after="0" w:line="246" w:lineRule="auto"/>
        <w:rPr>
          <w:rFonts w:ascii="Arial" w:cs="Arial" w:eastAsia="Arial" w:hAnsi="Arial"/>
          <w:sz w:val="18"/>
          <w:szCs w:val="18"/>
          <w:color w:val="auto"/>
        </w:rPr>
      </w:pPr>
      <w:r>
        <w:rPr>
          <w:rFonts w:ascii="Arial" w:cs="Arial" w:eastAsia="Arial" w:hAnsi="Arial"/>
          <w:sz w:val="18"/>
          <w:szCs w:val="18"/>
          <w:color w:val="auto"/>
        </w:rPr>
        <w:t>The Company is an “Industrial Company,” as defined by the Law for the Encouragement of Industry (Taxes), 1969 (“The Law”), The Company chose to be taxed according to the</w:t>
      </w:r>
    </w:p>
    <w:p>
      <w:pPr>
        <w:spacing w:after="0" w:line="88"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“Preferred Enterprise” track, and as such, the Company is entitled to certain tax benefits, the tax rate on preferred income form a preferred enterprise is 16%. Any dividends distributed to individuals or foreign residents from the preferred enterprise’s earnings as above will be subject to tax at a rate of 20%.</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following table presents the components of loss before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9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900" w:type="dxa"/>
            <w:vAlign w:val="bottom"/>
            <w:tcBorders>
              <w:bottom w:val="single" w:sz="8" w:color="CCEEFF"/>
            </w:tcBorders>
          </w:tcPr>
          <w:p>
            <w:pPr>
              <w:spacing w:after="0"/>
              <w:rPr>
                <w:sz w:val="13"/>
                <w:szCs w:val="13"/>
                <w:color w:val="auto"/>
              </w:rPr>
            </w:pPr>
          </w:p>
        </w:tc>
        <w:tc>
          <w:tcPr>
            <w:tcW w:w="55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(2,157)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(5,391)</w:t>
            </w:r>
          </w:p>
        </w:tc>
        <w:tc>
          <w:tcPr>
            <w:tcW w:w="1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449</w:t>
            </w:r>
          </w:p>
        </w:tc>
      </w:tr>
      <w:tr>
        <w:trPr>
          <w:trHeight w:val="27"/>
        </w:trPr>
        <w:tc>
          <w:tcPr>
            <w:tcW w:w="29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290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
        </w:trPr>
        <w:tc>
          <w:tcPr>
            <w:tcW w:w="29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40" w:type="dxa"/>
            <w:vAlign w:val="bottom"/>
            <w:gridSpan w:val="2"/>
          </w:tcPr>
          <w:p>
            <w:pPr>
              <w:jc w:val="right"/>
              <w:ind w:right="3350"/>
              <w:spacing w:after="0"/>
              <w:rPr>
                <w:sz w:val="20"/>
                <w:szCs w:val="20"/>
                <w:color w:val="auto"/>
              </w:rPr>
            </w:pPr>
            <w:r>
              <w:rPr>
                <w:rFonts w:ascii="Arial" w:cs="Arial" w:eastAsia="Arial" w:hAnsi="Arial"/>
                <w:sz w:val="18"/>
                <w:szCs w:val="18"/>
                <w:color w:val="auto"/>
              </w:rPr>
              <w:t>F-113</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following table summarizes the components of the Company’s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2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Current</w:t>
            </w:r>
          </w:p>
        </w:tc>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current provision for income taxes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Prior</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provision for prior tax increase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gridSpan w:val="5"/>
          </w:tcPr>
          <w:p>
            <w:pPr>
              <w:spacing w:after="0"/>
              <w:rPr>
                <w:sz w:val="20"/>
                <w:szCs w:val="20"/>
                <w:color w:val="auto"/>
              </w:rPr>
            </w:pPr>
            <w:r>
              <w:rPr>
                <w:rFonts w:ascii="Arial" w:cs="Arial" w:eastAsia="Arial" w:hAnsi="Arial"/>
                <w:sz w:val="18"/>
                <w:szCs w:val="18"/>
                <w:color w:val="auto"/>
              </w:rPr>
              <w:t>Total deferred income tax provision (benefit)</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income tax provision</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0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Increase in taxes from prior years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significant reconciling items between the reported amounts of income tax expense and the amount of income tax expense that would result from applying the U.S. statutory tax rate include state income taxes, non-deductible equity based compensation, increase in taxes from prior years and a change in valuation allowance maintained against the Company’s net deferred tax assets. During the year ended December 31, 2019 the Company recorded an income tax expense of $449.</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p>
      <w:pPr>
        <w:ind w:left="660" w:hanging="544"/>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Company’s significant deferred tax assets and liabilities consisted of the following components as of December 31, 2019 and</w:t>
      </w:r>
    </w:p>
    <w:p>
      <w:pPr>
        <w:ind w:left="660"/>
        <w:spacing w:after="0"/>
        <w:rPr>
          <w:rFonts w:ascii="Arial" w:cs="Arial" w:eastAsia="Arial" w:hAnsi="Arial"/>
          <w:sz w:val="18"/>
          <w:szCs w:val="18"/>
          <w:color w:val="auto"/>
        </w:rPr>
      </w:pPr>
      <w:r>
        <w:rPr>
          <w:rFonts w:ascii="Arial" w:cs="Arial" w:eastAsia="Arial" w:hAnsi="Arial"/>
          <w:sz w:val="18"/>
          <w:szCs w:val="18"/>
          <w:color w:val="auto"/>
        </w:rPr>
        <w:t>2018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8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7,491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7,281</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and other reserves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net operating loss carryforward. The Company has evaluated the positive and negative evidence bearing upon the realizability and determined that it is more likely than not that the Company will not realize the benefits of the deferred tax assets, and as a result, a full valuation allowance has been established against the deferred tax assets as of December 31, 2019 and 2018.</w:t>
      </w:r>
    </w:p>
    <w:p>
      <w:pPr>
        <w:spacing w:after="0" w:line="97"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During the years ended December 31, 2019 the Company recorded an increase in the valuation allowance of $ 170. During the year ended December 31, 2018, the Company recorded an increase in the valuation allowance of $893. Changes in the valuation allowance for deferred tax assets related primarily to the increase in net operating loss carryforwards. Changes in the valuation allowance are summarized as follows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(7,407)</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(7,577)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380"/>
        <w:spacing w:after="0"/>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Company. As of December 31, 2020, the amount of unrecognized deferred U.S. taxes on these earnings would be de minimis.</w:t>
      </w:r>
    </w:p>
    <w:p>
      <w:pPr>
        <w:spacing w:after="0" w:line="95"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As of December 31, 2019 and 2018, the Company had not recorded any amounts for unrecognized tax benefits and it had not accrued interest or penalties related to uncertain tax positions. The Company files income tax returns as prescribed by the tax laws of the jurisdictions in which it operates. In the normal course of business, the Company is subject to examination by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federal and state jurisdictions, where applicable. The Company is open to future tax examination from 2016 to the present; however, carryforward attributes that were generated prior to 2016 may still be adjusted upon examination by federal, state or local tax authorities to the extent they will be used in a future period. The Company is generally open to future foreign tax examinations for tax years beginning after December 31, 2015.</w:t>
      </w:r>
    </w:p>
    <w:p>
      <w:pPr>
        <w:spacing w:after="0" w:line="97"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Company has provided a full valuation allowance in respect of its deferred tax assets resulting from tax loss carry-forwards and other reserves and allowances due to its history of losses and uncertainty concerning realization of these deferred tax assets.</w:t>
      </w:r>
    </w:p>
    <w:p>
      <w:pPr>
        <w:spacing w:after="0" w:line="102" w:lineRule="exact"/>
        <w:rPr>
          <w:sz w:val="20"/>
          <w:szCs w:val="20"/>
          <w:color w:val="auto"/>
        </w:rPr>
      </w:pPr>
    </w:p>
    <w:p>
      <w:pPr>
        <w:ind w:left="660" w:hanging="544"/>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has not had a final tax assessment since its inception.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Subsidiary has final tax assessments in accordance with Section 145 to the Income Tax Ordinance through tax year 2018.</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Net operating losses carryforward:</w:t>
      </w:r>
    </w:p>
    <w:p>
      <w:pPr>
        <w:spacing w:after="0" w:line="103" w:lineRule="exact"/>
        <w:rPr>
          <w:rFonts w:ascii="Arial" w:cs="Arial" w:eastAsia="Arial" w:hAnsi="Arial"/>
          <w:sz w:val="18"/>
          <w:szCs w:val="18"/>
          <w:color w:val="auto"/>
        </w:rPr>
      </w:pPr>
    </w:p>
    <w:p>
      <w:pPr>
        <w:ind w:left="660" w:right="160"/>
        <w:spacing w:after="0" w:line="238" w:lineRule="auto"/>
        <w:rPr>
          <w:rFonts w:ascii="Arial" w:cs="Arial" w:eastAsia="Arial" w:hAnsi="Arial"/>
          <w:sz w:val="18"/>
          <w:szCs w:val="18"/>
          <w:color w:val="auto"/>
        </w:rPr>
      </w:pPr>
      <w:r>
        <w:rPr>
          <w:rFonts w:ascii="Arial" w:cs="Arial" w:eastAsia="Arial" w:hAnsi="Arial"/>
          <w:sz w:val="18"/>
          <w:szCs w:val="18"/>
          <w:color w:val="auto"/>
        </w:rPr>
        <w:t>As of December 31, 2019, the Company had cumulative net operating losses (“NOL”) for US federal and state income tax return purposes of approximately $35,673. The Company provided a full valuation allowance in relation to those carry forward tax losses due to the uncertainty of their utilization in the foreseeable future, and expire at various dates beginning in 2031 and 2029,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15:-SUBSEQUENT EVENTS (Unaudited)</w:t>
      </w:r>
    </w:p>
    <w:p>
      <w:pPr>
        <w:spacing w:after="0" w:line="139" w:lineRule="exact"/>
        <w:rPr>
          <w:sz w:val="20"/>
          <w:szCs w:val="20"/>
          <w:color w:val="auto"/>
        </w:rPr>
      </w:pPr>
    </w:p>
    <w:p>
      <w:pPr>
        <w:ind w:left="660" w:right="40" w:hanging="544"/>
        <w:spacing w:after="0" w:line="237"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On February 13, 2020, all of the outstanding shares of Simplificare were acquired by Flywire Healthcare Corporation (“Flywire”) for cash consideration of $78,991. The holders of the Company’s stock could receive up to $20,000 in additional payments contingent on achieving revenue, customer retention, employee retention and technical integration milestones. All outstanding shares of preferred stock were converted to common stock. Additionally, warrants and vested options were exercised for common stock. All outstanding debt was paid off at the acquisition date with proceeds from the acquisition. The Company will continue to operate as a 100% wholly owned subsidiary of Flywire.</w:t>
      </w:r>
    </w:p>
    <w:p>
      <w:pPr>
        <w:spacing w:after="0" w:line="110" w:lineRule="exact"/>
        <w:rPr>
          <w:rFonts w:ascii="Arial" w:cs="Arial" w:eastAsia="Arial" w:hAnsi="Arial"/>
          <w:sz w:val="18"/>
          <w:szCs w:val="18"/>
          <w:color w:val="auto"/>
        </w:rPr>
      </w:pPr>
    </w:p>
    <w:p>
      <w:pPr>
        <w:ind w:left="660" w:right="40" w:hanging="544"/>
        <w:spacing w:after="0" w:line="238"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August 2020, the Company finalized a tax assessment agreement with Israeli tax authorities for the years 2015-2018. As a result of the tax assessment, the Company paid $296 for amounts previously not included in transfer pricing that impacted statutory revenue in Israel that is eliminated in consolidation. The Company had determined that payment of taxes was probable and recorded an accrual as of December 31,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w:t>
      </w:r>
    </w:p>
    <w:p>
      <w:pPr>
        <w:spacing w:after="0" w:line="234"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On February 13, 2020, Flywire Corporation acquired all of the outstanding shares of Simplee, for total consideration valued at $86.5 million, net of cash acquired. Simplee was a leading healthcare technology platform designed to optimize the digital payments and patient engagement experience in the healthcare industry.</w:t>
      </w:r>
    </w:p>
    <w:p>
      <w:pPr>
        <w:spacing w:after="0" w:line="203"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acquisition of Simplee was accounted for as a business combination in accordance with Accounting Standards Codification Topic 805, Business Combinations (ASC 805). Our management used its best estimates and assumptions to assign fair values to the 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unaudited pro forma condensed combined financial statement of operations was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We have elected not to present Management’s Adjustments and will only be presenting Transaction Accounting Adjustments in the unaudited pro forma condensed combined financial information. The adjustments presented in the unaudited pro forma condensed combined financial statement of operations have been identified and presented to provide relevant information necessary for an understanding of the combined company upon consummation of the business combination.</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statement of operations is based upon our historical consolidated statement of operations and statement of operations of Simplee after giving effect to the acquisition, and after applying the assumptions, reclassifications and adjustments described in the accompanying notes. The acquisition of Simplee has already been reflected in our historical audited consolidated balance sheet as of December 31, 2020. Therefore, no unaudited pro forma condensed combined balance sheet as of December 31, 2020 has been presented herein.</w:t>
      </w:r>
    </w:p>
    <w:p>
      <w:pPr>
        <w:spacing w:after="0" w:line="20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is presented as if the acquisition had occurred on January 1, 2020.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0" w:lineRule="exact"/>
        <w:rPr>
          <w:sz w:val="20"/>
          <w:szCs w:val="20"/>
          <w:color w:val="auto"/>
        </w:rPr>
      </w:pPr>
    </w:p>
    <w:p>
      <w:pPr>
        <w:ind w:left="880" w:right="240" w:hanging="224"/>
        <w:spacing w:after="0" w:line="246"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Flywire Corporation as of and for the year ended December 31, 2020 included elsewhere in this prospectus;</w:t>
      </w:r>
    </w:p>
    <w:p>
      <w:pPr>
        <w:spacing w:after="0" w:line="102" w:lineRule="exact"/>
        <w:rPr>
          <w:rFonts w:ascii="Arial" w:cs="Arial" w:eastAsia="Arial" w:hAnsi="Arial"/>
          <w:sz w:val="18"/>
          <w:szCs w:val="18"/>
          <w:color w:val="auto"/>
        </w:rPr>
      </w:pPr>
    </w:p>
    <w:p>
      <w:pPr>
        <w:ind w:left="880" w:right="1160" w:hanging="224"/>
        <w:spacing w:after="0" w:line="246"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Simplee as of and for the years ended December 31, 2019 and 2018 included elsewhere in this prospectus.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 of operations actually would have been had the acquisition been completed as of the dates indicated or that may be achieved in the future.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There were no intercompany transactions between Flywire and Simplee for the period presented in the unaudited pro forma condensed combined statement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198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Historical</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30"/>
              <w:spacing w:after="0" w:line="107" w:lineRule="exact"/>
              <w:rPr>
                <w:sz w:val="20"/>
                <w:szCs w:val="20"/>
                <w:color w:val="auto"/>
              </w:rPr>
            </w:pPr>
            <w:r>
              <w:rPr>
                <w:rFonts w:ascii="Arial" w:cs="Arial" w:eastAsia="Arial" w:hAnsi="Arial"/>
                <w:sz w:val="12"/>
                <w:szCs w:val="12"/>
                <w:b w:val="1"/>
                <w:bCs w:val="1"/>
                <w:color w:val="auto"/>
              </w:rPr>
              <w:t>Simplee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Period from</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January 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2020 to</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Transaction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February 13,</w:t>
            </w:r>
          </w:p>
        </w:tc>
        <w:tc>
          <w:tcPr>
            <w:tcW w:w="18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Reclassification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Accounting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49"/>
              <w:spacing w:after="0"/>
              <w:rPr>
                <w:sz w:val="20"/>
                <w:szCs w:val="20"/>
                <w:color w:val="auto"/>
              </w:rPr>
            </w:pPr>
            <w:r>
              <w:rPr>
                <w:rFonts w:ascii="Arial" w:cs="Arial" w:eastAsia="Arial" w:hAnsi="Arial"/>
                <w:sz w:val="13"/>
                <w:szCs w:val="13"/>
                <w:b w:val="1"/>
                <w:bCs w:val="1"/>
                <w:color w:val="auto"/>
              </w:rPr>
              <w:t>Flywire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0"/>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Arial" w:cs="Arial" w:eastAsia="Arial" w:hAnsi="Arial"/>
                <w:sz w:val="13"/>
                <w:szCs w:val="13"/>
                <w:b w:val="1"/>
                <w:bCs w:val="1"/>
                <w:color w:val="auto"/>
                <w:w w:val="96"/>
              </w:rPr>
              <w:t>Adjustments</w:t>
            </w:r>
          </w:p>
        </w:tc>
        <w:tc>
          <w:tcPr>
            <w:tcW w:w="4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w w:val="94"/>
              </w:rPr>
              <w:t>Notes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Adjustments</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Notes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vMerge w:val="continue"/>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131,783</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4,627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5" w:lineRule="exact"/>
              <w:rPr>
                <w:sz w:val="20"/>
                <w:szCs w:val="20"/>
                <w:color w:val="auto"/>
              </w:rPr>
            </w:pPr>
            <w:r>
              <w:rPr>
                <w:rFonts w:ascii="Arial" w:cs="Arial" w:eastAsia="Arial" w:hAnsi="Arial"/>
                <w:sz w:val="14"/>
                <w:szCs w:val="14"/>
                <w:color w:val="auto"/>
              </w:rPr>
              <w:t>(141)</w:t>
            </w:r>
          </w:p>
        </w:tc>
        <w:tc>
          <w:tcPr>
            <w:tcW w:w="6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(b)</w:t>
            </w:r>
          </w:p>
        </w:tc>
        <w:tc>
          <w:tcPr>
            <w:tcW w:w="3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136,269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Costs and operating expenses: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(2,462)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ind w:left="280"/>
              <w:spacing w:after="0"/>
              <w:rPr>
                <w:sz w:val="20"/>
                <w:szCs w:val="20"/>
                <w:color w:val="auto"/>
              </w:rPr>
            </w:pPr>
            <w:r>
              <w:rPr>
                <w:rFonts w:ascii="Arial" w:cs="Arial" w:eastAsia="Arial" w:hAnsi="Arial"/>
                <w:sz w:val="14"/>
                <w:szCs w:val="14"/>
                <w:color w:val="auto"/>
              </w:rPr>
              <w:t>Payment processing services costs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47,805</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2,103</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49,908</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 and development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24,501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1,247</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26,234</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287</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(888)</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32,612</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622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255</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33,578</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42,680</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3,342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23</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46,045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2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costs and operating expenses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147,598</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2,462</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853</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155,765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(15,815)</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(2,687)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(994)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54</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preferred stock</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warrant liability</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0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320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2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other expenses, net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(18,276)</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(2,750)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(21,966)</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(7,169)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(11,107)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(2,766)</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preferred stock to redemption</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value</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20"/>
                <w:szCs w:val="20"/>
                <w:color w:val="auto"/>
              </w:rPr>
            </w:pPr>
            <w:r>
              <w:rPr>
                <w:rFonts w:ascii="Arial" w:cs="Arial" w:eastAsia="Arial" w:hAnsi="Arial"/>
                <w:sz w:val="14"/>
                <w:szCs w:val="14"/>
                <w:color w:val="auto"/>
              </w:rPr>
              <w:t>Net loss attributable to common stockholders -</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3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rPr>
              <w:t>(11,121)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attributable to common</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stockholders - basic and diluted</w:t>
            </w:r>
          </w:p>
        </w:tc>
        <w:tc>
          <w:tcPr>
            <w:tcW w:w="3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140"/>
              <w:spacing w:after="0" w:line="157" w:lineRule="exact"/>
              <w:rPr>
                <w:sz w:val="20"/>
                <w:szCs w:val="20"/>
                <w:color w:val="auto"/>
              </w:rPr>
            </w:pPr>
            <w:r>
              <w:rPr>
                <w:rFonts w:ascii="Arial" w:cs="Arial" w:eastAsia="Arial" w:hAnsi="Arial"/>
                <w:sz w:val="14"/>
                <w:szCs w:val="14"/>
                <w:color w:val="auto"/>
              </w:rPr>
              <w:t>- basic and diluted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18,389,898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18,389,898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Basis of Presentation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unaudited pro forma condensed combined financial information has been derived from the historical consolidated financial statements of Flywire and Simplee. Certain of Simplee’s historical amounts have been reclassified to conform to Flywire’s financial statement presentation. The unaudited pro forma condensed combined statement of operations for year ended December 31, 2020 gives effect to the business combination if it occurred on January 1, 2020.</w:t>
      </w:r>
    </w:p>
    <w:p>
      <w:pPr>
        <w:spacing w:after="0" w:line="205"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The unaudited pro forma condensed combined statement of operations reflects pro forma adjustments that are described in these notes and are based on available information and certain assumptions that Flywire believes are reasonable, however, actual results may differ from those reflected in this statement. In Flywire’s opinion, all adjustments that are necessary to present fairly the pro forma information have been made. The unaudited pro forma condensed combined statement of operations does not purport to represent what the Company’s results of operations would have been if the transaction had actually occurred on January 1, 2020, nor are they indicative of Flywire’s future results of operations. The unaudited pro forma condensed combined statement of operations should be read in conjunction with the historical consolidated financial statements and related notes of Flywire and Simplee for the year ended December 31, 2020.</w:t>
      </w:r>
    </w:p>
    <w:p>
      <w:pPr>
        <w:spacing w:after="0" w:line="20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unaudited pro forma condensed combined statement of operations includes adjustments to conform Simplee’s presentation to Flywire’s presentation, which primarily consisted of reclassification of expenses on the face of the consolidated statement of operations. The unaudited pro forma condensed combined statement of operations does not assume any differences in accounting policies as we are not aware of any differences that would have a material impact on the unaudited pro forma condensed combined statement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Purchase Consideration and Purchase Price Allocation</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13, 2020, Flywire completed its acquisition of Simplee, a provider of healthcare payment and collections software. The acquisition of Simplee has been accounted for as a business combination.</w:t>
      </w:r>
    </w:p>
    <w:p>
      <w:pPr>
        <w:spacing w:after="0" w:line="197"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Flywire acquired all outstanding equity of Simplee for estimated total purchase consideration of $86.5 million, net of cash acquired, which consists of (in thousands):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$79,401</w:t>
            </w:r>
          </w:p>
        </w:tc>
      </w:tr>
      <w:tr>
        <w:trPr>
          <w:trHeight w:val="210"/>
        </w:trPr>
        <w:tc>
          <w:tcPr>
            <w:tcW w:w="734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29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3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86,501</w:t>
            </w:r>
          </w:p>
        </w:tc>
      </w:tr>
      <w:tr>
        <w:trPr>
          <w:trHeight w:val="20"/>
        </w:trPr>
        <w:tc>
          <w:tcPr>
            <w:tcW w:w="7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The fair value of contingent consideration of $7.1 million was determined based on the probability-weighted likelihood of achieving future targets.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8,555</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Indentifiable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88,691</w:t>
            </w:r>
          </w:p>
        </w:tc>
      </w:tr>
      <w:tr>
        <w:trPr>
          <w:trHeight w:val="203"/>
        </w:trPr>
        <w:tc>
          <w:tcPr>
            <w:tcW w:w="1012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(2,190)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 Forma Adjustments</w:t>
      </w:r>
    </w:p>
    <w:p>
      <w:pPr>
        <w:spacing w:after="0" w:line="126"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The following adjustments have been made to the accompanying unaudited pro forma condensed combined statement of operations for the year ended December 31, 2020:</w:t>
      </w:r>
    </w:p>
    <w:p>
      <w:pPr>
        <w:spacing w:after="0" w:line="102" w:lineRule="exact"/>
        <w:rPr>
          <w:sz w:val="20"/>
          <w:szCs w:val="20"/>
          <w:color w:val="auto"/>
        </w:rPr>
      </w:pPr>
    </w:p>
    <w:p>
      <w:pPr>
        <w:ind w:left="660" w:right="800" w:hanging="544"/>
        <w:spacing w:after="0" w:line="246"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following reclassifications and eliminations were made as a result of the business combination to conform to Flywire’s presentation: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reclassification of approximately $2.5 million from cost of revenue to payment processing services costs;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the reclassification of $0.1 million of hosting expenses from payment processing services costs to technology and development;</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allocation of implementation costs of approximately $0.2 million from payment processing services costs to technology and development;</w:t>
      </w:r>
    </w:p>
    <w:p>
      <w:pPr>
        <w:spacing w:after="0" w:line="102" w:lineRule="exact"/>
        <w:rPr>
          <w:rFonts w:ascii="Arial" w:cs="Arial" w:eastAsia="Arial" w:hAnsi="Arial"/>
          <w:sz w:val="18"/>
          <w:szCs w:val="18"/>
          <w:color w:val="auto"/>
        </w:rPr>
      </w:pPr>
    </w:p>
    <w:p>
      <w:pPr>
        <w:ind w:left="660" w:right="200" w:hanging="544"/>
        <w:spacing w:after="0" w:line="246"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 reduction in Simplee’s revenue of approximately $0.1 million as a result of the write down of acquired deferred revenue on the acquisition date.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amortization of intangible assets for the period from January 1, 2020 to February 13, 2020.</w:t>
      </w:r>
    </w:p>
    <w:p>
      <w:pPr>
        <w:spacing w:after="0" w:line="117" w:lineRule="exact"/>
        <w:rPr>
          <w:rFonts w:ascii="Arial" w:cs="Arial" w:eastAsia="Arial" w:hAnsi="Arial"/>
          <w:sz w:val="18"/>
          <w:szCs w:val="18"/>
          <w:color w:val="auto"/>
        </w:rPr>
      </w:pPr>
    </w:p>
    <w:p>
      <w:pPr>
        <w:jc w:val="both"/>
        <w:ind w:left="660" w:right="140" w:hanging="544"/>
        <w:spacing w:after="0" w:line="274" w:lineRule="auto"/>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Reflects aggregate incremental compensation expense for the period from January 1, 2020 to February 13, 2020 of approximately $0.4 million, comprised of $0.2 million for Simplee employee retention costs and $0.2 million for service-based earn-out payments.</w:t>
      </w:r>
    </w:p>
    <w:p>
      <w:pPr>
        <w:spacing w:after="0" w:line="80" w:lineRule="exact"/>
        <w:rPr>
          <w:rFonts w:ascii="Arial" w:cs="Arial" w:eastAsia="Arial" w:hAnsi="Arial"/>
          <w:sz w:val="17"/>
          <w:szCs w:val="17"/>
          <w:color w:val="auto"/>
        </w:rPr>
      </w:pPr>
    </w:p>
    <w:p>
      <w:pPr>
        <w:ind w:left="660" w:hanging="544"/>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elimination of Simplee’s interest expense related to debt that was repaid in connection with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Not Included in the Unaudited Pro Forma Condensed Combined Financial Statement</w:t>
      </w:r>
    </w:p>
    <w:p>
      <w:pPr>
        <w:spacing w:after="0" w:line="12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unaudited pro forma condensed combined statement of operations does not include an adjustment to income taxes, because the tax benefit resulting from the business combination is already reflected in Flywire’s historical financial statements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220345</wp:posOffset>
            </wp:positionV>
            <wp:extent cx="5915025" cy="79463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15025" cy="79463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10,440,000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956310</wp:posOffset>
            </wp:positionV>
            <wp:extent cx="1097280" cy="3771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1668780</wp:posOffset>
            </wp:positionV>
            <wp:extent cx="1474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60"/>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BofA Securities</w:t>
      </w:r>
    </w:p>
    <w:p>
      <w:pPr>
        <w:spacing w:after="0" w:line="91" w:lineRule="exact"/>
        <w:rPr>
          <w:sz w:val="20"/>
          <w:szCs w:val="20"/>
          <w:color w:val="auto"/>
        </w:rPr>
      </w:pPr>
    </w:p>
    <w:p>
      <w:pPr>
        <w:sectPr>
          <w:pgSz w:w="11900" w:h="16838" w:orient="portrait"/>
          <w:cols w:equalWidth="0" w:num="4">
            <w:col w:w="4400" w:space="720"/>
            <w:col w:w="1400" w:space="660"/>
            <w:col w:w="1100" w:space="720"/>
            <w:col w:w="2060"/>
          </w:cols>
          <w:pgMar w:left="320" w:top="459" w:right="519" w:bottom="1440" w:gutter="0" w:footer="0" w:header="0"/>
          <w:type w:val="continuous"/>
        </w:sectPr>
      </w:pPr>
    </w:p>
    <w:p>
      <w:pPr>
        <w:ind w:left="120"/>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RBC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William Blair</w:t>
      </w:r>
    </w:p>
    <w:p>
      <w:pPr>
        <w:spacing w:after="0" w:line="65" w:lineRule="exact"/>
        <w:rPr>
          <w:sz w:val="20"/>
          <w:szCs w:val="20"/>
          <w:color w:val="auto"/>
        </w:rPr>
      </w:pPr>
    </w:p>
    <w:p>
      <w:pPr>
        <w:sectPr>
          <w:pgSz w:w="11900" w:h="16838" w:orient="portrait"/>
          <w:cols w:equalWidth="0" w:num="3">
            <w:col w:w="4400" w:space="720"/>
            <w:col w:w="4020" w:space="720"/>
            <w:col w:w="1200"/>
          </w:cols>
          <w:pgMar w:left="320" w:top="459" w:right="519" w:bottom="1440" w:gutter="0" w:footer="0" w:header="0"/>
          <w:type w:val="continuous"/>
        </w:sectPr>
      </w:pPr>
    </w:p>
    <w:p>
      <w:pPr>
        <w:ind w:left="2200"/>
        <w:spacing w:after="0"/>
        <w:rPr>
          <w:sz w:val="20"/>
          <w:szCs w:val="20"/>
          <w:color w:val="auto"/>
        </w:rPr>
      </w:pPr>
      <w:r>
        <w:rPr>
          <w:rFonts w:ascii="Arial" w:cs="Arial" w:eastAsia="Arial" w:hAnsi="Arial"/>
          <w:sz w:val="19"/>
          <w:szCs w:val="19"/>
          <w:b w:val="1"/>
          <w:bCs w:val="1"/>
          <w:color w:val="auto"/>
        </w:rPr>
        <w:t>Guggenheim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Nomura</w:t>
      </w:r>
    </w:p>
    <w:p>
      <w:pPr>
        <w:spacing w:after="0" w:line="63" w:lineRule="exact"/>
        <w:rPr>
          <w:sz w:val="20"/>
          <w:szCs w:val="20"/>
          <w:color w:val="auto"/>
        </w:rPr>
      </w:pPr>
    </w:p>
    <w:p>
      <w:pPr>
        <w:sectPr>
          <w:pgSz w:w="11900" w:h="16838" w:orient="portrait"/>
          <w:cols w:equalWidth="0" w:num="2">
            <w:col w:w="7540" w:space="720"/>
            <w:col w:w="2800"/>
          </w:cols>
          <w:pgMar w:left="320" w:top="459" w:right="51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AmeriVet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Ramirez &amp; Co., Inc.</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6"/>
          <w:szCs w:val="16"/>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554990</wp:posOffset>
            </wp:positionV>
            <wp:extent cx="14744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Telsey Advisory Group</w:t>
      </w:r>
    </w:p>
    <w:p>
      <w:pPr>
        <w:spacing w:after="0" w:line="200" w:lineRule="exact"/>
        <w:rPr>
          <w:sz w:val="20"/>
          <w:szCs w:val="20"/>
          <w:color w:val="auto"/>
        </w:rPr>
      </w:pPr>
    </w:p>
    <w:p>
      <w:pPr>
        <w:sectPr>
          <w:pgSz w:w="11900" w:h="16838" w:orient="portrait"/>
          <w:cols w:equalWidth="0" w:num="4">
            <w:col w:w="2620" w:space="720"/>
            <w:col w:w="2100" w:space="720"/>
            <w:col w:w="2420" w:space="720"/>
            <w:col w:w="1760"/>
          </w:cols>
          <w:pgMar w:left="320" w:top="45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Prospectus dated May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330835</wp:posOffset>
            </wp:positionV>
            <wp:extent cx="6995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390525</wp:posOffset>
            </wp:positionV>
            <wp:extent cx="699516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060"/>
      </w:cols>
      <w:pgMar w:left="320" w:top="45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BFE8E0"/>
    <w:multiLevelType w:val="hybridMultilevel"/>
    <w:lvl w:ilvl="0">
      <w:lvlJc w:val="left"/>
      <w:lvlText w:val="(%1)"/>
      <w:numFmt w:val="decimal"/>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1)"/>
      <w:numFmt w:val="decimal"/>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
      <w:numFmt w:val="bullet"/>
      <w:start w:val="1"/>
    </w:lvl>
  </w:abstractNum>
  <w:abstractNum w:abstractNumId="12">
    <w:nsid w:val="7C58FD05"/>
    <w:multiLevelType w:val="hybridMultilevel"/>
    <w:lvl w:ilvl="0">
      <w:lvlJc w:val="left"/>
      <w:lvlText w:val="(%1)"/>
      <w:numFmt w:val="decimal"/>
      <w:start w:val="1"/>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1)"/>
      <w:numFmt w:val="decimal"/>
      <w:start w:val="1"/>
    </w:lvl>
  </w:abstractNum>
  <w:abstractNum w:abstractNumId="17">
    <w:nsid w:val="3C5991AA"/>
    <w:multiLevelType w:val="hybridMultilevel"/>
    <w:lvl w:ilvl="0">
      <w:lvlJc w:val="left"/>
      <w:lvlText w:val="(%1)"/>
      <w:numFmt w:val="decimal"/>
      <w:start w:val="2"/>
    </w:lvl>
  </w:abstractNum>
  <w:abstractNum w:abstractNumId="18">
    <w:nsid w:val="4BD8591A"/>
    <w:multiLevelType w:val="hybridMultilevel"/>
    <w:lvl w:ilvl="0">
      <w:lvlJc w:val="left"/>
      <w:lvlText w:val="(%1)"/>
      <w:numFmt w:val="decimal"/>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
      <w:numFmt w:val="bullet"/>
      <w:start w:val="1"/>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
      <w:numFmt w:val="bullet"/>
      <w:start w:val="1"/>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
      <w:numFmt w:val="bullet"/>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
      <w:numFmt w:val="bullet"/>
      <w:start w:val="1"/>
    </w:lvl>
  </w:abstractNum>
  <w:abstractNum w:abstractNumId="33">
    <w:nsid w:val="5B25ACE2"/>
    <w:multiLevelType w:val="hybridMultilevel"/>
    <w:lvl w:ilvl="0">
      <w:lvlJc w:val="left"/>
      <w:lvlText w:val="•"/>
      <w:numFmt w:val="bullet"/>
      <w:start w:val="1"/>
    </w:lvl>
  </w:abstractNum>
  <w:abstractNum w:abstractNumId="34">
    <w:nsid w:val="175DFCF0"/>
    <w:multiLevelType w:val="hybridMultilevel"/>
    <w:lvl w:ilvl="0">
      <w:lvlJc w:val="left"/>
      <w:lvlText w:val="•"/>
      <w:numFmt w:val="bullet"/>
      <w:start w:val="1"/>
    </w:lvl>
  </w:abstractNum>
  <w:abstractNum w:abstractNumId="35">
    <w:nsid w:val="4F97E3E4"/>
    <w:multiLevelType w:val="hybridMultilevel"/>
    <w:lvl w:ilvl="0">
      <w:lvlJc w:val="left"/>
      <w:lvlText w:val="•"/>
      <w:numFmt w:val="bullet"/>
      <w:start w:val="1"/>
    </w:lvl>
  </w:abstractNum>
  <w:abstractNum w:abstractNumId="36">
    <w:nsid w:val="53B0A9E"/>
    <w:multiLevelType w:val="hybridMultilevel"/>
    <w:lvl w:ilvl="0">
      <w:lvlJc w:val="left"/>
      <w:lvlText w:val="•"/>
      <w:numFmt w:val="bullet"/>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
      <w:numFmt w:val="bullet"/>
      <w:start w:val="1"/>
    </w:lvl>
  </w:abstractNum>
  <w:abstractNum w:abstractNumId="44">
    <w:nsid w:val="5046B5A9"/>
    <w:multiLevelType w:val="hybridMultilevel"/>
    <w:lvl w:ilvl="0">
      <w:lvlJc w:val="left"/>
      <w:lvlText w:val="•"/>
      <w:numFmt w:val="bullet"/>
      <w:start w:val="1"/>
    </w:lvl>
  </w:abstractNum>
  <w:abstractNum w:abstractNumId="45">
    <w:nsid w:val="5D888A08"/>
    <w:multiLevelType w:val="hybridMultilevel"/>
    <w:lvl w:ilvl="0">
      <w:lvlJc w:val="left"/>
      <w:lvlText w:val="•"/>
      <w:numFmt w:val="bullet"/>
      <w:start w:val="1"/>
    </w:lvl>
  </w:abstractNum>
  <w:abstractNum w:abstractNumId="46">
    <w:nsid w:val="2A082C70"/>
    <w:multiLevelType w:val="hybridMultilevel"/>
    <w:lvl w:ilvl="0">
      <w:lvlJc w:val="left"/>
      <w:lvlText w:val="•"/>
      <w:numFmt w:val="bullet"/>
      <w:start w:val="1"/>
    </w:lvl>
  </w:abstractNum>
  <w:abstractNum w:abstractNumId="47">
    <w:nsid w:val="5EC6AFD4"/>
    <w:multiLevelType w:val="hybridMultilevel"/>
    <w:lvl w:ilvl="0">
      <w:lvlJc w:val="left"/>
      <w:lvlText w:val="(%1)"/>
      <w:numFmt w:val="lowerRoman"/>
      <w:start w:val="2"/>
    </w:lvl>
  </w:abstractNum>
  <w:abstractNum w:abstractNumId="48">
    <w:nsid w:val="19E21BB2"/>
    <w:multiLevelType w:val="hybridMultilevel"/>
    <w:lvl w:ilvl="0">
      <w:lvlJc w:val="left"/>
      <w:lvlText w:val="•"/>
      <w:numFmt w:val="bullet"/>
      <w:start w:val="1"/>
    </w:lvl>
  </w:abstractNum>
  <w:abstractNum w:abstractNumId="49">
    <w:nsid w:val="75E0858A"/>
    <w:multiLevelType w:val="hybridMultilevel"/>
    <w:lvl w:ilvl="0">
      <w:lvlJc w:val="left"/>
      <w:lvlText w:val="(%1)"/>
      <w:numFmt w:val="decimal"/>
      <w:start w:val="1"/>
    </w:lvl>
  </w:abstractNum>
  <w:abstractNum w:abstractNumId="50">
    <w:nsid w:val="57A61A29"/>
    <w:multiLevelType w:val="hybridMultilevel"/>
    <w:lvl w:ilvl="0">
      <w:lvlJc w:val="left"/>
      <w:lvlText w:val="(%1)"/>
      <w:numFmt w:val="decimal"/>
      <w:start w:val="2"/>
    </w:lvl>
  </w:abstractNum>
  <w:abstractNum w:abstractNumId="51">
    <w:nsid w:val="5399C654"/>
    <w:multiLevelType w:val="hybridMultilevel"/>
    <w:lvl w:ilvl="0">
      <w:lvlJc w:val="left"/>
      <w:lvlText w:val="•"/>
      <w:numFmt w:val="bullet"/>
      <w:start w:val="1"/>
    </w:lvl>
  </w:abstractNum>
  <w:abstractNum w:abstractNumId="52">
    <w:nsid w:val="20EE1348"/>
    <w:multiLevelType w:val="hybridMultilevel"/>
    <w:lvl w:ilvl="0">
      <w:lvlJc w:val="left"/>
      <w:lvlText w:val="•"/>
      <w:numFmt w:val="bullet"/>
      <w:start w:val="1"/>
    </w:lvl>
  </w:abstractNum>
  <w:abstractNum w:abstractNumId="53">
    <w:nsid w:val="4427069A"/>
    <w:multiLevelType w:val="hybridMultilevel"/>
    <w:lvl w:ilvl="0">
      <w:lvlJc w:val="left"/>
      <w:lvlText w:val="•"/>
      <w:numFmt w:val="bullet"/>
      <w:start w:val="1"/>
    </w:lvl>
    <w:lvl w:ilvl="1">
      <w:lvlJc w:val="left"/>
      <w:lvlText w:val="(%2)"/>
      <w:numFmt w:val="lowerRoman"/>
      <w:start w:val="2"/>
    </w:lvl>
  </w:abstractNum>
  <w:abstractNum w:abstractNumId="54">
    <w:nsid w:val="B37E80A"/>
    <w:multiLevelType w:val="hybridMultilevel"/>
    <w:lvl w:ilvl="0">
      <w:lvlJc w:val="left"/>
      <w:lvlText w:val="•"/>
      <w:numFmt w:val="bullet"/>
      <w:start w:val="1"/>
    </w:lvl>
    <w:lvl w:ilvl="1">
      <w:lvlJc w:val="left"/>
      <w:lvlText w:val="(%2)"/>
      <w:numFmt w:val="lowerRoman"/>
      <w:start w:val="5"/>
    </w:lvl>
  </w:abstractNum>
  <w:abstractNum w:abstractNumId="55">
    <w:nsid w:val="2157F6BC"/>
    <w:multiLevelType w:val="hybridMultilevel"/>
    <w:lvl w:ilvl="0">
      <w:lvlJc w:val="left"/>
      <w:lvlText w:val="(%1)"/>
      <w:numFmt w:val="decimal"/>
      <w:start w:val="1"/>
    </w:lvl>
  </w:abstractNum>
  <w:abstractNum w:abstractNumId="56">
    <w:nsid w:val="704E1DD5"/>
    <w:multiLevelType w:val="hybridMultilevel"/>
    <w:lvl w:ilvl="0">
      <w:lvlJc w:val="left"/>
      <w:lvlText w:val="(%1)"/>
      <w:numFmt w:val="lowerLetter"/>
      <w:start w:val="5"/>
    </w:lvl>
  </w:abstractNum>
  <w:abstractNum w:abstractNumId="57">
    <w:nsid w:val="57D2F10E"/>
    <w:multiLevelType w:val="hybridMultilevel"/>
    <w:lvl w:ilvl="0">
      <w:lvlJc w:val="left"/>
      <w:lvlText w:val="(%1)"/>
      <w:numFmt w:val="decimal"/>
      <w:start w:val="1"/>
    </w:lvl>
  </w:abstractNum>
  <w:abstractNum w:abstractNumId="58">
    <w:nsid w:val="BFFAE18"/>
    <w:multiLevelType w:val="hybridMultilevel"/>
    <w:lvl w:ilvl="0">
      <w:lvlJc w:val="left"/>
      <w:lvlText w:val="•"/>
      <w:numFmt w:val="bullet"/>
      <w:start w:val="1"/>
    </w:lvl>
  </w:abstractNum>
  <w:abstractNum w:abstractNumId="59">
    <w:nsid w:val="E3E47A8"/>
    <w:multiLevelType w:val="hybridMultilevel"/>
    <w:lvl w:ilvl="0">
      <w:lvlJc w:val="left"/>
      <w:lvlText w:val="•"/>
      <w:numFmt w:val="bullet"/>
      <w:start w:val="1"/>
    </w:lvl>
  </w:abstractNum>
  <w:abstractNum w:abstractNumId="60">
    <w:nsid w:val="2E48F044"/>
    <w:multiLevelType w:val="hybridMultilevel"/>
    <w:lvl w:ilvl="0">
      <w:lvlJc w:val="left"/>
      <w:lvlText w:val="•"/>
      <w:numFmt w:val="bullet"/>
      <w:start w:val="1"/>
    </w:lvl>
  </w:abstractNum>
  <w:abstractNum w:abstractNumId="61">
    <w:nsid w:val="49D0FEAC"/>
    <w:multiLevelType w:val="hybridMultilevel"/>
    <w:lvl w:ilvl="0">
      <w:lvlJc w:val="left"/>
      <w:lvlText w:val="•"/>
      <w:numFmt w:val="bullet"/>
      <w:start w:val="1"/>
    </w:lvl>
  </w:abstractNum>
  <w:abstractNum w:abstractNumId="62">
    <w:nsid w:val="4BEE5A5B"/>
    <w:multiLevelType w:val="hybridMultilevel"/>
    <w:lvl w:ilvl="0">
      <w:lvlJc w:val="left"/>
      <w:lvlText w:val="•"/>
      <w:numFmt w:val="bullet"/>
      <w:start w:val="1"/>
    </w:lvl>
  </w:abstractNum>
  <w:abstractNum w:abstractNumId="63">
    <w:nsid w:val="5551B9F3"/>
    <w:multiLevelType w:val="hybridMultilevel"/>
    <w:lvl w:ilvl="0">
      <w:lvlJc w:val="left"/>
      <w:lvlText w:val="•"/>
      <w:numFmt w:val="bullet"/>
      <w:start w:val="1"/>
    </w:lvl>
  </w:abstractNum>
  <w:abstractNum w:abstractNumId="64">
    <w:nsid w:val="24F6AB8E"/>
    <w:multiLevelType w:val="hybridMultilevel"/>
    <w:lvl w:ilvl="0">
      <w:lvlJc w:val="left"/>
      <w:lvlText w:val="•"/>
      <w:numFmt w:val="bullet"/>
      <w:start w:val="1"/>
    </w:lvl>
  </w:abstractNum>
  <w:abstractNum w:abstractNumId="65">
    <w:nsid w:val="634C574C"/>
    <w:multiLevelType w:val="hybridMultilevel"/>
    <w:lvl w:ilvl="0">
      <w:lvlJc w:val="left"/>
      <w:lvlText w:val="•"/>
      <w:numFmt w:val="bullet"/>
      <w:start w:val="1"/>
    </w:lvl>
  </w:abstractNum>
  <w:abstractNum w:abstractNumId="66">
    <w:nsid w:val="24E99DD7"/>
    <w:multiLevelType w:val="hybridMultilevel"/>
    <w:lvl w:ilvl="0">
      <w:lvlJc w:val="left"/>
      <w:lvlText w:val="•"/>
      <w:numFmt w:val="bullet"/>
      <w:start w:val="1"/>
    </w:lvl>
  </w:abstractNum>
  <w:abstractNum w:abstractNumId="67">
    <w:nsid w:val="2A31B62D"/>
    <w:multiLevelType w:val="hybridMultilevel"/>
    <w:lvl w:ilvl="0">
      <w:lvlJc w:val="left"/>
      <w:lvlText w:val="(%1)"/>
      <w:numFmt w:val="decimal"/>
      <w:start w:val="1"/>
    </w:lvl>
  </w:abstractNum>
  <w:abstractNum w:abstractNumId="68">
    <w:nsid w:val="1849C29B"/>
    <w:multiLevelType w:val="hybridMultilevel"/>
    <w:lvl w:ilvl="0">
      <w:lvlJc w:val="left"/>
      <w:lvlText w:val="•"/>
      <w:numFmt w:val="bullet"/>
      <w:start w:val="1"/>
    </w:lvl>
  </w:abstractNum>
  <w:abstractNum w:abstractNumId="69">
    <w:nsid w:val="7DFF9D09"/>
    <w:multiLevelType w:val="hybridMultilevel"/>
    <w:lvl w:ilvl="0">
      <w:lvlJc w:val="left"/>
      <w:lvlText w:val="•"/>
      <w:numFmt w:val="bullet"/>
      <w:start w:val="1"/>
    </w:lvl>
  </w:abstractNum>
  <w:abstractNum w:abstractNumId="70">
    <w:nsid w:val="754342"/>
    <w:multiLevelType w:val="hybridMultilevel"/>
    <w:lvl w:ilvl="0">
      <w:lvlJc w:val="left"/>
      <w:lvlText w:val="•"/>
      <w:numFmt w:val="bullet"/>
      <w:start w:val="1"/>
    </w:lvl>
  </w:abstractNum>
  <w:abstractNum w:abstractNumId="71">
    <w:nsid w:val="69E7F3E5"/>
    <w:multiLevelType w:val="hybridMultilevel"/>
    <w:lvl w:ilvl="0">
      <w:lvlJc w:val="left"/>
      <w:lvlText w:val="•"/>
      <w:numFmt w:val="bullet"/>
      <w:start w:val="1"/>
    </w:lvl>
  </w:abstractNum>
  <w:abstractNum w:abstractNumId="72">
    <w:nsid w:val="2A6DE806"/>
    <w:multiLevelType w:val="hybridMultilevel"/>
    <w:lvl w:ilvl="0">
      <w:lvlJc w:val="left"/>
      <w:lvlText w:val="(%1)"/>
      <w:numFmt w:val="decimal"/>
      <w:start w:val="2"/>
    </w:lvl>
  </w:abstractNum>
  <w:abstractNum w:abstractNumId="73">
    <w:nsid w:val="1816F8C4"/>
    <w:multiLevelType w:val="hybridMultilevel"/>
    <w:lvl w:ilvl="0">
      <w:lvlJc w:val="left"/>
      <w:lvlText w:val="(%1)"/>
      <w:numFmt w:val="decimal"/>
    </w:lvl>
    <w:lvl w:ilvl="1">
      <w:lvlJc w:val="left"/>
      <w:lvlText w:val="•"/>
      <w:numFmt w:val="bullet"/>
      <w:start w:val="1"/>
    </w:lvl>
  </w:abstractNum>
  <w:abstractNum w:abstractNumId="74">
    <w:nsid w:val="37DF2233"/>
    <w:multiLevelType w:val="hybridMultilevel"/>
    <w:lvl w:ilvl="0">
      <w:lvlJc w:val="left"/>
      <w:lvlText w:val="•"/>
      <w:numFmt w:val="bullet"/>
      <w:start w:val="1"/>
    </w:lvl>
  </w:abstractNum>
  <w:abstractNum w:abstractNumId="75">
    <w:nsid w:val="7AB49DAF"/>
    <w:multiLevelType w:val="hybridMultilevel"/>
    <w:lvl w:ilvl="0">
      <w:lvlJc w:val="left"/>
      <w:lvlText w:val="•"/>
      <w:numFmt w:val="bullet"/>
      <w:start w:val="1"/>
    </w:lvl>
  </w:abstractNum>
  <w:abstractNum w:abstractNumId="76">
    <w:nsid w:val="759F82CD"/>
    <w:multiLevelType w:val="hybridMultilevel"/>
    <w:lvl w:ilvl="0">
      <w:lvlJc w:val="left"/>
      <w:lvlText w:val="•"/>
      <w:numFmt w:val="bullet"/>
      <w:start w:val="1"/>
    </w:lvl>
  </w:abstractNum>
  <w:abstractNum w:abstractNumId="77">
    <w:nsid w:val="61E74EA3"/>
    <w:multiLevelType w:val="hybridMultilevel"/>
    <w:lvl w:ilvl="0">
      <w:lvlJc w:val="left"/>
      <w:lvlText w:val="•"/>
      <w:numFmt w:val="bullet"/>
      <w:start w:val="1"/>
    </w:lvl>
  </w:abstractNum>
  <w:abstractNum w:abstractNumId="78">
    <w:nsid w:val="597B4D84"/>
    <w:multiLevelType w:val="hybridMultilevel"/>
    <w:lvl w:ilvl="0">
      <w:lvlJc w:val="left"/>
      <w:lvlText w:val="•"/>
      <w:numFmt w:val="bullet"/>
      <w:start w:val="1"/>
    </w:lvl>
  </w:abstractNum>
  <w:abstractNum w:abstractNumId="79">
    <w:nsid w:val="F819E7F"/>
    <w:multiLevelType w:val="hybridMultilevel"/>
    <w:lvl w:ilvl="0">
      <w:lvlJc w:val="left"/>
      <w:lvlText w:val="•"/>
      <w:numFmt w:val="bullet"/>
      <w:start w:val="1"/>
    </w:lvl>
  </w:abstractNum>
  <w:abstractNum w:abstractNumId="80">
    <w:nsid w:val="57C7D42D"/>
    <w:multiLevelType w:val="hybridMultilevel"/>
    <w:lvl w:ilvl="0">
      <w:lvlJc w:val="left"/>
      <w:lvlText w:val="(%1)"/>
      <w:numFmt w:val="lowerRoman"/>
      <w:start w:val="1"/>
    </w:lvl>
  </w:abstractNum>
  <w:abstractNum w:abstractNumId="81">
    <w:nsid w:val="312167AD"/>
    <w:multiLevelType w:val="hybridMultilevel"/>
    <w:lvl w:ilvl="0">
      <w:lvlJc w:val="left"/>
      <w:lvlText w:val="(%1)"/>
      <w:numFmt w:val="decimal"/>
      <w:start w:val="1"/>
    </w:lvl>
  </w:abstractNum>
  <w:abstractNum w:abstractNumId="82">
    <w:nsid w:val="631B64D4"/>
    <w:multiLevelType w:val="hybridMultilevel"/>
    <w:lvl w:ilvl="0">
      <w:lvlJc w:val="left"/>
      <w:lvlText w:val="•"/>
      <w:numFmt w:val="bullet"/>
      <w:start w:val="1"/>
    </w:lvl>
  </w:abstractNum>
  <w:abstractNum w:abstractNumId="83">
    <w:nsid w:val="78B5E776"/>
    <w:multiLevelType w:val="hybridMultilevel"/>
    <w:lvl w:ilvl="0">
      <w:lvlJc w:val="left"/>
      <w:lvlText w:val="(%1)"/>
      <w:numFmt w:val="decimal"/>
      <w:start w:val="1"/>
    </w:lvl>
  </w:abstractNum>
  <w:abstractNum w:abstractNumId="84">
    <w:nsid w:val="75486E47"/>
    <w:multiLevelType w:val="hybridMultilevel"/>
    <w:lvl w:ilvl="0">
      <w:lvlJc w:val="left"/>
      <w:lvlText w:val="•"/>
      <w:numFmt w:val="bullet"/>
      <w:start w:val="1"/>
    </w:lvl>
  </w:abstractNum>
  <w:abstractNum w:abstractNumId="85">
    <w:nsid w:val="6E534CDE"/>
    <w:multiLevelType w:val="hybridMultilevel"/>
    <w:lvl w:ilvl="0">
      <w:lvlJc w:val="left"/>
      <w:lvlText w:val="(%1)"/>
      <w:numFmt w:val="decimal"/>
      <w:start w:val="1"/>
    </w:lvl>
  </w:abstractNum>
  <w:abstractNum w:abstractNumId="86">
    <w:nsid w:val="1A0DDE32"/>
    <w:multiLevelType w:val="hybridMultilevel"/>
    <w:lvl w:ilvl="0">
      <w:lvlJc w:val="left"/>
      <w:lvlText w:val="(%1)"/>
      <w:numFmt w:val="lowerRoman"/>
      <w:start w:val="3"/>
    </w:lvl>
  </w:abstractNum>
  <w:abstractNum w:abstractNumId="87">
    <w:nsid w:val="65968C1C"/>
    <w:multiLevelType w:val="hybridMultilevel"/>
    <w:lvl w:ilvl="0">
      <w:lvlJc w:val="left"/>
      <w:lvlText w:val="(%1)"/>
      <w:numFmt w:val="lowerRoman"/>
      <w:start w:val="3"/>
    </w:lvl>
  </w:abstractNum>
  <w:abstractNum w:abstractNumId="88">
    <w:nsid w:val="46263DEC"/>
    <w:multiLevelType w:val="hybridMultilevel"/>
    <w:lvl w:ilvl="0">
      <w:lvlJc w:val="left"/>
      <w:lvlText w:val="(%1)"/>
      <w:numFmt w:val="lowerRoman"/>
      <w:start w:val="5"/>
    </w:lvl>
  </w:abstractNum>
  <w:abstractNum w:abstractNumId="89">
    <w:nsid w:val="260D8C4A"/>
    <w:multiLevelType w:val="hybridMultilevel"/>
    <w:lvl w:ilvl="0">
      <w:lvlJc w:val="left"/>
      <w:lvlText w:val="(%1)"/>
      <w:numFmt w:val="lowerRoman"/>
      <w:start w:val="3"/>
    </w:lvl>
  </w:abstractNum>
  <w:abstractNum w:abstractNumId="90">
    <w:nsid w:val="73D4D3C4"/>
    <w:multiLevelType w:val="hybridMultilevel"/>
    <w:lvl w:ilvl="0">
      <w:lvlJc w:val="left"/>
      <w:lvlText w:val="(%1)"/>
      <w:numFmt w:val="lowerRoman"/>
      <w:start w:val="3"/>
    </w:lvl>
  </w:abstractNum>
  <w:abstractNum w:abstractNumId="91">
    <w:nsid w:val="746F2E30"/>
    <w:multiLevelType w:val="hybridMultilevel"/>
    <w:lvl w:ilvl="0">
      <w:lvlJc w:val="left"/>
      <w:lvlText w:val="(%1)"/>
      <w:numFmt w:val="decimal"/>
      <w:start w:val="1"/>
    </w:lvl>
  </w:abstractNum>
  <w:abstractNum w:abstractNumId="92">
    <w:nsid w:val="6FDE8AF6"/>
    <w:multiLevelType w:val="hybridMultilevel"/>
    <w:lvl w:ilvl="0">
      <w:lvlJc w:val="left"/>
      <w:lvlText w:val="(%1)"/>
      <w:numFmt w:val="decimal"/>
      <w:start w:val="12"/>
    </w:lvl>
  </w:abstractNum>
  <w:abstractNum w:abstractNumId="93">
    <w:nsid w:val="3FC32E20"/>
    <w:multiLevelType w:val="hybridMultilevel"/>
    <w:lvl w:ilvl="0">
      <w:lvlJc w:val="left"/>
      <w:lvlText w:val="•"/>
      <w:numFmt w:val="bullet"/>
      <w:start w:val="1"/>
    </w:lvl>
  </w:abstractNum>
  <w:abstractNum w:abstractNumId="94">
    <w:nsid w:val="49C0E823"/>
    <w:multiLevelType w:val="hybridMultilevel"/>
    <w:lvl w:ilvl="0">
      <w:lvlJc w:val="left"/>
      <w:lvlText w:val="•"/>
      <w:numFmt w:val="bullet"/>
      <w:start w:val="1"/>
    </w:lvl>
  </w:abstractNum>
  <w:abstractNum w:abstractNumId="95">
    <w:nsid w:val="14D53685"/>
    <w:multiLevelType w:val="hybridMultilevel"/>
    <w:lvl w:ilvl="0">
      <w:lvlJc w:val="left"/>
      <w:lvlText w:val="•"/>
      <w:numFmt w:val="bullet"/>
      <w:start w:val="1"/>
    </w:lvl>
  </w:abstractNum>
  <w:abstractNum w:abstractNumId="96">
    <w:nsid w:val="230F856C"/>
    <w:multiLevelType w:val="hybridMultilevel"/>
    <w:lvl w:ilvl="0">
      <w:lvlJc w:val="left"/>
      <w:lvlText w:val="(%1)"/>
      <w:numFmt w:val="lowerRoman"/>
      <w:start w:val="3"/>
    </w:lvl>
  </w:abstractNum>
  <w:abstractNum w:abstractNumId="97">
    <w:nsid w:val="6EAA85FB"/>
    <w:multiLevelType w:val="hybridMultilevel"/>
    <w:lvl w:ilvl="0">
      <w:lvlJc w:val="left"/>
      <w:lvlText w:val="•"/>
      <w:numFmt w:val="bullet"/>
      <w:start w:val="1"/>
    </w:lvl>
  </w:abstractNum>
  <w:abstractNum w:abstractNumId="98">
    <w:nsid w:val="3F06ECB2"/>
    <w:multiLevelType w:val="hybridMultilevel"/>
    <w:lvl w:ilvl="0">
      <w:lvlJc w:val="left"/>
      <w:lvlText w:val="•"/>
      <w:numFmt w:val="bullet"/>
      <w:start w:val="1"/>
    </w:lvl>
  </w:abstractNum>
  <w:abstractNum w:abstractNumId="99">
    <w:nsid w:val="3B594807"/>
    <w:multiLevelType w:val="hybridMultilevel"/>
    <w:lvl w:ilvl="0">
      <w:lvlJc w:val="left"/>
      <w:lvlText w:val="•"/>
      <w:numFmt w:val="bullet"/>
      <w:start w:val="1"/>
    </w:lvl>
  </w:abstractNum>
  <w:abstractNum w:abstractNumId="100">
    <w:nsid w:val="6CAA2304"/>
    <w:multiLevelType w:val="hybridMultilevel"/>
    <w:lvl w:ilvl="0">
      <w:lvlJc w:val="left"/>
      <w:lvlText w:val="•"/>
      <w:numFmt w:val="bullet"/>
      <w:start w:val="1"/>
    </w:lvl>
  </w:abstractNum>
  <w:abstractNum w:abstractNumId="101">
    <w:nsid w:val="3F7C2FF4"/>
    <w:multiLevelType w:val="hybridMultilevel"/>
    <w:lvl w:ilvl="0">
      <w:lvlJc w:val="left"/>
      <w:lvlText w:val="•"/>
      <w:numFmt w:val="bullet"/>
      <w:start w:val="1"/>
    </w:lvl>
  </w:abstractNum>
  <w:abstractNum w:abstractNumId="102">
    <w:nsid w:val="25413BEC"/>
    <w:multiLevelType w:val="hybridMultilevel"/>
    <w:lvl w:ilvl="0">
      <w:lvlJc w:val="left"/>
      <w:lvlText w:val="•"/>
      <w:numFmt w:val="bullet"/>
      <w:start w:val="1"/>
    </w:lvl>
  </w:abstractNum>
  <w:abstractNum w:abstractNumId="103">
    <w:nsid w:val="17180B0B"/>
    <w:multiLevelType w:val="hybridMultilevel"/>
    <w:lvl w:ilvl="0">
      <w:lvlJc w:val="left"/>
      <w:lvlText w:val="•"/>
      <w:numFmt w:val="bullet"/>
      <w:start w:val="1"/>
    </w:lvl>
  </w:abstractNum>
  <w:abstractNum w:abstractNumId="104">
    <w:nsid w:val="579328B9"/>
    <w:multiLevelType w:val="hybridMultilevel"/>
    <w:lvl w:ilvl="0">
      <w:lvlJc w:val="left"/>
      <w:lvlText w:val="•"/>
      <w:numFmt w:val="bullet"/>
      <w:start w:val="1"/>
    </w:lvl>
  </w:abstractNum>
  <w:abstractNum w:abstractNumId="105">
    <w:nsid w:val="5D205E20"/>
    <w:multiLevelType w:val="hybridMultilevel"/>
    <w:lvl w:ilvl="0">
      <w:lvlJc w:val="left"/>
      <w:lvlText w:val="•"/>
      <w:numFmt w:val="bullet"/>
      <w:start w:val="1"/>
    </w:lvl>
  </w:abstractNum>
  <w:abstractNum w:abstractNumId="106">
    <w:nsid w:val="11CCA8BA"/>
    <w:multiLevelType w:val="hybridMultilevel"/>
    <w:lvl w:ilvl="0">
      <w:lvlJc w:val="left"/>
      <w:lvlText w:val="•"/>
      <w:numFmt w:val="bullet"/>
      <w:start w:val="1"/>
    </w:lvl>
  </w:abstractNum>
  <w:abstractNum w:abstractNumId="107">
    <w:nsid w:val="4D32AB86"/>
    <w:multiLevelType w:val="hybridMultilevel"/>
    <w:lvl w:ilvl="0">
      <w:lvlJc w:val="left"/>
      <w:lvlText w:val="•"/>
      <w:numFmt w:val="bullet"/>
      <w:start w:val="1"/>
    </w:lvl>
  </w:abstractNum>
  <w:abstractNum w:abstractNumId="108">
    <w:nsid w:val="3F07ACC3"/>
    <w:multiLevelType w:val="hybridMultilevel"/>
    <w:lvl w:ilvl="0">
      <w:lvlJc w:val="left"/>
      <w:lvlText w:val="•"/>
      <w:numFmt w:val="bullet"/>
      <w:start w:val="1"/>
    </w:lvl>
  </w:abstractNum>
  <w:abstractNum w:abstractNumId="109">
    <w:nsid w:val="6B47F63E"/>
    <w:multiLevelType w:val="hybridMultilevel"/>
    <w:lvl w:ilvl="0">
      <w:lvlJc w:val="left"/>
      <w:lvlText w:val="(%1)"/>
      <w:numFmt w:val="decimal"/>
      <w:start w:val="1"/>
    </w:lvl>
  </w:abstractNum>
  <w:abstractNum w:abstractNumId="110">
    <w:nsid w:val="5CB44A05"/>
    <w:multiLevelType w:val="hybridMultilevel"/>
    <w:lvl w:ilvl="0">
      <w:lvlJc w:val="left"/>
      <w:lvlText w:val="(%1)"/>
      <w:numFmt w:val="decimal"/>
      <w:start w:val="1"/>
    </w:lvl>
  </w:abstractNum>
  <w:abstractNum w:abstractNumId="111">
    <w:nsid w:val="16CF80F1"/>
    <w:multiLevelType w:val="hybridMultilevel"/>
    <w:lvl w:ilvl="0">
      <w:lvlJc w:val="left"/>
      <w:lvlText w:val="•"/>
      <w:numFmt w:val="bullet"/>
      <w:start w:val="1"/>
    </w:lvl>
  </w:abstractNum>
  <w:abstractNum w:abstractNumId="112">
    <w:nsid w:val="1C695DEC"/>
    <w:multiLevelType w:val="hybridMultilevel"/>
    <w:lvl w:ilvl="0">
      <w:lvlJc w:val="left"/>
      <w:lvlText w:val="(%1)"/>
      <w:numFmt w:val="decimal"/>
      <w:start w:val="1"/>
    </w:lvl>
  </w:abstractNum>
  <w:abstractNum w:abstractNumId="113">
    <w:nsid w:val="3FCFAED9"/>
    <w:multiLevelType w:val="hybridMultilevel"/>
    <w:lvl w:ilvl="0">
      <w:lvlJc w:val="left"/>
      <w:lvlText w:val="•"/>
      <w:numFmt w:val="bullet"/>
      <w:start w:val="1"/>
    </w:lvl>
  </w:abstractNum>
  <w:abstractNum w:abstractNumId="114">
    <w:nsid w:val="F856867"/>
    <w:multiLevelType w:val="hybridMultilevel"/>
    <w:lvl w:ilvl="0">
      <w:lvlJc w:val="left"/>
      <w:lvlText w:val="•"/>
      <w:numFmt w:val="bullet"/>
      <w:start w:val="1"/>
    </w:lvl>
  </w:abstractNum>
  <w:abstractNum w:abstractNumId="115">
    <w:nsid w:val="11B1CC33"/>
    <w:multiLevelType w:val="hybridMultilevel"/>
    <w:lvl w:ilvl="0">
      <w:lvlJc w:val="left"/>
      <w:lvlText w:val="•"/>
      <w:numFmt w:val="bullet"/>
      <w:start w:val="1"/>
    </w:lvl>
  </w:abstractNum>
  <w:abstractNum w:abstractNumId="116">
    <w:nsid w:val="2E22FBB7"/>
    <w:multiLevelType w:val="hybridMultilevel"/>
    <w:lvl w:ilvl="0">
      <w:lvlJc w:val="left"/>
      <w:lvlText w:val="•"/>
      <w:numFmt w:val="bullet"/>
      <w:start w:val="1"/>
    </w:lvl>
  </w:abstractNum>
  <w:abstractNum w:abstractNumId="117">
    <w:nsid w:val="29934699"/>
    <w:multiLevelType w:val="hybridMultilevel"/>
    <w:lvl w:ilvl="0">
      <w:lvlJc w:val="left"/>
      <w:lvlText w:val="•"/>
      <w:numFmt w:val="bullet"/>
      <w:start w:val="1"/>
    </w:lvl>
  </w:abstractNum>
  <w:abstractNum w:abstractNumId="118">
    <w:nsid w:val="77485850"/>
    <w:multiLevelType w:val="hybridMultilevel"/>
    <w:lvl w:ilvl="0">
      <w:lvlJc w:val="left"/>
      <w:lvlText w:val="•"/>
      <w:numFmt w:val="bullet"/>
      <w:start w:val="1"/>
    </w:lvl>
  </w:abstractNum>
  <w:abstractNum w:abstractNumId="119">
    <w:nsid w:val="744939A3"/>
    <w:multiLevelType w:val="hybridMultilevel"/>
    <w:lvl w:ilvl="0">
      <w:lvlJc w:val="left"/>
      <w:lvlText w:val="•"/>
      <w:numFmt w:val="bullet"/>
      <w:start w:val="1"/>
    </w:lvl>
  </w:abstractNum>
  <w:abstractNum w:abstractNumId="120">
    <w:nsid w:val="4FA0D2E3"/>
    <w:multiLevelType w:val="hybridMultilevel"/>
    <w:lvl w:ilvl="0">
      <w:lvlJc w:val="left"/>
      <w:lvlText w:val="•"/>
      <w:numFmt w:val="bullet"/>
      <w:start w:val="1"/>
    </w:lvl>
  </w:abstractNum>
  <w:abstractNum w:abstractNumId="121">
    <w:nsid w:val="6B1D2C14"/>
    <w:multiLevelType w:val="hybridMultilevel"/>
    <w:lvl w:ilvl="0">
      <w:lvlJc w:val="left"/>
      <w:lvlText w:val="•"/>
      <w:numFmt w:val="bullet"/>
      <w:start w:val="1"/>
    </w:lvl>
  </w:abstractNum>
  <w:abstractNum w:abstractNumId="122">
    <w:nsid w:val="68B867D3"/>
    <w:multiLevelType w:val="hybridMultilevel"/>
    <w:lvl w:ilvl="0">
      <w:lvlJc w:val="left"/>
      <w:lvlText w:val="•"/>
      <w:numFmt w:val="bullet"/>
      <w:start w:val="1"/>
    </w:lvl>
  </w:abstractNum>
  <w:abstractNum w:abstractNumId="123">
    <w:nsid w:val="3F7F5DD9"/>
    <w:multiLevelType w:val="hybridMultilevel"/>
    <w:lvl w:ilvl="0">
      <w:lvlJc w:val="left"/>
      <w:lvlText w:val="(%1)"/>
      <w:numFmt w:val="lowerLetter"/>
      <w:start w:val="1"/>
    </w:lvl>
  </w:abstractNum>
  <w:abstractNum w:abstractNumId="124">
    <w:nsid w:val="2AE05A34"/>
    <w:multiLevelType w:val="hybridMultilevel"/>
    <w:lvl w:ilvl="0">
      <w:lvlJc w:val="left"/>
      <w:lvlText w:val="(%1)"/>
      <w:numFmt w:val="lowerLetter"/>
      <w:start w:val="2"/>
    </w:lvl>
  </w:abstractNum>
  <w:abstractNum w:abstractNumId="125">
    <w:nsid w:val="32794FF7"/>
    <w:multiLevelType w:val="hybridMultilevel"/>
    <w:lvl w:ilvl="0">
      <w:lvlJc w:val="left"/>
      <w:lvlText w:val="(%1)"/>
      <w:numFmt w:val="lowerLetter"/>
      <w:start w:val="3"/>
    </w:lvl>
  </w:abstractNum>
  <w:abstractNum w:abstractNumId="126">
    <w:nsid w:val="5454945E"/>
    <w:multiLevelType w:val="hybridMultilevel"/>
    <w:lvl w:ilvl="0">
      <w:lvlJc w:val="left"/>
      <w:lvlText w:val="(%1)"/>
      <w:numFmt w:val="lowerLetter"/>
      <w:start w:val="1"/>
    </w:lvl>
  </w:abstractNum>
  <w:abstractNum w:abstractNumId="127">
    <w:nsid w:val="4DEFDFA0"/>
    <w:multiLevelType w:val="hybridMultilevel"/>
    <w:lvl w:ilvl="0">
      <w:lvlJc w:val="left"/>
      <w:lvlText w:val="*"/>
      <w:numFmt w:val="bullet"/>
      <w:start w:val="1"/>
    </w:lvl>
  </w:abstractNum>
  <w:abstractNum w:abstractNumId="128">
    <w:nsid w:val="2123D5F2"/>
    <w:multiLevelType w:val="hybridMultilevel"/>
    <w:lvl w:ilvl="0">
      <w:lvlJc w:val="left"/>
      <w:lvlText w:val="%1."/>
      <w:numFmt w:val="decimal"/>
      <w:start w:val="1"/>
    </w:lvl>
  </w:abstractNum>
  <w:abstractNum w:abstractNumId="129">
    <w:nsid w:val="135B8110"/>
    <w:multiLevelType w:val="hybridMultilevel"/>
    <w:lvl w:ilvl="0">
      <w:lvlJc w:val="left"/>
      <w:lvlText w:val="%1."/>
      <w:numFmt w:val="decimal"/>
      <w:start w:val="2"/>
    </w:lvl>
  </w:abstractNum>
  <w:abstractNum w:abstractNumId="130">
    <w:nsid w:val="94927A8"/>
    <w:multiLevelType w:val="hybridMultilevel"/>
    <w:lvl w:ilvl="0">
      <w:lvlJc w:val="left"/>
      <w:lvlText w:val="*"/>
      <w:numFmt w:val="bullet"/>
      <w:start w:val="1"/>
    </w:lvl>
  </w:abstractNum>
  <w:abstractNum w:abstractNumId="131">
    <w:nsid w:val="DCDF8F6"/>
    <w:multiLevelType w:val="hybridMultilevel"/>
    <w:lvl w:ilvl="0">
      <w:lvlJc w:val="left"/>
      <w:lvlText w:val="(%1)"/>
      <w:numFmt w:val="lowerRoman"/>
      <w:start w:val="1"/>
    </w:lvl>
  </w:abstractNum>
  <w:abstractNum w:abstractNumId="132">
    <w:nsid w:val="52D7B105"/>
    <w:multiLevelType w:val="hybridMultilevel"/>
    <w:lvl w:ilvl="0">
      <w:lvlJc w:val="left"/>
      <w:lvlText w:val="%1."/>
      <w:numFmt w:val="decimal"/>
      <w:start w:val="350"/>
    </w:lvl>
  </w:abstractNum>
  <w:abstractNum w:abstractNumId="133">
    <w:nsid w:val="2E8A6394"/>
    <w:multiLevelType w:val="hybridMultilevel"/>
    <w:lvl w:ilvl="0">
      <w:lvlJc w:val="left"/>
      <w:lvlText w:val="%1."/>
      <w:numFmt w:val="decimal"/>
      <w:start w:val="3"/>
    </w:lvl>
  </w:abstractNum>
  <w:abstractNum w:abstractNumId="134">
    <w:nsid w:val="24E60401"/>
    <w:multiLevelType w:val="hybridMultilevel"/>
    <w:lvl w:ilvl="0">
      <w:lvlJc w:val="left"/>
      <w:lvlText w:val="(%1)"/>
      <w:numFmt w:val="decimal"/>
      <w:start w:val="1"/>
    </w:lvl>
  </w:abstractNum>
  <w:abstractNum w:abstractNumId="135">
    <w:nsid w:val="2A6AD9BE"/>
    <w:multiLevelType w:val="hybridMultilevel"/>
    <w:lvl w:ilvl="0">
      <w:lvlJc w:val="left"/>
      <w:lvlText w:val="%1."/>
      <w:numFmt w:val="decimal"/>
      <w:start w:val="4"/>
    </w:lvl>
  </w:abstractNum>
  <w:abstractNum w:abstractNumId="136">
    <w:nsid w:val="BAAC1B4"/>
    <w:multiLevelType w:val="hybridMultilevel"/>
    <w:lvl w:ilvl="0">
      <w:lvlJc w:val="left"/>
      <w:lvlText w:val="%1."/>
      <w:numFmt w:val="decimal"/>
      <w:start w:val="5"/>
    </w:lvl>
  </w:abstractNum>
  <w:abstractNum w:abstractNumId="137">
    <w:nsid w:val="36B2ACBC"/>
    <w:multiLevelType w:val="hybridMultilevel"/>
    <w:lvl w:ilvl="0">
      <w:lvlJc w:val="left"/>
      <w:lvlText w:val="*"/>
      <w:numFmt w:val="bullet"/>
      <w:start w:val="1"/>
    </w:lvl>
  </w:abstractNum>
  <w:abstractNum w:abstractNumId="138">
    <w:nsid w:val="779D8544"/>
    <w:multiLevelType w:val="hybridMultilevel"/>
    <w:lvl w:ilvl="0">
      <w:lvlJc w:val="left"/>
      <w:lvlText w:val="*"/>
      <w:numFmt w:val="bullet"/>
      <w:start w:val="1"/>
    </w:lvl>
  </w:abstractNum>
  <w:abstractNum w:abstractNumId="139">
    <w:nsid w:val="4AB26E78"/>
    <w:multiLevelType w:val="hybridMultilevel"/>
    <w:lvl w:ilvl="0">
      <w:lvlJc w:val="left"/>
      <w:lvlText w:val="%1."/>
      <w:numFmt w:val="decimal"/>
      <w:start w:val="6"/>
    </w:lvl>
  </w:abstractNum>
  <w:abstractNum w:abstractNumId="140">
    <w:nsid w:val="21FAA2FA"/>
    <w:multiLevelType w:val="hybridMultilevel"/>
    <w:lvl w:ilvl="0">
      <w:lvlJc w:val="left"/>
      <w:lvlText w:val="%1."/>
      <w:numFmt w:val="decimal"/>
      <w:start w:val="7"/>
    </w:lvl>
  </w:abstractNum>
  <w:abstractNum w:abstractNumId="141">
    <w:nsid w:val="5451CF49"/>
    <w:multiLevelType w:val="hybridMultilevel"/>
    <w:lvl w:ilvl="0">
      <w:lvlJc w:val="left"/>
      <w:lvlText w:val="%1."/>
      <w:numFmt w:val="decimal"/>
      <w:start w:val="9"/>
    </w:lvl>
  </w:abstractNum>
  <w:abstractNum w:abstractNumId="142">
    <w:nsid w:val="6181EF69"/>
    <w:multiLevelType w:val="hybridMultilevel"/>
    <w:lvl w:ilvl="0">
      <w:lvlJc w:val="left"/>
      <w:lvlText w:val="•"/>
      <w:numFmt w:val="bullet"/>
      <w:start w:val="1"/>
    </w:lvl>
  </w:abstractNum>
  <w:abstractNum w:abstractNumId="143">
    <w:nsid w:val="3E6400E6"/>
    <w:multiLevelType w:val="hybridMultilevel"/>
    <w:lvl w:ilvl="0">
      <w:lvlJc w:val="left"/>
      <w:lvlText w:val="%1."/>
      <w:numFmt w:val="decimal"/>
      <w:start w:val="10"/>
    </w:lvl>
  </w:abstractNum>
  <w:abstractNum w:abstractNumId="144">
    <w:nsid w:val="14217E23"/>
    <w:multiLevelType w:val="hybridMultilevel"/>
    <w:lvl w:ilvl="0">
      <w:lvlJc w:val="left"/>
      <w:lvlText w:val="*"/>
      <w:numFmt w:val="bullet"/>
      <w:start w:val="1"/>
    </w:lvl>
  </w:abstractNum>
  <w:abstractNum w:abstractNumId="145">
    <w:nsid w:val="710757D0"/>
    <w:multiLevelType w:val="hybridMultilevel"/>
    <w:lvl w:ilvl="0">
      <w:lvlJc w:val="left"/>
      <w:lvlText w:val="*"/>
      <w:numFmt w:val="bullet"/>
      <w:start w:val="1"/>
    </w:lvl>
  </w:abstractNum>
  <w:abstractNum w:abstractNumId="146">
    <w:nsid w:val="5015CD1A"/>
    <w:multiLevelType w:val="hybridMultilevel"/>
    <w:lvl w:ilvl="0">
      <w:lvlJc w:val="left"/>
      <w:lvlText w:val="%1."/>
      <w:numFmt w:val="decimal"/>
      <w:start w:val="11"/>
    </w:lvl>
  </w:abstractNum>
  <w:abstractNum w:abstractNumId="147">
    <w:nsid w:val="424479DA"/>
    <w:multiLevelType w:val="hybridMultilevel"/>
    <w:lvl w:ilvl="0">
      <w:lvlJc w:val="left"/>
      <w:lvlText w:val="(%1)"/>
      <w:numFmt w:val="lowerRoman"/>
      <w:start w:val="1"/>
    </w:lvl>
  </w:abstractNum>
  <w:abstractNum w:abstractNumId="148">
    <w:nsid w:val="1A9A9E69"/>
    <w:multiLevelType w:val="hybridMultilevel"/>
    <w:lvl w:ilvl="0">
      <w:lvlJc w:val="left"/>
      <w:lvlText w:val="(%1)"/>
      <w:numFmt w:val="lowerRoman"/>
      <w:start w:val="4"/>
    </w:lvl>
  </w:abstractNum>
  <w:abstractNum w:abstractNumId="149">
    <w:nsid w:val="475E256A"/>
    <w:multiLevelType w:val="hybridMultilevel"/>
    <w:lvl w:ilvl="0">
      <w:lvlJc w:val="left"/>
      <w:lvlText w:val="%1."/>
      <w:numFmt w:val="decimal"/>
      <w:start w:val="13"/>
    </w:lvl>
  </w:abstractNum>
  <w:abstractNum w:abstractNumId="150">
    <w:nsid w:val="368DB37E"/>
    <w:multiLevelType w:val="hybridMultilevel"/>
    <w:lvl w:ilvl="0">
      <w:lvlJc w:val="left"/>
      <w:lvlText w:val="%1."/>
      <w:numFmt w:val="decimal"/>
      <w:start w:val="14"/>
    </w:lvl>
  </w:abstractNum>
  <w:abstractNum w:abstractNumId="151">
    <w:nsid w:val="6A3B714C"/>
    <w:multiLevelType w:val="hybridMultilevel"/>
    <w:lvl w:ilvl="0">
      <w:lvlJc w:val="left"/>
      <w:lvlText w:val="%1."/>
      <w:numFmt w:val="decimal"/>
      <w:start w:val="15"/>
    </w:lvl>
  </w:abstractNum>
  <w:abstractNum w:abstractNumId="152">
    <w:nsid w:val="327B517E"/>
    <w:multiLevelType w:val="hybridMultilevel"/>
    <w:lvl w:ilvl="0">
      <w:lvlJc w:val="left"/>
      <w:lvlText w:val="%1."/>
      <w:numFmt w:val="decimal"/>
      <w:start w:val="16"/>
    </w:lvl>
  </w:abstractNum>
  <w:abstractNum w:abstractNumId="153">
    <w:nsid w:val="1F461B51"/>
    <w:multiLevelType w:val="hybridMultilevel"/>
    <w:lvl w:ilvl="0">
      <w:lvlJc w:val="left"/>
      <w:lvlText w:val="%1."/>
      <w:numFmt w:val="decimal"/>
      <w:start w:val="18"/>
    </w:lvl>
  </w:abstractNum>
  <w:abstractNum w:abstractNumId="154">
    <w:nsid w:val="29BACF25"/>
    <w:multiLevelType w:val="hybridMultilevel"/>
    <w:lvl w:ilvl="0">
      <w:lvlJc w:val="left"/>
      <w:lvlText w:val="%1."/>
      <w:numFmt w:val="decimal"/>
      <w:start w:val="19"/>
    </w:lvl>
  </w:abstractNum>
  <w:abstractNum w:abstractNumId="155">
    <w:nsid w:val="5D5BABB3"/>
    <w:multiLevelType w:val="hybridMultilevel"/>
    <w:lvl w:ilvl="0">
      <w:lvlJc w:val="left"/>
      <w:lvlText w:val="%1."/>
      <w:numFmt w:val="decimal"/>
      <w:start w:val="20"/>
    </w:lvl>
  </w:abstractNum>
  <w:abstractNum w:abstractNumId="156">
    <w:nsid w:val="51BF6B48"/>
    <w:multiLevelType w:val="hybridMultilevel"/>
    <w:lvl w:ilvl="0">
      <w:lvlJc w:val="left"/>
      <w:lvlText w:val="%1."/>
      <w:numFmt w:val="decimal"/>
      <w:start w:val="1"/>
    </w:lvl>
  </w:abstractNum>
  <w:abstractNum w:abstractNumId="157">
    <w:nsid w:val="7E0F6384"/>
    <w:multiLevelType w:val="hybridMultilevel"/>
    <w:lvl w:ilvl="0">
      <w:lvlJc w:val="left"/>
      <w:lvlText w:val="%1."/>
      <w:numFmt w:val="decimal"/>
      <w:start w:val="2"/>
    </w:lvl>
  </w:abstractNum>
  <w:abstractNum w:abstractNumId="158">
    <w:nsid w:val="2B4B8B53"/>
    <w:multiLevelType w:val="hybridMultilevel"/>
    <w:lvl w:ilvl="0">
      <w:lvlJc w:val="left"/>
      <w:lvlText w:val="*"/>
      <w:numFmt w:val="bullet"/>
      <w:start w:val="1"/>
    </w:lvl>
  </w:abstractNum>
  <w:abstractNum w:abstractNumId="159">
    <w:nsid w:val="72E3413A"/>
    <w:multiLevelType w:val="hybridMultilevel"/>
    <w:lvl w:ilvl="0">
      <w:lvlJc w:val="left"/>
      <w:lvlText w:val="*"/>
      <w:numFmt w:val="bullet"/>
      <w:start w:val="1"/>
    </w:lvl>
  </w:abstractNum>
  <w:abstractNum w:abstractNumId="160">
    <w:nsid w:val="116AE494"/>
    <w:multiLevelType w:val="hybridMultilevel"/>
    <w:lvl w:ilvl="0">
      <w:lvlJc w:val="left"/>
      <w:lvlText w:val="%1."/>
      <w:numFmt w:val="decimal"/>
      <w:start w:val="3"/>
    </w:lvl>
  </w:abstractNum>
  <w:abstractNum w:abstractNumId="161">
    <w:nsid w:val="3494B2FB"/>
    <w:multiLevelType w:val="hybridMultilevel"/>
    <w:lvl w:ilvl="0">
      <w:lvlJc w:val="left"/>
      <w:lvlText w:val="(%1)"/>
      <w:numFmt w:val="decimal"/>
      <w:start w:val="1"/>
    </w:lvl>
  </w:abstractNum>
  <w:abstractNum w:abstractNumId="162">
    <w:nsid w:val="B13A31"/>
    <w:multiLevelType w:val="hybridMultilevel"/>
    <w:lvl w:ilvl="0">
      <w:lvlJc w:val="left"/>
      <w:lvlText w:val="%1."/>
      <w:numFmt w:val="decimal"/>
      <w:start w:val="4"/>
    </w:lvl>
  </w:abstractNum>
  <w:abstractNum w:abstractNumId="163">
    <w:nsid w:val="64429599"/>
    <w:multiLevelType w:val="hybridMultilevel"/>
    <w:lvl w:ilvl="0">
      <w:lvlJc w:val="left"/>
      <w:lvlText w:val="%1."/>
      <w:numFmt w:val="decimal"/>
      <w:start w:val="5"/>
    </w:lvl>
  </w:abstractNum>
  <w:abstractNum w:abstractNumId="164">
    <w:nsid w:val="631F1690"/>
    <w:multiLevelType w:val="hybridMultilevel"/>
    <w:lvl w:ilvl="0">
      <w:lvlJc w:val="left"/>
      <w:lvlText w:val="*"/>
      <w:numFmt w:val="bullet"/>
      <w:start w:val="1"/>
    </w:lvl>
  </w:abstractNum>
  <w:abstractNum w:abstractNumId="165">
    <w:nsid w:val="25973E32"/>
    <w:multiLevelType w:val="hybridMultilevel"/>
    <w:lvl w:ilvl="0">
      <w:lvlJc w:val="left"/>
      <w:lvlText w:val="*"/>
      <w:numFmt w:val="bullet"/>
      <w:start w:val="1"/>
    </w:lvl>
  </w:abstractNum>
  <w:abstractNum w:abstractNumId="166">
    <w:nsid w:val="EAD6F57"/>
    <w:multiLevelType w:val="hybridMultilevel"/>
    <w:lvl w:ilvl="0">
      <w:lvlJc w:val="left"/>
      <w:lvlText w:val="%1."/>
      <w:numFmt w:val="decimal"/>
      <w:start w:val="6"/>
    </w:lvl>
  </w:abstractNum>
  <w:abstractNum w:abstractNumId="167">
    <w:nsid w:val="6EC9D844"/>
    <w:multiLevelType w:val="hybridMultilevel"/>
    <w:lvl w:ilvl="0">
      <w:lvlJc w:val="left"/>
      <w:lvlText w:val="%1."/>
      <w:numFmt w:val="decimal"/>
      <w:start w:val="7"/>
    </w:lvl>
  </w:abstractNum>
  <w:abstractNum w:abstractNumId="168">
    <w:nsid w:val="5C49EAEE"/>
    <w:multiLevelType w:val="hybridMultilevel"/>
    <w:lvl w:ilvl="0">
      <w:lvlJc w:val="left"/>
      <w:lvlText w:val="%1."/>
      <w:numFmt w:val="decimal"/>
      <w:start w:val="8"/>
    </w:lvl>
  </w:abstractNum>
  <w:abstractNum w:abstractNumId="169">
    <w:nsid w:val="64AF49B"/>
    <w:multiLevelType w:val="hybridMultilevel"/>
    <w:lvl w:ilvl="0">
      <w:lvlJc w:val="left"/>
      <w:lvlText w:val="•"/>
      <w:numFmt w:val="bullet"/>
      <w:start w:val="1"/>
    </w:lvl>
  </w:abstractNum>
  <w:abstractNum w:abstractNumId="170">
    <w:nsid w:val="397C46BC"/>
    <w:multiLevelType w:val="hybridMultilevel"/>
    <w:lvl w:ilvl="0">
      <w:lvlJc w:val="left"/>
      <w:lvlText w:val="%1."/>
      <w:numFmt w:val="decimal"/>
      <w:start w:val="10"/>
    </w:lvl>
  </w:abstractNum>
  <w:abstractNum w:abstractNumId="171">
    <w:nsid w:val="7E448DE9"/>
    <w:multiLevelType w:val="hybridMultilevel"/>
    <w:lvl w:ilvl="0">
      <w:lvlJc w:val="left"/>
      <w:lvlText w:val="*"/>
      <w:numFmt w:val="bullet"/>
      <w:start w:val="1"/>
    </w:lvl>
  </w:abstractNum>
  <w:abstractNum w:abstractNumId="172">
    <w:nsid w:val="5A9CC3E5"/>
    <w:multiLevelType w:val="hybridMultilevel"/>
    <w:lvl w:ilvl="0">
      <w:lvlJc w:val="left"/>
      <w:lvlText w:val="*"/>
      <w:numFmt w:val="bullet"/>
      <w:start w:val="1"/>
    </w:lvl>
  </w:abstractNum>
  <w:abstractNum w:abstractNumId="173">
    <w:nsid w:val="1AFE3625"/>
    <w:multiLevelType w:val="hybridMultilevel"/>
    <w:lvl w:ilvl="0">
      <w:lvlJc w:val="left"/>
      <w:lvlText w:val="%1."/>
      <w:numFmt w:val="decimal"/>
      <w:start w:val="11"/>
    </w:lvl>
  </w:abstractNum>
  <w:abstractNum w:abstractNumId="174">
    <w:nsid w:val="3CA88ECF"/>
    <w:multiLevelType w:val="hybridMultilevel"/>
    <w:lvl w:ilvl="0">
      <w:lvlJc w:val="left"/>
      <w:lvlText w:val="(%1)"/>
      <w:numFmt w:val="lowerRoman"/>
      <w:start w:val="1"/>
    </w:lvl>
  </w:abstractNum>
  <w:abstractNum w:abstractNumId="175">
    <w:nsid w:val="6EBE4208"/>
    <w:multiLevelType w:val="hybridMultilevel"/>
    <w:lvl w:ilvl="0">
      <w:lvlJc w:val="left"/>
      <w:lvlText w:val="%1."/>
      <w:numFmt w:val="decimal"/>
      <w:start w:val="12"/>
    </w:lvl>
  </w:abstractNum>
  <w:abstractNum w:abstractNumId="176">
    <w:nsid w:val="C058DF5"/>
    <w:multiLevelType w:val="hybridMultilevel"/>
    <w:lvl w:ilvl="0">
      <w:lvlJc w:val="left"/>
      <w:lvlText w:val="(%1)"/>
      <w:numFmt w:val="lowerRoman"/>
      <w:start w:val="4"/>
    </w:lvl>
  </w:abstractNum>
  <w:abstractNum w:abstractNumId="177">
    <w:nsid w:val="CBE5BE9"/>
    <w:multiLevelType w:val="hybridMultilevel"/>
    <w:lvl w:ilvl="0">
      <w:lvlJc w:val="left"/>
      <w:lvlText w:val="(%1)"/>
      <w:numFmt w:val="lowerRoman"/>
      <w:start w:val="4"/>
    </w:lvl>
  </w:abstractNum>
  <w:abstractNum w:abstractNumId="178">
    <w:nsid w:val="3102BBE2"/>
    <w:multiLevelType w:val="hybridMultilevel"/>
    <w:lvl w:ilvl="0">
      <w:lvlJc w:val="left"/>
      <w:lvlText w:val="%1."/>
      <w:numFmt w:val="decimal"/>
      <w:start w:val="13"/>
    </w:lvl>
  </w:abstractNum>
  <w:abstractNum w:abstractNumId="179">
    <w:nsid w:val="26A02C5E"/>
    <w:multiLevelType w:val="hybridMultilevel"/>
    <w:lvl w:ilvl="0">
      <w:lvlJc w:val="left"/>
      <w:lvlText w:val="%1."/>
      <w:numFmt w:val="decimal"/>
      <w:start w:val="14"/>
    </w:lvl>
  </w:abstractNum>
  <w:abstractNum w:abstractNumId="180">
    <w:nsid w:val="541C8153"/>
    <w:multiLevelType w:val="hybridMultilevel"/>
    <w:lvl w:ilvl="0">
      <w:lvlJc w:val="left"/>
      <w:lvlText w:val="%1."/>
      <w:numFmt w:val="decimal"/>
      <w:start w:val="15"/>
    </w:lvl>
  </w:abstractNum>
  <w:abstractNum w:abstractNumId="181">
    <w:nsid w:val="67906F60"/>
    <w:multiLevelType w:val="hybridMultilevel"/>
    <w:lvl w:ilvl="0">
      <w:lvlJc w:val="left"/>
      <w:lvlText w:val="*"/>
      <w:numFmt w:val="bullet"/>
      <w:start w:val="1"/>
    </w:lvl>
  </w:abstractNum>
  <w:abstractNum w:abstractNumId="182">
    <w:nsid w:val="10DB9DAA"/>
    <w:multiLevelType w:val="hybridMultilevel"/>
    <w:lvl w:ilvl="0">
      <w:lvlJc w:val="left"/>
      <w:lvlText w:val="%1."/>
      <w:numFmt w:val="decimal"/>
      <w:start w:val="16"/>
    </w:lvl>
  </w:abstractNum>
  <w:abstractNum w:abstractNumId="183">
    <w:nsid w:val="697D2D2"/>
    <w:multiLevelType w:val="hybridMultilevel"/>
    <w:lvl w:ilvl="0">
      <w:lvlJc w:val="left"/>
      <w:lvlText w:val="%1."/>
      <w:numFmt w:val="decimal"/>
      <w:start w:val="18"/>
    </w:lvl>
  </w:abstractNum>
  <w:abstractNum w:abstractNumId="184">
    <w:nsid w:val="6D68AB2"/>
    <w:multiLevelType w:val="hybridMultilevel"/>
    <w:lvl w:ilvl="0">
      <w:lvlJc w:val="left"/>
      <w:lvlText w:val="%1."/>
      <w:numFmt w:val="decimal"/>
      <w:start w:val="19"/>
    </w:lvl>
  </w:abstractNum>
  <w:abstractNum w:abstractNumId="185">
    <w:nsid w:val="3A966CD0"/>
    <w:multiLevelType w:val="hybridMultilevel"/>
    <w:lvl w:ilvl="0">
      <w:lvlJc w:val="left"/>
      <w:lvlText w:val="*"/>
      <w:numFmt w:val="bullet"/>
      <w:start w:val="1"/>
    </w:lvl>
  </w:abstractNum>
  <w:abstractNum w:abstractNumId="186">
    <w:nsid w:val="63F37E85"/>
    <w:multiLevelType w:val="hybridMultilevel"/>
    <w:lvl w:ilvl="0">
      <w:lvlJc w:val="left"/>
      <w:lvlText w:val="%1."/>
      <w:numFmt w:val="lowerLetter"/>
      <w:start w:val="1"/>
    </w:lvl>
  </w:abstractNum>
  <w:abstractNum w:abstractNumId="187">
    <w:nsid w:val="5895F5FA"/>
    <w:multiLevelType w:val="hybridMultilevel"/>
    <w:lvl w:ilvl="0">
      <w:lvlJc w:val="left"/>
      <w:lvlText w:val="%1."/>
      <w:numFmt w:val="lowerLetter"/>
      <w:start w:val="3"/>
    </w:lvl>
  </w:abstractNum>
  <w:abstractNum w:abstractNumId="188">
    <w:nsid w:val="38A5D054"/>
    <w:multiLevelType w:val="hybridMultilevel"/>
    <w:lvl w:ilvl="0">
      <w:lvlJc w:val="left"/>
      <w:lvlText w:val="%1."/>
      <w:numFmt w:val="lowerLetter"/>
      <w:start w:val="7"/>
    </w:lvl>
  </w:abstractNum>
  <w:abstractNum w:abstractNumId="189">
    <w:nsid w:val="F3F09D8"/>
    <w:multiLevelType w:val="hybridMultilevel"/>
    <w:lvl w:ilvl="0">
      <w:lvlJc w:val="left"/>
      <w:lvlText w:val="%1."/>
      <w:numFmt w:val="decimal"/>
      <w:start w:val="1"/>
    </w:lvl>
  </w:abstractNum>
  <w:abstractNum w:abstractNumId="190">
    <w:nsid w:val="4B793735"/>
    <w:multiLevelType w:val="hybridMultilevel"/>
    <w:lvl w:ilvl="0">
      <w:lvlJc w:val="left"/>
      <w:lvlText w:val="•"/>
      <w:numFmt w:val="bullet"/>
      <w:start w:val="1"/>
    </w:lvl>
  </w:abstractNum>
  <w:abstractNum w:abstractNumId="191">
    <w:nsid w:val="4A10B4E8"/>
    <w:multiLevelType w:val="hybridMultilevel"/>
    <w:lvl w:ilvl="0">
      <w:lvlJc w:val="left"/>
      <w:lvlText w:val="%1."/>
      <w:numFmt w:val="lowerLetter"/>
      <w:start w:val="9"/>
    </w:lvl>
  </w:abstractNum>
  <w:abstractNum w:abstractNumId="192">
    <w:nsid w:val="43D3BCD4"/>
    <w:multiLevelType w:val="hybridMultilevel"/>
    <w:lvl w:ilvl="0">
      <w:lvlJc w:val="left"/>
      <w:lvlText w:val="%1."/>
      <w:numFmt w:val="lowerLetter"/>
      <w:start w:val="12"/>
    </w:lvl>
  </w:abstractNum>
  <w:abstractNum w:abstractNumId="193">
    <w:nsid w:val="4C2A7166"/>
    <w:multiLevelType w:val="hybridMultilevel"/>
    <w:lvl w:ilvl="0">
      <w:lvlJc w:val="left"/>
      <w:lvlText w:val="%1."/>
      <w:numFmt w:val="lowerLetter"/>
      <w:start w:val="15"/>
    </w:lvl>
  </w:abstractNum>
  <w:abstractNum w:abstractNumId="194">
    <w:nsid w:val="2E534A82"/>
    <w:multiLevelType w:val="hybridMultilevel"/>
    <w:lvl w:ilvl="0">
      <w:lvlJc w:val="left"/>
      <w:lvlText w:val="%1."/>
      <w:numFmt w:val="lowerLetter"/>
      <w:start w:val="17"/>
    </w:lvl>
  </w:abstractNum>
  <w:abstractNum w:abstractNumId="195">
    <w:nsid w:val="26F2D364"/>
    <w:multiLevelType w:val="hybridMultilevel"/>
    <w:lvl w:ilvl="0">
      <w:lvlJc w:val="left"/>
      <w:lvlText w:val="%1."/>
      <w:numFmt w:val="lowerLetter"/>
      <w:start w:val="19"/>
    </w:lvl>
    <w:lvl w:ilvl="1">
      <w:lvlJc w:val="left"/>
      <w:lvlText w:val="%2."/>
      <w:numFmt w:val="decimal"/>
      <w:start w:val="1"/>
    </w:lvl>
  </w:abstractNum>
  <w:abstractNum w:abstractNumId="196">
    <w:nsid w:val="71C1AF98"/>
    <w:multiLevelType w:val="hybridMultilevel"/>
    <w:lvl w:ilvl="0">
      <w:lvlJc w:val="left"/>
      <w:lvlText w:val="%1."/>
      <w:numFmt w:val="decimal"/>
      <w:start w:val="1"/>
    </w:lvl>
  </w:abstractNum>
  <w:abstractNum w:abstractNumId="197">
    <w:nsid w:val="3D00B9D9"/>
    <w:multiLevelType w:val="hybridMultilevel"/>
    <w:lvl w:ilvl="0">
      <w:lvlJc w:val="left"/>
      <w:lvlText w:val="%1."/>
      <w:numFmt w:val="lowerLetter"/>
      <w:start w:val="21"/>
    </w:lvl>
  </w:abstractNum>
  <w:abstractNum w:abstractNumId="198">
    <w:nsid w:val="15BCABA8"/>
    <w:multiLevelType w:val="hybridMultilevel"/>
    <w:lvl w:ilvl="0">
      <w:lvlJc w:val="left"/>
      <w:lvlText w:val="%1."/>
      <w:numFmt w:val="decimal"/>
      <w:start w:val="1"/>
    </w:lvl>
  </w:abstractNum>
  <w:abstractNum w:abstractNumId="199">
    <w:nsid w:val="4E0B9A87"/>
    <w:multiLevelType w:val="hybridMultilevel"/>
    <w:lvl w:ilvl="0">
      <w:lvlJc w:val="left"/>
      <w:lvlText w:val="%1."/>
      <w:numFmt w:val="decimal"/>
      <w:start w:val="2"/>
    </w:lvl>
  </w:abstractNum>
  <w:abstractNum w:abstractNumId="200">
    <w:nsid w:val="434BAE75"/>
    <w:multiLevelType w:val="hybridMultilevel"/>
    <w:lvl w:ilvl="0">
      <w:lvlJc w:val="left"/>
      <w:lvlText w:val="%1."/>
      <w:numFmt w:val="lowerLetter"/>
      <w:start w:val="1"/>
    </w:lvl>
  </w:abstractNum>
  <w:abstractNum w:abstractNumId="201">
    <w:nsid w:val="4F38F265"/>
    <w:multiLevelType w:val="hybridMultilevel"/>
    <w:lvl w:ilvl="0">
      <w:lvlJc w:val="left"/>
      <w:lvlText w:val="%1."/>
      <w:numFmt w:val="lowerLetter"/>
      <w:start w:val="1"/>
    </w:lvl>
  </w:abstractNum>
  <w:abstractNum w:abstractNumId="202">
    <w:nsid w:val="4C502870"/>
    <w:multiLevelType w:val="hybridMultilevel"/>
    <w:lvl w:ilvl="0">
      <w:lvlJc w:val="left"/>
      <w:lvlText w:val="%1."/>
      <w:numFmt w:val="lowerLetter"/>
      <w:start w:val="2"/>
    </w:lvl>
  </w:abstractNum>
  <w:abstractNum w:abstractNumId="203">
    <w:nsid w:val="1DE8725A"/>
    <w:multiLevelType w:val="hybridMultilevel"/>
    <w:lvl w:ilvl="0">
      <w:lvlJc w:val="left"/>
      <w:lvlText w:val="%1."/>
      <w:numFmt w:val="lowerLetter"/>
      <w:start w:val="1"/>
    </w:lvl>
  </w:abstractNum>
  <w:abstractNum w:abstractNumId="204">
    <w:nsid w:val="6A37288A"/>
    <w:multiLevelType w:val="hybridMultilevel"/>
    <w:lvl w:ilvl="0">
      <w:lvlJc w:val="left"/>
      <w:lvlText w:val="%1."/>
      <w:numFmt w:val="lowerLetter"/>
      <w:start w:val="4"/>
    </w:lvl>
  </w:abstractNum>
  <w:abstractNum w:abstractNumId="205">
    <w:nsid w:val="8F8B73F"/>
    <w:multiLevelType w:val="hybridMultilevel"/>
    <w:lvl w:ilvl="0">
      <w:lvlJc w:val="left"/>
      <w:lvlText w:val="%1."/>
      <w:numFmt w:val="lowerLetter"/>
      <w:start w:val="5"/>
    </w:lvl>
  </w:abstractNum>
  <w:abstractNum w:abstractNumId="206">
    <w:nsid w:val="CA6B462"/>
    <w:multiLevelType w:val="hybridMultilevel"/>
    <w:lvl w:ilvl="0">
      <w:lvlJc w:val="left"/>
      <w:lvlText w:val="%1."/>
      <w:numFmt w:val="lowerLetter"/>
      <w:start w:val="6"/>
    </w:lvl>
  </w:abstractNum>
  <w:abstractNum w:abstractNumId="207">
    <w:nsid w:val="763CB680"/>
    <w:multiLevelType w:val="hybridMultilevel"/>
    <w:lvl w:ilvl="0">
      <w:lvlJc w:val="left"/>
      <w:lvlText w:val="%1."/>
      <w:numFmt w:val="lowerLetter"/>
      <w:start w:val="7"/>
    </w:lvl>
  </w:abstractNum>
  <w:abstractNum w:abstractNumId="208">
    <w:nsid w:val="15B71329"/>
    <w:multiLevelType w:val="hybridMultilevel"/>
    <w:lvl w:ilvl="0">
      <w:lvlJc w:val="left"/>
      <w:lvlText w:val="%1."/>
      <w:numFmt w:val="lowerLetter"/>
      <w:start w:val="1"/>
    </w:lvl>
  </w:abstractNum>
  <w:abstractNum w:abstractNumId="209">
    <w:nsid w:val="3DA97044"/>
    <w:multiLevelType w:val="hybridMultilevel"/>
    <w:lvl w:ilvl="0">
      <w:lvlJc w:val="left"/>
      <w:lvlText w:val="•"/>
      <w:numFmt w:val="bullet"/>
      <w:start w:val="1"/>
    </w:lvl>
  </w:abstractNum>
  <w:abstractNum w:abstractNumId="210">
    <w:nsid w:val="1CDCE2DE"/>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2021-05-26T17:18:46Z</dcterms:created>
  <dcterms:modified xsi:type="dcterms:W3CDTF">2021-05-26T17:18:46Z</dcterms:modified>
</cp:coreProperties>
</file>