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18958ds8.htm"/>
      <w:bookmarkStart w:id="1" w:name="ksd918958ds8"/>
      <w:bookmarkEnd w:id="0"/>
      <w:bookmarkEnd w:id="1"/>
      <w:r>
        <w:rPr>
          <w:rFonts w:ascii="Times New Roman" w:hAnsi="Times New Roman"/>
          <w:b/>
          <w:sz w:val="20"/>
        </w:rPr>
        <w:t xml:space="preserve">As filed with the Securities and Exchange Commission on February 26,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27-0690799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141 Tremont St #10</w:t>
            </w:r>
          </w:p>
          <w:p>
            <w:pPr>
              <w:pStyle w:val="TableContents"/>
              <w:bidi w:val="0"/>
              <w:spacing w:before="0" w:after="20"/>
              <w:jc w:val="center"/>
              <w:rPr>
                <w:rFonts w:ascii="Times New Roman" w:hAnsi="Times New Roman"/>
                <w:b/>
                <w:sz w:val="20"/>
              </w:rPr>
            </w:pPr>
            <w:r>
              <w:rPr>
                <w:rFonts w:ascii="Times New Roman" w:hAnsi="Times New Roman"/>
                <w:b/>
                <w:sz w:val="20"/>
              </w:rPr>
              <w:t>Boston, MA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02111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Flywire Corporation 2021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Flywire Corporation 2021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240" w:after="0"/>
        <w:jc w:val="center"/>
        <w:rPr>
          <w:rFonts w:ascii="Times New Roman" w:hAnsi="Times New Roman"/>
          <w:b/>
          <w:sz w:val="20"/>
        </w:rPr>
      </w:pPr>
      <w:r>
        <w:rPr>
          <w:rFonts w:ascii="Times New Roman" w:hAnsi="Times New Roman"/>
          <w:b/>
          <w:sz w:val="20"/>
        </w:rPr>
        <w:t xml:space="preserve">Michael Massaro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141 Tremont St #10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02111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(617) 329-4524</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David D. Gammell</w:t>
            </w:r>
          </w:p>
          <w:p>
            <w:pPr>
              <w:pStyle w:val="TableContents"/>
              <w:bidi w:val="0"/>
              <w:spacing w:before="0" w:after="0"/>
              <w:jc w:val="center"/>
              <w:rPr>
                <w:rFonts w:ascii="Times New Roman" w:hAnsi="Times New Roman"/>
                <w:b/>
                <w:sz w:val="20"/>
              </w:rPr>
            </w:pPr>
            <w:r>
              <w:rPr>
                <w:rFonts w:ascii="Times New Roman" w:hAnsi="Times New Roman"/>
                <w:b/>
                <w:sz w:val="20"/>
              </w:rPr>
              <w:t>Keith J. Scherer</w:t>
            </w:r>
          </w:p>
          <w:p>
            <w:pPr>
              <w:pStyle w:val="TableContents"/>
              <w:bidi w:val="0"/>
              <w:spacing w:before="0" w:after="0"/>
              <w:jc w:val="center"/>
              <w:rPr>
                <w:rFonts w:ascii="Times New Roman" w:hAnsi="Times New Roman"/>
                <w:b/>
                <w:sz w:val="20"/>
              </w:rPr>
            </w:pPr>
            <w:r>
              <w:rPr>
                <w:rFonts w:ascii="Times New Roman" w:hAnsi="Times New Roman"/>
                <w:b/>
                <w:sz w:val="20"/>
              </w:rPr>
              <w:t>John E. Maciejewski</w:t>
            </w:r>
          </w:p>
          <w:p>
            <w:pPr>
              <w:pStyle w:val="TableContents"/>
              <w:bidi w:val="0"/>
              <w:spacing w:before="0" w:after="0"/>
              <w:jc w:val="center"/>
              <w:rPr>
                <w:rFonts w:ascii="Times New Roman" w:hAnsi="Times New Roman"/>
                <w:b/>
                <w:sz w:val="20"/>
              </w:rPr>
            </w:pPr>
            <w:r>
              <w:rPr>
                <w:rFonts w:ascii="Times New Roman" w:hAnsi="Times New Roman"/>
                <w:b/>
                <w:sz w:val="20"/>
              </w:rPr>
              <w:t>Gunderson Dettmer Stough Villeneuve</w:t>
            </w:r>
          </w:p>
          <w:p>
            <w:pPr>
              <w:pStyle w:val="TableContents"/>
              <w:bidi w:val="0"/>
              <w:spacing w:before="0" w:after="0"/>
              <w:jc w:val="center"/>
              <w:rPr>
                <w:rFonts w:ascii="Times New Roman" w:hAnsi="Times New Roman"/>
                <w:b/>
                <w:sz w:val="20"/>
              </w:rPr>
            </w:pPr>
            <w:r>
              <w:rPr>
                <w:rFonts w:ascii="Times New Roman" w:hAnsi="Times New Roman"/>
                <w:b/>
                <w:sz w:val="20"/>
              </w:rPr>
              <w:t>Franklin &amp; Hachigian, LLP</w:t>
            </w:r>
          </w:p>
          <w:p>
            <w:pPr>
              <w:pStyle w:val="TableContents"/>
              <w:bidi w:val="0"/>
              <w:spacing w:before="0" w:after="0"/>
              <w:jc w:val="center"/>
              <w:rPr>
                <w:rFonts w:ascii="Times New Roman" w:hAnsi="Times New Roman"/>
                <w:b/>
                <w:sz w:val="20"/>
              </w:rPr>
            </w:pPr>
            <w:r>
              <w:rPr>
                <w:rFonts w:ascii="Times New Roman" w:hAnsi="Times New Roman"/>
                <w:b/>
                <w:sz w:val="20"/>
              </w:rPr>
              <w:t>One Marina Park Drive, Suite 900</w:t>
            </w:r>
          </w:p>
          <w:p>
            <w:pPr>
              <w:pStyle w:val="TableContents"/>
              <w:bidi w:val="0"/>
              <w:spacing w:before="0" w:after="0"/>
              <w:jc w:val="center"/>
              <w:rPr>
                <w:rFonts w:ascii="Times New Roman" w:hAnsi="Times New Roman"/>
                <w:b/>
                <w:sz w:val="20"/>
              </w:rPr>
            </w:pPr>
            <w:r>
              <w:rPr>
                <w:rFonts w:ascii="Times New Roman" w:hAnsi="Times New Roman"/>
                <w:b/>
                <w:sz w:val="20"/>
              </w:rPr>
              <w:t>Boston, MA 02210</w:t>
            </w:r>
          </w:p>
          <w:p>
            <w:pPr>
              <w:pStyle w:val="TableContents"/>
              <w:bidi w:val="0"/>
              <w:spacing w:before="0" w:after="20"/>
              <w:jc w:val="center"/>
              <w:rPr>
                <w:rFonts w:ascii="Times New Roman" w:hAnsi="Times New Roman"/>
                <w:b/>
                <w:sz w:val="20"/>
              </w:rPr>
            </w:pPr>
            <w:r>
              <w:rPr>
                <w:rFonts w:ascii="Times New Roman" w:hAnsi="Times New Roman"/>
                <w:b/>
                <w:sz w:val="20"/>
              </w:rPr>
              <w:t>(617) 648-9100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Peter Butterfield</w:t>
            </w:r>
          </w:p>
          <w:p>
            <w:pPr>
              <w:pStyle w:val="TableContents"/>
              <w:bidi w:val="0"/>
              <w:spacing w:before="0" w:after="0"/>
              <w:jc w:val="center"/>
              <w:rPr>
                <w:rFonts w:ascii="Times New Roman" w:hAnsi="Times New Roman"/>
                <w:b/>
                <w:sz w:val="20"/>
              </w:rPr>
            </w:pPr>
            <w:r>
              <w:rPr>
                <w:rFonts w:ascii="Times New Roman" w:hAnsi="Times New Roman"/>
                <w:b/>
                <w:sz w:val="20"/>
              </w:rPr>
              <w:t>General Counsel &amp; Chief</w:t>
              <w:br/>
              <w:t>Compliance Officer</w:t>
            </w:r>
          </w:p>
          <w:p>
            <w:pPr>
              <w:pStyle w:val="TableContents"/>
              <w:bidi w:val="0"/>
              <w:spacing w:before="0" w:after="0"/>
              <w:jc w:val="center"/>
              <w:rPr>
                <w:rFonts w:ascii="Times New Roman" w:hAnsi="Times New Roman"/>
                <w:b/>
                <w:sz w:val="20"/>
              </w:rPr>
            </w:pPr>
            <w:r>
              <w:rPr>
                <w:rFonts w:ascii="Times New Roman" w:hAnsi="Times New Roman"/>
                <w:b/>
                <w:sz w:val="20"/>
              </w:rPr>
              <w:t>Flywire Corporation</w:t>
            </w:r>
          </w:p>
          <w:p>
            <w:pPr>
              <w:pStyle w:val="TableContents"/>
              <w:bidi w:val="0"/>
              <w:spacing w:before="0" w:after="0"/>
              <w:jc w:val="center"/>
              <w:rPr>
                <w:rFonts w:ascii="Times New Roman" w:hAnsi="Times New Roman"/>
                <w:b/>
                <w:sz w:val="20"/>
              </w:rPr>
            </w:pPr>
            <w:r>
              <w:rPr>
                <w:rFonts w:ascii="Times New Roman" w:hAnsi="Times New Roman"/>
                <w:b/>
                <w:sz w:val="20"/>
              </w:rPr>
              <w:t>141 Tremont St #10</w:t>
            </w:r>
          </w:p>
          <w:p>
            <w:pPr>
              <w:pStyle w:val="TableContents"/>
              <w:bidi w:val="0"/>
              <w:spacing w:before="0" w:after="0"/>
              <w:jc w:val="center"/>
              <w:rPr>
                <w:rFonts w:ascii="Times New Roman" w:hAnsi="Times New Roman"/>
                <w:b/>
                <w:sz w:val="20"/>
              </w:rPr>
            </w:pPr>
            <w:r>
              <w:rPr>
                <w:rFonts w:ascii="Times New Roman" w:hAnsi="Times New Roman"/>
                <w:b/>
                <w:sz w:val="20"/>
              </w:rPr>
              <w:t>Boston, MA 02111</w:t>
            </w:r>
          </w:p>
          <w:p>
            <w:pPr>
              <w:pStyle w:val="TableContents"/>
              <w:bidi w:val="0"/>
              <w:spacing w:before="0" w:after="20"/>
              <w:jc w:val="center"/>
              <w:rPr>
                <w:rFonts w:ascii="Times New Roman" w:hAnsi="Times New Roman"/>
                <w:b/>
                <w:sz w:val="20"/>
              </w:rPr>
            </w:pPr>
            <w:r>
              <w:rPr>
                <w:rFonts w:ascii="Times New Roman" w:hAnsi="Times New Roman"/>
                <w:b/>
                <w:sz w:val="20"/>
              </w:rPr>
              <w:t>(617) 329-4524</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pPr>
      <w:r>
        <w:rPr>
          <w:rFonts w:ascii="Times New Roman" w:hAnsi="Times New Roman"/>
          <w:sz w:val="20"/>
        </w:rPr>
        <w:t xml:space="preserve">This Registration Statement on Form S-8 registers additional shares of voting common stock to be issued pursuant to the Registrants 2021 Equity Incentive Plan and 2021 Employee Stock Purchase Plan. The information contained in the Registrants registration statement on Form S-8 (SEC File Nos. </w:t>
      </w:r>
      <w:hyperlink r:id="rId2">
        <w:r>
          <w:rPr>
            <w:rStyle w:val="InternetLink"/>
            <w:rFonts w:ascii="Times New Roman" w:hAnsi="Times New Roman"/>
            <w:sz w:val="20"/>
          </w:rPr>
          <w:t>333-256695</w:t>
        </w:r>
      </w:hyperlink>
      <w:r>
        <w:rPr>
          <w:rFonts w:ascii="Times New Roman" w:hAnsi="Times New Roman"/>
          <w:sz w:val="20"/>
        </w:rPr>
        <w:t xml:space="preserve">, </w:t>
      </w:r>
      <w:hyperlink r:id="rId3">
        <w:r>
          <w:rPr>
            <w:rStyle w:val="InternetLink"/>
            <w:rFonts w:ascii="Times New Roman" w:hAnsi="Times New Roman"/>
            <w:sz w:val="20"/>
          </w:rPr>
          <w:t>333-263956</w:t>
        </w:r>
      </w:hyperlink>
      <w:r>
        <w:rPr>
          <w:rFonts w:ascii="Times New Roman" w:hAnsi="Times New Roman"/>
          <w:sz w:val="20"/>
        </w:rPr>
        <w:t xml:space="preserve">, </w:t>
      </w:r>
      <w:hyperlink r:id="rId4">
        <w:r>
          <w:rPr>
            <w:rStyle w:val="InternetLink"/>
            <w:rFonts w:ascii="Times New Roman" w:hAnsi="Times New Roman"/>
            <w:sz w:val="20"/>
          </w:rPr>
          <w:t>333-270587</w:t>
        </w:r>
      </w:hyperlink>
      <w:r>
        <w:rPr>
          <w:rFonts w:ascii="Times New Roman" w:hAnsi="Times New Roman"/>
          <w:sz w:val="20"/>
        </w:rPr>
        <w:t xml:space="preserve"> and </w:t>
      </w:r>
      <w:hyperlink r:id="rId5">
        <w:r>
          <w:rPr>
            <w:rStyle w:val="InternetLink"/>
            <w:rFonts w:ascii="Times New Roman" w:hAnsi="Times New Roman"/>
            <w:sz w:val="20"/>
          </w:rPr>
          <w:t>333-277440</w:t>
        </w:r>
      </w:hyperlink>
      <w:r>
        <w:rPr>
          <w:rFonts w:ascii="Times New Roman" w:hAnsi="Times New Roman"/>
          <w:sz w:val="20"/>
        </w:rPr>
        <w:t>), together with all exhibits filed therewith or incorporated therein by reference, are hereby incorporated by reference pursuant to General Instruction E to Form S-8.</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8. </w:t>
      </w:r>
      <w:r>
        <w:rPr>
          <w:rFonts w:ascii="Times New Roman" w:hAnsi="Times New Roman"/>
          <w:b/>
          <w:sz w:val="20"/>
          <w:u w:val="single"/>
        </w:rPr>
        <w:t>Exhibits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473"/>
        <w:gridCol w:w="8847"/>
      </w:tblGrid>
      <w:tr>
        <w:trPr/>
        <w:tc>
          <w:tcPr>
            <w:tcW w:w="885"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8847"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73" w:type="dxa"/>
            <w:tcBorders/>
            <w:vAlign w:val="bottom"/>
          </w:tcPr>
          <w:p>
            <w:pPr>
              <w:pStyle w:val="TableContents"/>
              <w:bidi w:val="0"/>
              <w:spacing w:before="0" w:after="283"/>
              <w:jc w:val="left"/>
              <w:rPr/>
            </w:pPr>
            <w:r>
              <w:rPr/>
              <w:t>  </w:t>
            </w:r>
          </w:p>
        </w:tc>
        <w:tc>
          <w:tcPr>
            <w:tcW w:w="88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5.1*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918958dex51.htm">
              <w:r>
                <w:rPr>
                  <w:rStyle w:val="InternetLink"/>
                </w:rPr>
                <w:t xml:space="preserve">Opinion of Gunderson Dettmer Stough Villeneuve Franklin &amp; Hachigian, LLP.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23.1*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918958dex231.htm">
              <w:r>
                <w:rPr>
                  <w:rStyle w:val="InternetLink"/>
                </w:rPr>
                <w:t xml:space="preserve">Consent of PricewaterhouseCoopers LLP, independent registered public accounting firm.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23.2*</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918958dex51.htm">
              <w:r>
                <w:rPr>
                  <w:rStyle w:val="InternetLink"/>
                </w:rPr>
                <w:t xml:space="preserve">Consent of Gunderson Dettmer Stough Villeneuve Franklin &amp; Hachigian, LLP (included in Exhibit 5.1).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24.1*</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sig">
              <w:r>
                <w:rPr>
                  <w:rStyle w:val="InternetLink"/>
                </w:rPr>
                <w:t xml:space="preserve">Power of Attorney (included in the signature page to the registration statement).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107*</w:t>
            </w:r>
          </w:p>
        </w:tc>
        <w:tc>
          <w:tcPr>
            <w:tcW w:w="473"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hyperlink w:anchor="d91895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26th day of February,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0"/>
        <w:gridCol w:w="60"/>
        <w:gridCol w:w="3642"/>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FLYWIRE CORPORATION</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Massaro</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Michael Massaro</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Michael Massaro and Cosmin Pitigoi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undersigned has executed this Power of Attorney as of the date indicated.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on behalf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7"/>
        <w:gridCol w:w="121"/>
        <w:gridCol w:w="4300"/>
        <w:gridCol w:w="106"/>
        <w:gridCol w:w="1921"/>
      </w:tblGrid>
      <w:tr>
        <w:trPr/>
        <w:tc>
          <w:tcPr>
            <w:tcW w:w="37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0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b/>
              </w:rPr>
            </w:pPr>
            <w:r>
              <w:rPr>
                <w:b/>
              </w:rPr>
              <w:t>Signature</w:t>
            </w:r>
          </w:p>
        </w:tc>
        <w:tc>
          <w:tcPr>
            <w:tcW w:w="121" w:type="dxa"/>
            <w:tcBorders/>
            <w:vAlign w:val="bottom"/>
          </w:tcPr>
          <w:p>
            <w:pPr>
              <w:pStyle w:val="TableContents"/>
              <w:bidi w:val="0"/>
              <w:spacing w:before="0" w:after="283"/>
              <w:jc w:val="left"/>
              <w:rPr/>
            </w:pPr>
            <w:r>
              <w:rPr/>
              <w:t>  </w:t>
            </w:r>
          </w:p>
        </w:tc>
        <w:tc>
          <w:tcPr>
            <w:tcW w:w="4300" w:type="dxa"/>
            <w:tcBorders/>
            <w:vAlign w:val="bottom"/>
          </w:tcPr>
          <w:p>
            <w:pPr>
              <w:pStyle w:val="TableContents"/>
              <w:bidi w:val="0"/>
              <w:spacing w:before="0" w:after="283"/>
              <w:jc w:val="center"/>
              <w:rPr>
                <w:b/>
              </w:rPr>
            </w:pPr>
            <w:r>
              <w:rPr>
                <w:b/>
              </w:rPr>
              <w:t>Title</w:t>
            </w:r>
          </w:p>
        </w:tc>
        <w:tc>
          <w:tcPr>
            <w:tcW w:w="106"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center"/>
              <w:rPr>
                <w:b/>
              </w:rPr>
            </w:pPr>
            <w:r>
              <w:rPr>
                <w:b/>
              </w:rPr>
              <w:t>Date</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Massaro</w:t>
            </w:r>
          </w:p>
          <w:p>
            <w:pPr>
              <w:pStyle w:val="TableContents"/>
              <w:bidi w:val="0"/>
              <w:spacing w:before="0" w:after="20"/>
              <w:jc w:val="left"/>
              <w:rPr>
                <w:rFonts w:ascii="Times New Roman" w:hAnsi="Times New Roman"/>
                <w:sz w:val="20"/>
              </w:rPr>
            </w:pPr>
            <w:r>
              <w:rPr>
                <w:rFonts w:ascii="Times New Roman" w:hAnsi="Times New Roman"/>
                <w:sz w:val="20"/>
              </w:rPr>
              <w:t>Michael Massaro</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Cosmin Pitigoi</w:t>
            </w:r>
          </w:p>
          <w:p>
            <w:pPr>
              <w:pStyle w:val="TableContents"/>
              <w:bidi w:val="0"/>
              <w:spacing w:before="0" w:after="20"/>
              <w:jc w:val="left"/>
              <w:rPr>
                <w:rFonts w:ascii="Times New Roman" w:hAnsi="Times New Roman"/>
                <w:sz w:val="20"/>
              </w:rPr>
            </w:pPr>
            <w:r>
              <w:rPr>
                <w:rFonts w:ascii="Times New Roman" w:hAnsi="Times New Roman"/>
                <w:sz w:val="20"/>
              </w:rPr>
              <w:t>Cosmin Pitigoi</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Officer and Principal Accounting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Phillip Riese</w:t>
            </w:r>
          </w:p>
          <w:p>
            <w:pPr>
              <w:pStyle w:val="TableContents"/>
              <w:bidi w:val="0"/>
              <w:spacing w:before="0" w:after="20"/>
              <w:jc w:val="left"/>
              <w:rPr>
                <w:rFonts w:ascii="Times New Roman" w:hAnsi="Times New Roman"/>
                <w:sz w:val="20"/>
              </w:rPr>
            </w:pPr>
            <w:r>
              <w:rPr>
                <w:rFonts w:ascii="Times New Roman" w:hAnsi="Times New Roman"/>
                <w:sz w:val="20"/>
              </w:rPr>
              <w:t>Phillip Riese</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Chairman of the Board of Directors</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Finkelstein</w:t>
            </w:r>
          </w:p>
          <w:p>
            <w:pPr>
              <w:pStyle w:val="TableContents"/>
              <w:bidi w:val="0"/>
              <w:spacing w:before="0" w:after="20"/>
              <w:jc w:val="left"/>
              <w:rPr>
                <w:rFonts w:ascii="Times New Roman" w:hAnsi="Times New Roman"/>
                <w:sz w:val="20"/>
              </w:rPr>
            </w:pPr>
            <w:r>
              <w:rPr>
                <w:rFonts w:ascii="Times New Roman" w:hAnsi="Times New Roman"/>
                <w:sz w:val="20"/>
              </w:rPr>
              <w:t>Alex Finkelstein</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 Harris</w:t>
            </w:r>
          </w:p>
          <w:p>
            <w:pPr>
              <w:pStyle w:val="TableContents"/>
              <w:bidi w:val="0"/>
              <w:spacing w:before="0" w:after="20"/>
              <w:jc w:val="left"/>
              <w:rPr>
                <w:rFonts w:ascii="Times New Roman" w:hAnsi="Times New Roman"/>
                <w:sz w:val="20"/>
              </w:rPr>
            </w:pPr>
            <w:r>
              <w:rPr>
                <w:rFonts w:ascii="Times New Roman" w:hAnsi="Times New Roman"/>
                <w:sz w:val="20"/>
              </w:rPr>
              <w:t>Matt Harris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Gretchen Howard</w:t>
            </w:r>
          </w:p>
          <w:p>
            <w:pPr>
              <w:pStyle w:val="TableContents"/>
              <w:bidi w:val="0"/>
              <w:spacing w:before="0" w:after="20"/>
              <w:jc w:val="left"/>
              <w:rPr>
                <w:rFonts w:ascii="Times New Roman" w:hAnsi="Times New Roman"/>
                <w:sz w:val="20"/>
              </w:rPr>
            </w:pPr>
            <w:r>
              <w:rPr>
                <w:rFonts w:ascii="Times New Roman" w:hAnsi="Times New Roman"/>
                <w:sz w:val="20"/>
              </w:rPr>
              <w:t>Gretchen Howard</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Carleigh Jaques</w:t>
            </w:r>
          </w:p>
          <w:p>
            <w:pPr>
              <w:pStyle w:val="TableContents"/>
              <w:bidi w:val="0"/>
              <w:spacing w:before="0" w:after="20"/>
              <w:jc w:val="left"/>
              <w:rPr>
                <w:rFonts w:ascii="Times New Roman" w:hAnsi="Times New Roman"/>
                <w:sz w:val="20"/>
              </w:rPr>
            </w:pPr>
            <w:r>
              <w:rPr>
                <w:rFonts w:ascii="Times New Roman" w:hAnsi="Times New Roman"/>
                <w:sz w:val="20"/>
              </w:rPr>
              <w:t>Carleigh Jaques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Diane Offereins</w:t>
            </w:r>
          </w:p>
          <w:p>
            <w:pPr>
              <w:pStyle w:val="TableContents"/>
              <w:bidi w:val="0"/>
              <w:spacing w:before="0" w:after="20"/>
              <w:jc w:val="left"/>
              <w:rPr>
                <w:rFonts w:ascii="Times New Roman" w:hAnsi="Times New Roman"/>
                <w:sz w:val="20"/>
              </w:rPr>
            </w:pPr>
            <w:r>
              <w:rPr>
                <w:rFonts w:ascii="Times New Roman" w:hAnsi="Times New Roman"/>
                <w:sz w:val="20"/>
              </w:rPr>
              <w:t>Diane Offereins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Edwin Santos</w:t>
            </w:r>
          </w:p>
          <w:p>
            <w:pPr>
              <w:pStyle w:val="TableContents"/>
              <w:bidi w:val="0"/>
              <w:spacing w:before="0" w:after="20"/>
              <w:jc w:val="left"/>
              <w:rPr>
                <w:rFonts w:ascii="Times New Roman" w:hAnsi="Times New Roman"/>
                <w:sz w:val="20"/>
              </w:rPr>
            </w:pPr>
            <w:r>
              <w:rPr>
                <w:rFonts w:ascii="Times New Roman" w:hAnsi="Times New Roman"/>
                <w:sz w:val="20"/>
              </w:rPr>
              <w:t>Edwin Santos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26, 2025</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3" w:name="d918958dex51.htm"/>
      <w:bookmarkStart w:id="4" w:name="ksd91895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8"/>
        <w:gridCol w:w="121"/>
        <w:gridCol w:w="2673"/>
        <w:gridCol w:w="121"/>
        <w:gridCol w:w="3442"/>
      </w:tblGrid>
      <w:tr>
        <w:trPr/>
        <w:tc>
          <w:tcPr>
            <w:tcW w:w="38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3848" w:type="dxa"/>
            <w:tcBorders/>
          </w:tcPr>
          <w:p>
            <w:pPr>
              <w:pStyle w:val="TableContents"/>
              <w:bidi w:val="0"/>
              <w:spacing w:before="0" w:after="283"/>
              <w:jc w:val="left"/>
              <w:rPr/>
            </w:pPr>
            <w:r>
              <w:rPr/>
              <w:drawing>
                <wp:inline distT="0" distB="0" distL="0" distR="0">
                  <wp:extent cx="18573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857375"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6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42" w:type="dxa"/>
            <w:tcBorders/>
          </w:tcPr>
          <w:p>
            <w:pPr>
              <w:pStyle w:val="TableContents"/>
              <w:bidi w:val="0"/>
              <w:spacing w:before="0" w:after="283"/>
              <w:jc w:val="right"/>
              <w:rPr/>
            </w:pPr>
            <w:r>
              <w:rPr/>
              <w:drawing>
                <wp:inline distT="0" distB="0" distL="0" distR="0">
                  <wp:extent cx="170497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704975" cy="76200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February 26, 2025 </w:t>
      </w:r>
    </w:p>
    <w:p>
      <w:pPr>
        <w:pStyle w:val="TextBody"/>
        <w:bidi w:val="0"/>
        <w:spacing w:before="240" w:after="0"/>
        <w:jc w:val="left"/>
        <w:rPr>
          <w:rFonts w:ascii="Times New Roman" w:hAnsi="Times New Roman"/>
          <w:sz w:val="20"/>
        </w:rPr>
      </w:pPr>
      <w:r>
        <w:rPr>
          <w:rFonts w:ascii="Times New Roman" w:hAnsi="Times New Roman"/>
          <w:sz w:val="20"/>
        </w:rPr>
        <w:t xml:space="preserve">Flywire Corporation </w:t>
      </w:r>
    </w:p>
    <w:p>
      <w:pPr>
        <w:pStyle w:val="TextBody"/>
        <w:bidi w:val="0"/>
        <w:spacing w:before="0" w:after="0"/>
        <w:jc w:val="left"/>
        <w:rPr>
          <w:rFonts w:ascii="Times New Roman" w:hAnsi="Times New Roman"/>
          <w:sz w:val="20"/>
        </w:rPr>
      </w:pPr>
      <w:r>
        <w:rPr>
          <w:rFonts w:ascii="Times New Roman" w:hAnsi="Times New Roman"/>
          <w:sz w:val="20"/>
        </w:rPr>
        <w:t xml:space="preserve">141 Tremont St #10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Corporation Registration Statement on Form S-8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7,442,741 shares of the Companys voting common stock, $0.0001 par value per share (the Shares), that are issuable by the Company (i) upon the exercise or settlement of awards granted or to be granted under the Companys 2021 Equity Incentive Plan and (ii) upon the exercise of purchase rights to acquire shares of voting common stock pursuant to the Companys 2021 Employee Stock Purchase Plan. The Companys 2021 Equity Incentive Plan and 2021 Employee Stock Purchase Plan are collectively referred to in this letter as the Plans. </w:t>
      </w:r>
    </w:p>
    <w:p>
      <w:pPr>
        <w:pStyle w:val="TextBody"/>
        <w:bidi w:val="0"/>
        <w:spacing w:before="240" w:after="0"/>
        <w:jc w:val="left"/>
        <w:rPr>
          <w:rFonts w:ascii="Times New Roman" w:hAnsi="Times New Roman"/>
          <w:sz w:val="20"/>
        </w:rPr>
      </w:pPr>
      <w:r>
        <w:rPr>
          <w:rFonts w:ascii="Times New Roman" w:hAnsi="Times New Roman"/>
          <w:sz w:val="20"/>
        </w:rPr>
        <w:t xml:space="preserve">As your counsel, we have examined such matters of fact and questions of law as we have deemed necessary in order to render the opinion set forth herein. In connection with our opinion expressed below, we have relied as to certain factual matters on information obtained from public officials, officers of the Company and other sources believed by us to be responsible. We express no opinion as to matters governed by any laws other than the laws of the Delaware General Corporation Law and the federal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advise you that, in our opinion, when the Shares have been issued and sold pursuant to the applicable provisions of the Plans, and in accordance with the Registration Statement, such Shares will be validly issued, fully paid and nonassessable shares of the Companys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Gunderson Dettmer Stough Villeneuve</w:t>
            </w:r>
          </w:p>
          <w:p>
            <w:pPr>
              <w:pStyle w:val="TableContents"/>
              <w:bidi w:val="0"/>
              <w:spacing w:before="0" w:after="20"/>
              <w:jc w:val="left"/>
              <w:rPr>
                <w:rFonts w:ascii="Times New Roman" w:hAnsi="Times New Roman"/>
                <w:sz w:val="20"/>
              </w:rPr>
            </w:pPr>
            <w:r>
              <w:rPr>
                <w:rFonts w:ascii="Times New Roman" w:hAnsi="Times New Roman"/>
                <w:sz w:val="20"/>
              </w:rPr>
              <w:t>Franklin &amp; Hachigian, LLP</w:t>
            </w:r>
          </w:p>
        </w:tc>
      </w:tr>
      <w:tr>
        <w:trPr/>
        <w:tc>
          <w:tcPr>
            <w:tcW w:w="4082" w:type="dxa"/>
            <w:tcBorders/>
          </w:tcPr>
          <w:p>
            <w:pPr>
              <w:pStyle w:val="TableContents"/>
              <w:bidi w:val="0"/>
              <w:spacing w:before="0" w:after="283"/>
              <w:jc w:val="left"/>
              <w:rPr/>
            </w:pPr>
            <w:r>
              <w:rPr/>
              <w:t>GUNDERSON DETTMER STOUGH VILLENEUVE FRANKLIN &amp; HACHIGIAN, LLP</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5924550"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753350"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7753350" cy="1047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5" w:name="d918958dex231.htm"/>
      <w:bookmarkStart w:id="6" w:name="ksd918958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Flywire Corporation of our report dated February 25, 2025 relating to the financial statements and the effectiveness of internal control over financial reporting, which appears in Flywire Corporations Annual Report on Form 10-K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26, 2025 </w:t>
      </w:r>
    </w:p>
    <w:p>
      <w:pPr>
        <w:pStyle w:val="TextBody"/>
        <w:bidi w:val="0"/>
        <w:spacing w:before="0" w:after="0"/>
        <w:jc w:val="right"/>
        <w:rPr>
          <w:rFonts w:ascii="Times New Roman" w:hAnsi="Times New Roman"/>
          <w:b/>
          <w:sz w:val="20"/>
        </w:rPr>
      </w:pPr>
      <w:bookmarkStart w:id="7" w:name="d918958dexfilingfees.htm"/>
      <w:bookmarkStart w:id="8" w:name="ksd918958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Calculation of Filing Fee Tables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 xml:space="preserve">Form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S-8</w:t>
      </w:r>
    </w:p>
    <w:p>
      <w:pPr>
        <w:pStyle w:val="TextBody"/>
        <w:bidi w:val="0"/>
        <w:spacing w:before="0" w:after="0"/>
        <w:jc w:val="center"/>
        <w:rPr>
          <w:rFonts w:ascii="Times New Roman" w:hAnsi="Times New Roman"/>
          <w:spacing w:val="0"/>
          <w:sz w:val="20"/>
          <w:u w:val="single"/>
        </w:rPr>
      </w:pPr>
      <w:r>
        <w:rPr>
          <w:rFonts w:ascii="Times New Roman" w:hAnsi="Times New Roman"/>
          <w:spacing w:val="0"/>
          <w:sz w:val="20"/>
          <w:u w:val="single"/>
        </w:rPr>
        <w:t xml:space="preserve">(Form Type)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 xml:space="preserve">Flywire Corporation </w:t>
      </w:r>
    </w:p>
    <w:p>
      <w:pPr>
        <w:pStyle w:val="TextBody"/>
        <w:bidi w:val="0"/>
        <w:spacing w:before="0" w:after="0"/>
        <w:jc w:val="center"/>
        <w:rPr>
          <w:rFonts w:ascii="Times New Roman" w:hAnsi="Times New Roman"/>
          <w:spacing w:val="0"/>
          <w:sz w:val="20"/>
          <w:u w:val="single"/>
        </w:rPr>
      </w:pPr>
      <w:r>
        <w:rPr>
          <w:rFonts w:ascii="Times New Roman" w:hAnsi="Times New Roman"/>
          <w:spacing w:val="0"/>
          <w:sz w:val="20"/>
          <w:u w:val="single"/>
        </w:rPr>
        <w:t xml:space="preserve">(Exact name of Registrant as Specified in its Charter)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 xml:space="preserve">Table 1: Newly Registered Securities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4"/>
        <w:gridCol w:w="60"/>
        <w:gridCol w:w="1851"/>
        <w:gridCol w:w="60"/>
        <w:gridCol w:w="770"/>
        <w:gridCol w:w="60"/>
        <w:gridCol w:w="1163"/>
        <w:gridCol w:w="60"/>
        <w:gridCol w:w="1070"/>
        <w:gridCol w:w="60"/>
        <w:gridCol w:w="1640"/>
        <w:gridCol w:w="60"/>
        <w:gridCol w:w="1160"/>
        <w:gridCol w:w="60"/>
        <w:gridCol w:w="1177"/>
      </w:tblGrid>
      <w:tr>
        <w:trPr/>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954"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911"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3"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54" w:type="dxa"/>
            <w:tcBorders>
              <w:left w:val="single" w:sz="6" w:space="0" w:color="000000"/>
            </w:tcBorders>
            <w:tcMar>
              <w:left w:w="160" w:type="dxa"/>
            </w:tcMar>
            <w:vAlign w:val="center"/>
          </w:tcPr>
          <w:p>
            <w:pPr>
              <w:pStyle w:val="TableContents"/>
              <w:bidi w:val="0"/>
              <w:spacing w:before="0" w:after="283"/>
              <w:jc w:val="center"/>
              <w:rPr/>
            </w:pPr>
            <w:r>
              <w:rPr/>
              <w:t>Security 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20"/>
              <w:jc w:val="center"/>
              <w:rPr>
                <w:rFonts w:ascii="Times New Roman" w:hAnsi="Times New Roman"/>
                <w:sz w:val="14"/>
              </w:rPr>
            </w:pPr>
            <w:r>
              <w:rPr>
                <w:rFonts w:ascii="Times New Roman" w:hAnsi="Times New Roman"/>
                <w:sz w:val="14"/>
              </w:rPr>
              <w:t>Rule(4)</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center"/>
              <w:rPr/>
            </w:pPr>
            <w:r>
              <w:rPr/>
              <w:t>Amount</w:t>
              <w:br/>
              <w:t>Registered(1)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Proposed</w:t>
              <w:br/>
              <w:t>Maximum</w:t>
              <w:br/>
              <w:t>Offering</w:t>
              <w:br/>
              <w:t>Price Per</w:t>
              <w:br/>
              <w:t>Share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Maximum</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Fee</w:t>
              <w:br/>
              <w:t>Rate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7" w:type="dxa"/>
            <w:tcBorders>
              <w:right w:val="single" w:sz="6" w:space="0" w:color="000000"/>
            </w:tcBorders>
            <w:tcMar>
              <w:right w:w="40" w:type="dxa"/>
            </w:tcMar>
            <w:vAlign w:val="center"/>
          </w:tcPr>
          <w:p>
            <w:pPr>
              <w:pStyle w:val="TableContents"/>
              <w:bidi w:val="0"/>
              <w:spacing w:before="0" w:after="283"/>
              <w:jc w:val="center"/>
              <w:rPr/>
            </w:pPr>
            <w:r>
              <w:rPr/>
              <w:t>Amount of</w:t>
              <w:br/>
              <w:t>Registration</w:t>
              <w:br/>
              <w:t>Fee(5)</w:t>
            </w:r>
          </w:p>
        </w:tc>
      </w:tr>
      <w:tr>
        <w:trPr/>
        <w:tc>
          <w:tcPr>
            <w:tcW w:w="954"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911"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3"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54" w:type="dxa"/>
            <w:tcBorders>
              <w:left w:val="single" w:sz="6" w:space="0" w:color="000000"/>
            </w:tcBorders>
            <w:tcMar>
              <w:left w:w="160" w:type="dxa"/>
            </w:tcMar>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pPr>
            <w:r>
              <w:rPr/>
              <w:t>Voting common stock, par value $0.0001 per share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Rule 457(h)</w:t>
            </w:r>
          </w:p>
          <w:p>
            <w:pPr>
              <w:pStyle w:val="TableContents"/>
              <w:bidi w:val="0"/>
              <w:spacing w:before="0" w:after="20"/>
              <w:jc w:val="center"/>
              <w:rPr>
                <w:rFonts w:ascii="Times New Roman" w:hAnsi="Times New Roman"/>
                <w:sz w:val="20"/>
              </w:rPr>
            </w:pPr>
            <w:r>
              <w:rPr>
                <w:rFonts w:ascii="Times New Roman" w:hAnsi="Times New Roman"/>
                <w:sz w:val="20"/>
              </w:rPr>
              <w:t>Rule 457(c)</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center"/>
              <w:rPr/>
            </w:pPr>
            <w:r>
              <w:rPr/>
              <w:t>6,202,284 (2)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$19.3475 (4)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$119,998,689.69</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0.00015310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7" w:type="dxa"/>
            <w:tcBorders>
              <w:right w:val="single" w:sz="6" w:space="0" w:color="000000"/>
            </w:tcBorders>
            <w:tcMar>
              <w:right w:w="40" w:type="dxa"/>
            </w:tcMar>
            <w:vAlign w:val="center"/>
          </w:tcPr>
          <w:p>
            <w:pPr>
              <w:pStyle w:val="TableContents"/>
              <w:bidi w:val="0"/>
              <w:spacing w:before="0" w:after="283"/>
              <w:jc w:val="center"/>
              <w:rPr/>
            </w:pPr>
            <w:r>
              <w:rPr/>
              <w:t>$18,371.80</w:t>
            </w:r>
          </w:p>
        </w:tc>
      </w:tr>
      <w:tr>
        <w:trPr/>
        <w:tc>
          <w:tcPr>
            <w:tcW w:w="954"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911"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3"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54" w:type="dxa"/>
            <w:tcBorders>
              <w:left w:val="single" w:sz="6" w:space="0" w:color="000000"/>
            </w:tcBorders>
            <w:tcMar>
              <w:left w:w="160" w:type="dxa"/>
            </w:tcMar>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pPr>
            <w:r>
              <w:rPr/>
              <w:t>Voting common stock, par value $0.0001 per share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Rule 457(h)</w:t>
            </w:r>
          </w:p>
          <w:p>
            <w:pPr>
              <w:pStyle w:val="TableContents"/>
              <w:bidi w:val="0"/>
              <w:spacing w:before="0" w:after="20"/>
              <w:jc w:val="center"/>
              <w:rPr>
                <w:rFonts w:ascii="Times New Roman" w:hAnsi="Times New Roman"/>
                <w:sz w:val="20"/>
              </w:rPr>
            </w:pPr>
            <w:r>
              <w:rPr>
                <w:rFonts w:ascii="Times New Roman" w:hAnsi="Times New Roman"/>
                <w:sz w:val="20"/>
              </w:rPr>
              <w:t>Rule 457(c)</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center"/>
              <w:rPr/>
            </w:pPr>
            <w:r>
              <w:rPr/>
              <w:t>1,240,457 (3)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$16.4454 (4)</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$20,399,811.55</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0.00015310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7" w:type="dxa"/>
            <w:tcBorders>
              <w:right w:val="single" w:sz="6" w:space="0" w:color="000000"/>
            </w:tcBorders>
            <w:tcMar>
              <w:right w:w="40" w:type="dxa"/>
            </w:tcMar>
            <w:vAlign w:val="center"/>
          </w:tcPr>
          <w:p>
            <w:pPr>
              <w:pStyle w:val="TableContents"/>
              <w:bidi w:val="0"/>
              <w:spacing w:before="0" w:after="283"/>
              <w:jc w:val="center"/>
              <w:rPr/>
            </w:pPr>
            <w:r>
              <w:rPr/>
              <w:t>$3,123.21</w:t>
            </w:r>
          </w:p>
        </w:tc>
      </w:tr>
      <w:tr>
        <w:trPr/>
        <w:tc>
          <w:tcPr>
            <w:tcW w:w="4918"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918" w:type="dxa"/>
            <w:gridSpan w:val="7"/>
            <w:tcBorders>
              <w:left w:val="single" w:sz="6" w:space="0" w:color="000000"/>
            </w:tcBorders>
            <w:tcMar>
              <w:left w:w="160" w:type="dxa"/>
            </w:tcMar>
            <w:vAlign w:val="center"/>
          </w:tcPr>
          <w:p>
            <w:pPr>
              <w:pStyle w:val="TableContents"/>
              <w:bidi w:val="0"/>
              <w:spacing w:before="0" w:after="0"/>
              <w:jc w:val="center"/>
              <w:rPr>
                <w:b/>
                <w:spacing w:val="0"/>
              </w:rPr>
            </w:pPr>
            <w:r>
              <w:rPr>
                <w:b/>
                <w:spacing w:val="0"/>
              </w:rPr>
              <w:t>Total Offering Amounts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$140,398,501.24</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7" w:type="dxa"/>
            <w:tcBorders>
              <w:right w:val="single" w:sz="6" w:space="0" w:color="000000"/>
            </w:tcBorders>
            <w:tcMar>
              <w:right w:w="40" w:type="dxa"/>
            </w:tcMar>
            <w:vAlign w:val="center"/>
          </w:tcPr>
          <w:p>
            <w:pPr>
              <w:pStyle w:val="TableContents"/>
              <w:bidi w:val="0"/>
              <w:spacing w:before="0" w:after="283"/>
              <w:jc w:val="center"/>
              <w:rPr/>
            </w:pPr>
            <w:r>
              <w:rPr/>
              <w:t>$21,495.01</w:t>
            </w:r>
          </w:p>
        </w:tc>
      </w:tr>
      <w:tr>
        <w:trPr/>
        <w:tc>
          <w:tcPr>
            <w:tcW w:w="4918"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918" w:type="dxa"/>
            <w:gridSpan w:val="7"/>
            <w:tcBorders>
              <w:left w:val="single" w:sz="6" w:space="0" w:color="000000"/>
            </w:tcBorders>
            <w:tcMar>
              <w:left w:w="160" w:type="dxa"/>
            </w:tcMar>
            <w:vAlign w:val="center"/>
          </w:tcPr>
          <w:p>
            <w:pPr>
              <w:pStyle w:val="TableContents"/>
              <w:bidi w:val="0"/>
              <w:spacing w:before="0" w:after="0"/>
              <w:jc w:val="center"/>
              <w:rPr>
                <w:b/>
                <w:spacing w:val="0"/>
              </w:rPr>
            </w:pPr>
            <w:r>
              <w:rPr>
                <w:b/>
                <w:spacing w:val="0"/>
              </w:rPr>
              <w:t>Total Fee Offsets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7" w:type="dxa"/>
            <w:tcBorders>
              <w:right w:val="single" w:sz="6" w:space="0" w:color="000000"/>
            </w:tcBorders>
            <w:tcMar>
              <w:right w:w="40" w:type="dxa"/>
            </w:tcMar>
            <w:vAlign w:val="center"/>
          </w:tcPr>
          <w:p>
            <w:pPr>
              <w:pStyle w:val="TableContents"/>
              <w:bidi w:val="0"/>
              <w:spacing w:before="0" w:after="283"/>
              <w:jc w:val="center"/>
              <w:rPr/>
            </w:pPr>
            <w:r>
              <w:rPr/>
              <w:t>—</w:t>
            </w:r>
          </w:p>
        </w:tc>
      </w:tr>
      <w:tr>
        <w:trPr/>
        <w:tc>
          <w:tcPr>
            <w:tcW w:w="4918"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7"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918" w:type="dxa"/>
            <w:gridSpan w:val="7"/>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b/>
                <w:spacing w:val="0"/>
              </w:rPr>
            </w:pPr>
            <w:r>
              <w:rPr>
                <w:b/>
                <w:spacing w:val="0"/>
              </w:rPr>
              <w:t>Net Fee Due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7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$21,495.01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applicable</w:t>
            </w:r>
          </w:p>
          <w:p>
            <w:pPr>
              <w:pStyle w:val="TableContents"/>
              <w:bidi w:val="0"/>
              <w:spacing w:before="0" w:after="0"/>
              <w:jc w:val="left"/>
              <w:rPr>
                <w:rFonts w:ascii="Times New Roman" w:hAnsi="Times New Roman"/>
                <w:sz w:val="20"/>
              </w:rPr>
            </w:pPr>
            <w:r>
              <w:rPr>
                <w:rFonts w:ascii="Times New Roman" w:hAnsi="Times New Roman"/>
                <w:sz w:val="20"/>
              </w:rPr>
              <w:t xml:space="preserve">. Common Stock issuable under the 2021 EIP and 2021 ESPP were previously registered on a Registration Statement on June 2, 2021 (File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 333-256695),</w:t>
            </w:r>
          </w:p>
          <w:p>
            <w:pPr>
              <w:pStyle w:val="TableContents"/>
              <w:bidi w:val="0"/>
              <w:spacing w:before="0" w:after="0"/>
              <w:jc w:val="left"/>
              <w:rPr>
                <w:rFonts w:ascii="Times New Roman" w:hAnsi="Times New Roman"/>
                <w:sz w:val="20"/>
              </w:rPr>
            </w:pPr>
            <w:r>
              <w:rPr>
                <w:rFonts w:ascii="Times New Roman" w:hAnsi="Times New Roman"/>
                <w:sz w:val="20"/>
              </w:rPr>
              <w:t xml:space="preserve">March 29, 2022 (File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 333-263956),</w:t>
            </w:r>
          </w:p>
          <w:p>
            <w:pPr>
              <w:pStyle w:val="TableContents"/>
              <w:bidi w:val="0"/>
              <w:spacing w:before="0" w:after="0"/>
              <w:jc w:val="left"/>
              <w:rPr>
                <w:rFonts w:ascii="Times New Roman" w:hAnsi="Times New Roman"/>
                <w:sz w:val="20"/>
              </w:rPr>
            </w:pPr>
            <w:r>
              <w:rPr>
                <w:rFonts w:ascii="Times New Roman" w:hAnsi="Times New Roman"/>
                <w:sz w:val="20"/>
              </w:rPr>
              <w:t xml:space="preserve">March 16, 2023 (File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 333-270587)</w:t>
            </w:r>
          </w:p>
          <w:p>
            <w:pPr>
              <w:pStyle w:val="TableContents"/>
              <w:bidi w:val="0"/>
              <w:spacing w:before="0" w:after="0"/>
              <w:jc w:val="left"/>
              <w:rPr>
                <w:rFonts w:ascii="Times New Roman" w:hAnsi="Times New Roman"/>
                <w:sz w:val="20"/>
              </w:rPr>
            </w:pPr>
            <w:r>
              <w:rPr>
                <w:rFonts w:ascii="Times New Roman" w:hAnsi="Times New Roman"/>
                <w:sz w:val="20"/>
              </w:rPr>
              <w:t xml:space="preserve">and February 28, 2024 (File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 333-277440).</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6,202,284 shares of Common Stock that were automatically added to the shares reserved for issuance under the 2021 EIP on January 1, 2025 pursuant to an “evergreen” provision contained in the 2021 EIP (the “2021 EIP Evergreen Shares”). The number of shares of Common Stock available for issuance under the 2021 EIP is subject to an automatic annual increase on the first day of each fiscal year of the Registrant equal to the least of (i) 5% of the total number of Common Stock actually issued and outstanding on the last day of the preceding fiscal year, or (ii) a number of shares of Common Stock determined by the Registrant’s board of directors.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1,240,457 shares of Common Stock that were automatically added to the shares reserved for issuance under the 2021 ESPP on January 1, 2025 pursuant to an “evergreen” provision contained in the 2021 ESPP (the “2021 ESPP Evergreen Shares”). The number of shares of Common Stock ava</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ilab</w:t>
            </w:r>
          </w:p>
          <w:p>
            <w:pPr>
              <w:pStyle w:val="TableContents"/>
              <w:bidi w:val="0"/>
              <w:spacing w:before="0" w:after="0"/>
              <w:jc w:val="left"/>
              <w:rPr>
                <w:rFonts w:ascii="Times New Roman" w:hAnsi="Times New Roman"/>
                <w:sz w:val="20"/>
              </w:rPr>
            </w:pPr>
            <w:r>
              <w:rPr>
                <w:rFonts w:ascii="Times New Roman" w:hAnsi="Times New Roman"/>
                <w:sz w:val="20"/>
              </w:rPr>
              <w:t xml:space="preserve">le for issuance under the 2021 ESPP is subject to an automatic annual increase on the first day of each fiscal year of the Registrant equal to the least of (i) one percent (1%) of the total number of shares of Common Stock actually issued and outstanding on the last day of the preceding fiscal year, (ii) 2,000,000 shares of Common Stock, or (iii) a number of shares of Common Stock determined by the Registrant’s board of directors.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February 20, 2025,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February 20, 2025, as reported on the Nasdaq Global Select Market, which date is within five (5) business days prior to the filing of this Registration Statement, multiplied by 85%, which is the percentage of the price per share applicable to purchasers under the 2021 ESPP. </w:t>
            </w:r>
          </w:p>
        </w:tc>
      </w:tr>
    </w:tbl>
    <w:tbl>
      <w:tblPr>
        <w:tblW w:w="4000" w:type="dxa"/>
        <w:jc w:val="left"/>
        <w:tblInd w:w="0" w:type="dxa"/>
        <w:tblLayout w:type="fixed"/>
        <w:tblCellMar>
          <w:top w:w="0" w:type="dxa"/>
          <w:left w:w="0" w:type="dxa"/>
          <w:bottom w:w="0" w:type="dxa"/>
          <w:right w:w="0" w:type="dxa"/>
        </w:tblCellMar>
      </w:tblPr>
      <w:tblGrid>
        <w:gridCol w:w="305"/>
        <w:gridCol w:w="3695"/>
      </w:tblGrid>
      <w:tr>
        <w:trPr/>
        <w:tc>
          <w:tcPr>
            <w:tcW w:w="305" w:type="dxa"/>
            <w:tcBorders/>
            <w:vAlign w:val="center"/>
          </w:tcPr>
          <w:p>
            <w:pPr>
              <w:pStyle w:val="TableContents"/>
              <w:bidi w:val="0"/>
              <w:spacing w:before="0" w:after="283"/>
              <w:jc w:val="left"/>
              <w:rPr/>
            </w:pPr>
            <w:r>
              <w:rPr/>
              <w:t>(5)</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does not have any fee offsets.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80560/000119312521178839/d189841ds8.htm" TargetMode="External"/><Relationship Id="rId3" Type="http://schemas.openxmlformats.org/officeDocument/2006/relationships/hyperlink" Target="http://www.sec.gov/Archives/edgar/data/1580560/000119312522088234/d341773ds8.htm" TargetMode="External"/><Relationship Id="rId4" Type="http://schemas.openxmlformats.org/officeDocument/2006/relationships/hyperlink" Target="http://www.sec.gov/Archives/edgar/data/1580560/000119312523071515/d481801ds8.htm" TargetMode="External"/><Relationship Id="rId5" Type="http://schemas.openxmlformats.org/officeDocument/2006/relationships/hyperlink" Target="http://www.sec.gov/Archives/edgar/data/1580560/000119312524049652/d799194ds8.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1992</Words>
  <Characters>10529</Characters>
  <CharactersWithSpaces>12518</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