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GOLDMAN SACHS GROUP INC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 WEST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94"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4"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18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10282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280" w:hanging="3823"/>
        <w:spacing w:after="0" w:line="267"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96" w:lineRule="exact"/>
        <w:rPr>
          <w:sz w:val="24"/>
          <w:szCs w:val="24"/>
          <w:color w:val="auto"/>
        </w:rPr>
      </w:pPr>
    </w:p>
    <w:p>
      <w:pPr>
        <w:sectPr>
          <w:pgSz w:w="11900" w:h="16838" w:orient="portrait"/>
          <w:cols w:equalWidth="0" w:num="2">
            <w:col w:w="7020" w:space="720"/>
            <w:col w:w="33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2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tcPr>
          <w:p>
            <w:pPr>
              <w:ind w:left="5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124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260" w:type="dxa"/>
            <w:vAlign w:val="bottom"/>
          </w:tcPr>
          <w:p>
            <w:pPr>
              <w:spacing w:after="0"/>
              <w:rPr>
                <w:sz w:val="11"/>
                <w:szCs w:val="11"/>
                <w:color w:val="auto"/>
              </w:rPr>
            </w:pPr>
          </w:p>
        </w:tc>
        <w:tc>
          <w:tcPr>
            <w:tcW w:w="156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12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260" w:type="dxa"/>
            <w:vAlign w:val="bottom"/>
          </w:tcPr>
          <w:p>
            <w:pPr>
              <w:spacing w:after="0"/>
              <w:rPr>
                <w:sz w:val="11"/>
                <w:szCs w:val="11"/>
                <w:color w:val="auto"/>
              </w:rPr>
            </w:pPr>
          </w:p>
        </w:tc>
        <w:tc>
          <w:tcPr>
            <w:tcW w:w="156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12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2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12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166"/>
        </w:trPr>
        <w:tc>
          <w:tcPr>
            <w:tcW w:w="22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0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26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66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2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vMerge w:val="continue"/>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260" w:type="dxa"/>
            <w:vAlign w:val="bottom"/>
            <w:tcBorders>
              <w:bottom w:val="single" w:sz="8" w:color="2C2C2C"/>
            </w:tcBorders>
          </w:tcPr>
          <w:p>
            <w:pPr>
              <w:spacing w:after="0"/>
              <w:rPr>
                <w:sz w:val="15"/>
                <w:szCs w:val="15"/>
                <w:color w:val="auto"/>
              </w:rPr>
            </w:pPr>
          </w:p>
        </w:tc>
        <w:tc>
          <w:tcPr>
            <w:tcW w:w="156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124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9"/>
        </w:trPr>
        <w:tc>
          <w:tcPr>
            <w:tcW w:w="20" w:type="dxa"/>
            <w:vAlign w:val="bottom"/>
          </w:tcPr>
          <w:p>
            <w:pPr>
              <w:spacing w:after="0"/>
              <w:rPr>
                <w:sz w:val="21"/>
                <w:szCs w:val="21"/>
                <w:color w:val="auto"/>
              </w:rPr>
            </w:pPr>
          </w:p>
        </w:tc>
        <w:tc>
          <w:tcPr>
            <w:tcW w:w="26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00" w:type="dxa"/>
            <w:vAlign w:val="bottom"/>
            <w:gridSpan w:val="3"/>
            <w:vMerge w:val="restart"/>
          </w:tcPr>
          <w:p>
            <w:pPr>
              <w:ind w:left="220"/>
              <w:spacing w:after="0"/>
              <w:rPr>
                <w:sz w:val="20"/>
                <w:szCs w:val="20"/>
                <w:color w:val="auto"/>
              </w:rPr>
            </w:pPr>
            <w:r>
              <w:rPr>
                <w:rFonts w:ascii="Times New Roman" w:cs="Times New Roman" w:eastAsia="Times New Roman" w:hAnsi="Times New Roman"/>
                <w:sz w:val="17"/>
                <w:szCs w:val="17"/>
                <w:color w:val="0000FF"/>
              </w:rPr>
              <w:t>06/02/2022</w:t>
            </w: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vMerge w:val="restart"/>
          </w:tcPr>
          <w:p>
            <w:pPr>
              <w:ind w:left="560"/>
              <w:spacing w:after="0"/>
              <w:rPr>
                <w:sz w:val="20"/>
                <w:szCs w:val="20"/>
                <w:color w:val="auto"/>
              </w:rPr>
            </w:pPr>
            <w:r>
              <w:rPr>
                <w:rFonts w:ascii="Times New Roman" w:cs="Times New Roman" w:eastAsia="Times New Roman" w:hAnsi="Times New Roman"/>
                <w:sz w:val="13"/>
                <w:szCs w:val="13"/>
                <w:color w:val="0000FF"/>
              </w:rPr>
              <w:t>S</w:t>
            </w:r>
          </w:p>
        </w:tc>
        <w:tc>
          <w:tcPr>
            <w:tcW w:w="14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451,401</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vMerge w:val="restart"/>
          </w:tcPr>
          <w:p>
            <w:pPr>
              <w:ind w:left="2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20.48</w:t>
            </w:r>
          </w:p>
        </w:tc>
        <w:tc>
          <w:tcPr>
            <w:tcW w:w="7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1,996,137</w:t>
            </w:r>
          </w:p>
        </w:tc>
        <w:tc>
          <w:tcPr>
            <w:tcW w:w="920" w:type="dxa"/>
            <w:vAlign w:val="bottom"/>
            <w:vMerge w:val="restart"/>
          </w:tcPr>
          <w:p>
            <w:pPr>
              <w:ind w:left="620"/>
              <w:spacing w:after="0"/>
              <w:rPr>
                <w:sz w:val="20"/>
                <w:szCs w:val="20"/>
                <w:color w:val="auto"/>
              </w:rPr>
            </w:pPr>
            <w:r>
              <w:rPr>
                <w:rFonts w:ascii="Times New Roman" w:cs="Times New Roman" w:eastAsia="Times New Roman" w:hAnsi="Times New Roman"/>
                <w:sz w:val="17"/>
                <w:szCs w:val="17"/>
                <w:color w:val="0000FF"/>
              </w:rPr>
              <w:t>I</w:t>
            </w:r>
          </w:p>
        </w:tc>
        <w:tc>
          <w:tcPr>
            <w:tcW w:w="1540" w:type="dxa"/>
            <w:vAlign w:val="bottom"/>
            <w:gridSpan w:val="4"/>
          </w:tcPr>
          <w:p>
            <w:pPr>
              <w:ind w:left="240"/>
              <w:spacing w:after="0" w:line="249" w:lineRule="exact"/>
              <w:rPr>
                <w:sz w:val="20"/>
                <w:szCs w:val="20"/>
                <w:color w:val="auto"/>
              </w:rPr>
            </w:pPr>
            <w:r>
              <w:rPr>
                <w:rFonts w:ascii="Times New Roman" w:cs="Times New Roman" w:eastAsia="Times New Roman" w:hAnsi="Times New Roman"/>
                <w:sz w:val="17"/>
                <w:szCs w:val="17"/>
                <w:color w:val="0000FF"/>
              </w:rPr>
              <w:t>See footnote</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660" w:type="dxa"/>
            <w:vAlign w:val="bottom"/>
            <w:gridSpan w:val="4"/>
            <w:vMerge w:val="continue"/>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7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(2)(3)(4)</w:t>
            </w: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2"/>
          </w:tcPr>
          <w:p>
            <w:pPr>
              <w:spacing w:after="0"/>
              <w:rPr>
                <w:sz w:val="7"/>
                <w:szCs w:val="7"/>
                <w:color w:val="auto"/>
              </w:rPr>
            </w:pPr>
          </w:p>
        </w:tc>
        <w:tc>
          <w:tcPr>
            <w:tcW w:w="12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6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00" w:type="dxa"/>
            <w:vAlign w:val="bottom"/>
            <w:gridSpan w:val="3"/>
            <w:vMerge w:val="restart"/>
          </w:tcPr>
          <w:p>
            <w:pPr>
              <w:ind w:left="220"/>
              <w:spacing w:after="0"/>
              <w:rPr>
                <w:sz w:val="20"/>
                <w:szCs w:val="20"/>
                <w:color w:val="auto"/>
              </w:rPr>
            </w:pPr>
            <w:r>
              <w:rPr>
                <w:rFonts w:ascii="Times New Roman" w:cs="Times New Roman" w:eastAsia="Times New Roman" w:hAnsi="Times New Roman"/>
                <w:sz w:val="17"/>
                <w:szCs w:val="17"/>
                <w:color w:val="0000FF"/>
              </w:rPr>
              <w:t>06/03/2022</w:t>
            </w: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vMerge w:val="restart"/>
          </w:tcPr>
          <w:p>
            <w:pPr>
              <w:ind w:left="560"/>
              <w:spacing w:after="0"/>
              <w:rPr>
                <w:sz w:val="20"/>
                <w:szCs w:val="20"/>
                <w:color w:val="auto"/>
              </w:rPr>
            </w:pPr>
            <w:r>
              <w:rPr>
                <w:rFonts w:ascii="Times New Roman" w:cs="Times New Roman" w:eastAsia="Times New Roman" w:hAnsi="Times New Roman"/>
                <w:sz w:val="13"/>
                <w:szCs w:val="13"/>
                <w:color w:val="0000FF"/>
              </w:rPr>
              <w:t>S</w:t>
            </w:r>
          </w:p>
        </w:tc>
        <w:tc>
          <w:tcPr>
            <w:tcW w:w="14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64,401</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vMerge w:val="restart"/>
          </w:tcPr>
          <w:p>
            <w:pPr>
              <w:ind w:left="2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19.49</w:t>
            </w:r>
          </w:p>
        </w:tc>
        <w:tc>
          <w:tcPr>
            <w:tcW w:w="7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1,929,630</w:t>
            </w:r>
          </w:p>
        </w:tc>
        <w:tc>
          <w:tcPr>
            <w:tcW w:w="920" w:type="dxa"/>
            <w:vAlign w:val="bottom"/>
            <w:vMerge w:val="restart"/>
          </w:tcPr>
          <w:p>
            <w:pPr>
              <w:ind w:left="620"/>
              <w:spacing w:after="0"/>
              <w:rPr>
                <w:sz w:val="20"/>
                <w:szCs w:val="20"/>
                <w:color w:val="auto"/>
              </w:rPr>
            </w:pPr>
            <w:r>
              <w:rPr>
                <w:rFonts w:ascii="Times New Roman" w:cs="Times New Roman" w:eastAsia="Times New Roman" w:hAnsi="Times New Roman"/>
                <w:sz w:val="17"/>
                <w:szCs w:val="17"/>
                <w:color w:val="0000FF"/>
              </w:rPr>
              <w:t>I</w:t>
            </w:r>
          </w:p>
        </w:tc>
        <w:tc>
          <w:tcPr>
            <w:tcW w:w="1540" w:type="dxa"/>
            <w:vAlign w:val="bottom"/>
            <w:gridSpan w:val="4"/>
          </w:tcPr>
          <w:p>
            <w:pPr>
              <w:ind w:left="240"/>
              <w:spacing w:after="0" w:line="249" w:lineRule="exact"/>
              <w:rPr>
                <w:sz w:val="20"/>
                <w:szCs w:val="20"/>
                <w:color w:val="auto"/>
              </w:rPr>
            </w:pPr>
            <w:r>
              <w:rPr>
                <w:rFonts w:ascii="Times New Roman" w:cs="Times New Roman" w:eastAsia="Times New Roman" w:hAnsi="Times New Roman"/>
                <w:sz w:val="17"/>
                <w:szCs w:val="17"/>
                <w:color w:val="0000FF"/>
              </w:rPr>
              <w:t>See footnote</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660" w:type="dxa"/>
            <w:vAlign w:val="bottom"/>
            <w:gridSpan w:val="4"/>
            <w:vMerge w:val="continue"/>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7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(2)(3)(4)</w:t>
            </w: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540" w:type="dxa"/>
            <w:vAlign w:val="bottom"/>
            <w:tcBorders>
              <w:bottom w:val="single" w:sz="8" w:color="2C2C2C"/>
            </w:tcBorders>
            <w:gridSpan w:val="2"/>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140" w:type="dxa"/>
            <w:vAlign w:val="bottom"/>
            <w:tcBorders>
              <w:bottom w:val="single" w:sz="8" w:color="2C2C2C"/>
            </w:tcBorders>
            <w:gridSpan w:val="8"/>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8040" w:type="dxa"/>
            <w:vAlign w:val="bottom"/>
            <w:tcBorders>
              <w:top w:val="single" w:sz="8" w:color="2C2C2C"/>
            </w:tcBorders>
            <w:gridSpan w:val="16"/>
          </w:tcPr>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60" w:type="dxa"/>
            <w:vAlign w:val="bottom"/>
            <w:gridSpan w:val="12"/>
          </w:tcPr>
          <w:p>
            <w:pPr>
              <w:jc w:val="center"/>
              <w:ind w:right="61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4"/>
          </w:tcPr>
          <w:p>
            <w:pPr>
              <w:ind w:left="4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80" w:type="dxa"/>
            <w:vAlign w:val="bottom"/>
          </w:tcPr>
          <w:p>
            <w:pPr>
              <w:spacing w:after="0"/>
              <w:rPr>
                <w:sz w:val="15"/>
                <w:szCs w:val="15"/>
                <w:color w:val="auto"/>
              </w:rPr>
            </w:pP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4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8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760" w:type="dxa"/>
            <w:vAlign w:val="bottom"/>
          </w:tcPr>
          <w:p>
            <w:pPr>
              <w:spacing w:after="0"/>
              <w:rPr>
                <w:sz w:val="11"/>
                <w:szCs w:val="11"/>
                <w:color w:val="auto"/>
              </w:rPr>
            </w:pP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760" w:type="dxa"/>
            <w:vAlign w:val="bottom"/>
          </w:tcPr>
          <w:p>
            <w:pPr>
              <w:spacing w:after="0"/>
              <w:rPr>
                <w:sz w:val="11"/>
                <w:szCs w:val="11"/>
                <w:color w:val="auto"/>
              </w:rPr>
            </w:pP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ind w:left="4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4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80" w:type="dxa"/>
            <w:vAlign w:val="bottom"/>
          </w:tcPr>
          <w:p>
            <w:pPr>
              <w:spacing w:after="0"/>
              <w:rPr>
                <w:sz w:val="14"/>
                <w:szCs w:val="14"/>
                <w:color w:val="auto"/>
              </w:rPr>
            </w:pP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Title  Shares</w:t>
            </w: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7"/>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GOLDMAN SACHS GROUP INC</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4"/>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200 WEST STREET</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0000FF"/>
              </w:rPr>
              <w:t>10282</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4"/>
          </w:tcPr>
          <w:p>
            <w:pPr>
              <w:ind w:left="2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7"/>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GOLDMAN SACHS &amp; CO. LLC</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4"/>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200 WEST STREET</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0000FF"/>
              </w:rPr>
              <w:t>10282</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4"/>
          </w:tcPr>
          <w:p>
            <w:pPr>
              <w:ind w:left="2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tcBorders>
              <w:bottom w:val="single" w:sz="8" w:color="0000EE"/>
            </w:tcBorders>
            <w:gridSpan w:val="7"/>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Goldman Sachs PSI Global Holdings, LLC</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4"/>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-5750560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 WEST STREET</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6"/>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10282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StoneBridge 2020,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200 WEST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10282-2198</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-2209165</wp:posOffset>
            </wp:positionV>
            <wp:extent cx="2809240" cy="55886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5588635"/>
                    </a:xfrm>
                    <a:prstGeom prst="rect">
                      <a:avLst/>
                    </a:prstGeom>
                    <a:noFill/>
                  </pic:spPr>
                </pic:pic>
              </a:graphicData>
            </a:graphic>
          </wp:anchor>
        </w:drawing>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Stonebridge 2020 Offshore Holdings II,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120" w:type="dxa"/>
            <w:vAlign w:val="bottom"/>
          </w:tcPr>
          <w:p>
            <w:pPr>
              <w:ind w:left="22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200 WEST STREET</w:t>
            </w:r>
          </w:p>
        </w:tc>
        <w:tc>
          <w:tcPr>
            <w:tcW w:w="18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860" w:type="dxa"/>
            <w:vAlign w:val="bottom"/>
            <w:tcBorders>
              <w:bottom w:val="single" w:sz="8" w:color="9A9A9A"/>
            </w:tcBorders>
          </w:tcPr>
          <w:p>
            <w:pPr>
              <w:spacing w:after="0"/>
              <w:rPr>
                <w:sz w:val="18"/>
                <w:szCs w:val="18"/>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10282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Bridge Street Opportunity Advisors,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120" w:type="dxa"/>
            <w:vAlign w:val="bottom"/>
          </w:tcPr>
          <w:p>
            <w:pPr>
              <w:ind w:left="22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200 WEST STREET</w:t>
            </w:r>
          </w:p>
        </w:tc>
        <w:tc>
          <w:tcPr>
            <w:tcW w:w="18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860" w:type="dxa"/>
            <w:vAlign w:val="bottom"/>
            <w:tcBorders>
              <w:bottom w:val="single" w:sz="8" w:color="9A9A9A"/>
            </w:tcBorders>
          </w:tcPr>
          <w:p>
            <w:pPr>
              <w:spacing w:after="0"/>
              <w:rPr>
                <w:sz w:val="18"/>
                <w:szCs w:val="18"/>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10282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20" w:firstLine="7"/>
        <w:spacing w:after="0" w:line="244"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statement is being filed by The Goldman Sachs Group, Inc. ("GS Group"), Goldman Sachs &amp; Co. LLC ("Goldman Sachs"), Goldman Sachs PSI Global Holdings, LLC ("GSPSI"), StoneBridge 2020, L.P. ("SB Fund"), StoneBridge 2020 Offshore Holdings II, L.P. ("SB Fund Offshore" and, together with SB Fund, the "SB Funds") and Bridge Street Opportunity Advisors, L.L.C. ("Bridge Street"). Ms. Jo Natauri serves as a member of the Board of Directors of the Issuer and is an employee of GS Group. Each of GS Group, Goldman Sachs, GSPSI, the SB Funds and Bridge Street is a director by deputization of the Issuer for purposes of Section 16 of the Securities Exchange Act of 1934, as amended. Each Reporting Person disclaims beneficial ownership of the securities reported herein except to the extent of its pecuniary interest therein, if any. (Continued in Footnote 2 below)</w:t>
      </w:r>
    </w:p>
    <w:p>
      <w:pPr>
        <w:spacing w:after="0" w:line="26" w:lineRule="exact"/>
        <w:rPr>
          <w:rFonts w:ascii="Times New Roman" w:cs="Times New Roman" w:eastAsia="Times New Roman" w:hAnsi="Times New Roman"/>
          <w:sz w:val="13"/>
          <w:szCs w:val="13"/>
          <w:color w:val="008000"/>
        </w:rPr>
      </w:pPr>
    </w:p>
    <w:p>
      <w:pPr>
        <w:ind w:left="2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above). This report shall not be deemed an admission that any of the Reporting Persons are a member of a group or the beneficial owner of any securities not directly owned by the Reporting Person.</w:t>
      </w:r>
    </w:p>
    <w:p>
      <w:pPr>
        <w:spacing w:after="0" w:line="7" w:lineRule="exact"/>
        <w:rPr>
          <w:rFonts w:ascii="Times New Roman" w:cs="Times New Roman" w:eastAsia="Times New Roman" w:hAnsi="Times New Roman"/>
          <w:sz w:val="13"/>
          <w:szCs w:val="13"/>
          <w:color w:val="008000"/>
        </w:rPr>
      </w:pPr>
    </w:p>
    <w:p>
      <w:pPr>
        <w:ind w:left="20" w:right="14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Goldman Sachs is a subsidiary of GS Group. Goldman Sachs is the investment manager of the SB Funds, and Bridge Street is the general partner of the SB Funds. Each of Bridge Street and GSPSI is wholly owned by GS Group.</w:t>
      </w:r>
    </w:p>
    <w:p>
      <w:pPr>
        <w:spacing w:after="0" w:line="7" w:lineRule="exact"/>
        <w:rPr>
          <w:rFonts w:ascii="Times New Roman" w:cs="Times New Roman" w:eastAsia="Times New Roman" w:hAnsi="Times New Roman"/>
          <w:sz w:val="13"/>
          <w:szCs w:val="13"/>
          <w:color w:val="008000"/>
        </w:rPr>
      </w:pPr>
    </w:p>
    <w:p>
      <w:pPr>
        <w:ind w:left="20" w:right="32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Because of the relationships among GS Group, Goldman Sachs, Bridge Street, the SB Funds and GSPSI, each of GS Group and Goldman Sachs may be deemed a beneficial owner of the shares of Voting Common Stock held by GSPSI and the SB Funds, and Bridge Street may be deemed a beneficial owner of the shares of Voting Common Stock held by the SB Funds.</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ind w:left="6560"/>
        <w:spacing w:after="0" w:line="227" w:lineRule="auto"/>
        <w:rPr>
          <w:sz w:val="20"/>
          <w:szCs w:val="20"/>
          <w:color w:val="auto"/>
        </w:rPr>
      </w:pPr>
      <w:r>
        <w:rPr>
          <w:rFonts w:ascii="Times New Roman" w:cs="Times New Roman" w:eastAsia="Times New Roman" w:hAnsi="Times New Roman"/>
          <w:sz w:val="17"/>
          <w:szCs w:val="17"/>
          <w:color w:val="0000FF"/>
        </w:rPr>
        <w:t xml:space="preserve">/s/ Crystal Orgill, Attorney-in- </w:t>
      </w:r>
      <w:r>
        <w:rPr>
          <w:rFonts w:ascii="Times New Roman" w:cs="Times New Roman" w:eastAsia="Times New Roman" w:hAnsi="Times New Roman"/>
          <w:sz w:val="34"/>
          <w:szCs w:val="34"/>
          <w:color w:val="0000FF"/>
          <w:vertAlign w:val="subscript"/>
        </w:rPr>
        <w:t>06/06/2022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-27305</wp:posOffset>
            </wp:positionV>
            <wp:extent cx="13423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64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line="185" w:lineRule="auto"/>
        <w:rPr>
          <w:sz w:val="20"/>
          <w:szCs w:val="20"/>
          <w:color w:val="auto"/>
        </w:rPr>
      </w:pPr>
      <w:r>
        <w:rPr>
          <w:rFonts w:ascii="Times New Roman" w:cs="Times New Roman" w:eastAsia="Times New Roman" w:hAnsi="Times New Roman"/>
          <w:sz w:val="17"/>
          <w:szCs w:val="17"/>
          <w:color w:val="0000FF"/>
        </w:rPr>
        <w:t xml:space="preserve">/s/ Crystal Orgill, Attorney-in- </w:t>
      </w:r>
      <w:r>
        <w:rPr>
          <w:rFonts w:ascii="Times New Roman" w:cs="Times New Roman" w:eastAsia="Times New Roman" w:hAnsi="Times New Roman"/>
          <w:sz w:val="32"/>
          <w:szCs w:val="32"/>
          <w:color w:val="0000FF"/>
          <w:vertAlign w:val="subscript"/>
        </w:rPr>
        <w:t>06/06/2022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3423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64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line="185" w:lineRule="auto"/>
        <w:rPr>
          <w:sz w:val="20"/>
          <w:szCs w:val="20"/>
          <w:color w:val="auto"/>
        </w:rPr>
      </w:pPr>
      <w:r>
        <w:rPr>
          <w:rFonts w:ascii="Times New Roman" w:cs="Times New Roman" w:eastAsia="Times New Roman" w:hAnsi="Times New Roman"/>
          <w:sz w:val="17"/>
          <w:szCs w:val="17"/>
          <w:color w:val="0000FF"/>
        </w:rPr>
        <w:t xml:space="preserve">/s/ Crystal Orgill, Attorney-in- </w:t>
      </w:r>
      <w:r>
        <w:rPr>
          <w:rFonts w:ascii="Times New Roman" w:cs="Times New Roman" w:eastAsia="Times New Roman" w:hAnsi="Times New Roman"/>
          <w:sz w:val="32"/>
          <w:szCs w:val="32"/>
          <w:color w:val="0000FF"/>
          <w:vertAlign w:val="subscript"/>
        </w:rPr>
        <w:t>06/06/2022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3423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644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line="185" w:lineRule="auto"/>
        <w:rPr>
          <w:sz w:val="20"/>
          <w:szCs w:val="20"/>
          <w:color w:val="auto"/>
        </w:rPr>
      </w:pPr>
      <w:r>
        <w:rPr>
          <w:rFonts w:ascii="Times New Roman" w:cs="Times New Roman" w:eastAsia="Times New Roman" w:hAnsi="Times New Roman"/>
          <w:sz w:val="17"/>
          <w:szCs w:val="17"/>
          <w:color w:val="0000FF"/>
        </w:rPr>
        <w:t xml:space="preserve">/s/ Crystal Orgill, Attorney-in- </w:t>
      </w:r>
      <w:r>
        <w:rPr>
          <w:rFonts w:ascii="Times New Roman" w:cs="Times New Roman" w:eastAsia="Times New Roman" w:hAnsi="Times New Roman"/>
          <w:sz w:val="32"/>
          <w:szCs w:val="32"/>
          <w:color w:val="0000FF"/>
          <w:vertAlign w:val="subscript"/>
        </w:rPr>
        <w:t>06/06/2022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3423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644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line="185" w:lineRule="auto"/>
        <w:rPr>
          <w:sz w:val="20"/>
          <w:szCs w:val="20"/>
          <w:color w:val="auto"/>
        </w:rPr>
      </w:pPr>
      <w:r>
        <w:rPr>
          <w:rFonts w:ascii="Times New Roman" w:cs="Times New Roman" w:eastAsia="Times New Roman" w:hAnsi="Times New Roman"/>
          <w:sz w:val="17"/>
          <w:szCs w:val="17"/>
          <w:color w:val="0000FF"/>
        </w:rPr>
        <w:t xml:space="preserve">/s/ Crystal Orgill, Attorney-in- </w:t>
      </w:r>
      <w:r>
        <w:rPr>
          <w:rFonts w:ascii="Times New Roman" w:cs="Times New Roman" w:eastAsia="Times New Roman" w:hAnsi="Times New Roman"/>
          <w:sz w:val="32"/>
          <w:szCs w:val="32"/>
          <w:color w:val="0000FF"/>
          <w:vertAlign w:val="subscript"/>
        </w:rPr>
        <w:t>06/06/2022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3423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644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line="185" w:lineRule="auto"/>
        <w:rPr>
          <w:sz w:val="20"/>
          <w:szCs w:val="20"/>
          <w:color w:val="auto"/>
        </w:rPr>
      </w:pPr>
      <w:r>
        <w:rPr>
          <w:rFonts w:ascii="Times New Roman" w:cs="Times New Roman" w:eastAsia="Times New Roman" w:hAnsi="Times New Roman"/>
          <w:sz w:val="17"/>
          <w:szCs w:val="17"/>
          <w:color w:val="0000FF"/>
        </w:rPr>
        <w:t xml:space="preserve">/s/ Crystal Orgill, Attorney-in- </w:t>
      </w:r>
      <w:r>
        <w:rPr>
          <w:rFonts w:ascii="Times New Roman" w:cs="Times New Roman" w:eastAsia="Times New Roman" w:hAnsi="Times New Roman"/>
          <w:sz w:val="32"/>
          <w:szCs w:val="32"/>
          <w:color w:val="0000FF"/>
          <w:vertAlign w:val="subscript"/>
        </w:rPr>
        <w:t>06/06/2022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3423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644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20"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25" w:right="519" w:bottom="93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12" Type="http://schemas.openxmlformats.org/officeDocument/2006/relationships/hyperlink" Target="http://www.sec.gov/cgi-bin/browse-edgar?action=getcompany&amp;CIK=0000886982" TargetMode="External"/><Relationship Id="rId13" Type="http://schemas.openxmlformats.org/officeDocument/2006/relationships/hyperlink" Target="http://www.sec.gov/cgi-bin/browse-edgar?action=getcompany&amp;CIK=0001580560" TargetMode="External"/><Relationship Id="rId14" Type="http://schemas.openxmlformats.org/officeDocument/2006/relationships/hyperlink" Target="http://www.sec.gov/cgi-bin/browse-edgar?action=getcompany&amp;CIK=0000769993" TargetMode="External"/><Relationship Id="rId15" Type="http://schemas.openxmlformats.org/officeDocument/2006/relationships/hyperlink" Target="http://www.sec.gov/cgi-bin/browse-edgar?action=getcompany&amp;CIK=0001865223" TargetMode="External"/><Relationship Id="rId17" Type="http://schemas.openxmlformats.org/officeDocument/2006/relationships/hyperlink" Target="http://www.sec.gov/cgi-bin/browse-edgar?action=getcompany&amp;CIK=0001802332" TargetMode="External"/><Relationship Id="rId19" Type="http://schemas.openxmlformats.org/officeDocument/2006/relationships/hyperlink" Target="http://www.sec.gov/cgi-bin/browse-edgar?action=getcompany&amp;CIK=0001864626" TargetMode="External"/><Relationship Id="rId20" Type="http://schemas.openxmlformats.org/officeDocument/2006/relationships/hyperlink" Target="http://www.sec.gov/cgi-bin/browse-edgar?action=getcompany&amp;CIK=00016156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2022-06-06T18:06:45Z</dcterms:created>
  <dcterms:modified xsi:type="dcterms:W3CDTF">2022-06-06T18:06:45Z</dcterms:modified>
</cp:coreProperties>
</file>