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Voss Capital,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3773 RICHMOND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77046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Flywire Corp</w:t>
              </w:r>
            </w:hyperlink>
            <w:r>
              <w:rPr/>
              <w:t xml:space="preserve"> [ </w:t>
            </w:r>
            <w:r>
              <w:rPr>
                <w:rFonts w:ascii="Times;serif" w:hAnsi="Times;serif"/>
                <w:color w:val="0000FF"/>
                <w:sz w:val="24"/>
                <w:shd w:fill="FFFFFF" w:val="clear"/>
              </w:rPr>
              <w:t>FLYW</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476"/>
        <w:gridCol w:w="925"/>
        <w:gridCol w:w="798"/>
        <w:gridCol w:w="614"/>
        <w:gridCol w:w="327"/>
        <w:gridCol w:w="873"/>
        <w:gridCol w:w="377"/>
        <w:gridCol w:w="953"/>
        <w:gridCol w:w="1312"/>
        <w:gridCol w:w="916"/>
        <w:gridCol w:w="163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47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0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6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47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3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47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Voting common stock, $0.0001 par value per share</w:t>
            </w:r>
            <w:r>
              <w:rPr>
                <w:rFonts w:ascii="Times;serif" w:hAnsi="Times;serif"/>
                <w:color w:val="008000"/>
                <w:position w:val="7"/>
                <w:sz w:val="16"/>
                <w:sz w:val="20"/>
                <w:shd w:fill="FFFFFF" w:val="clear"/>
              </w:rPr>
              <w:t>(1)</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9,277</w:t>
            </w:r>
          </w:p>
        </w:tc>
        <w:tc>
          <w:tcPr>
            <w:tcW w:w="3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18.2368</w:t>
            </w:r>
          </w:p>
        </w:tc>
        <w:tc>
          <w:tcPr>
            <w:tcW w:w="13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2,290,723</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Voss Value Master Fund, L.P.</w:t>
            </w:r>
            <w:r>
              <w:rPr>
                <w:rFonts w:ascii="Times;serif" w:hAnsi="Times;serif"/>
                <w:color w:val="008000"/>
                <w:position w:val="7"/>
                <w:sz w:val="16"/>
                <w:sz w:val="20"/>
                <w:shd w:fill="FFFFFF" w:val="clear"/>
              </w:rPr>
              <w:t>(2)</w:t>
            </w:r>
          </w:p>
        </w:tc>
      </w:tr>
      <w:tr>
        <w:trPr/>
        <w:tc>
          <w:tcPr>
            <w:tcW w:w="147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Voting common stock, $0.0001 par value per share</w:t>
            </w:r>
            <w:r>
              <w:rPr>
                <w:rFonts w:ascii="Times;serif" w:hAnsi="Times;serif"/>
                <w:color w:val="008000"/>
                <w:position w:val="7"/>
                <w:sz w:val="16"/>
                <w:sz w:val="20"/>
                <w:shd w:fill="FFFFFF" w:val="clear"/>
              </w:rPr>
              <w:t>(1)</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9,276</w:t>
            </w:r>
          </w:p>
        </w:tc>
        <w:tc>
          <w:tcPr>
            <w:tcW w:w="3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18.2368</w:t>
            </w:r>
          </w:p>
        </w:tc>
        <w:tc>
          <w:tcPr>
            <w:tcW w:w="13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2,281,447</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Voss Value Master Fund, L.P.</w:t>
            </w:r>
            <w:r>
              <w:rPr>
                <w:rFonts w:ascii="Times;serif" w:hAnsi="Times;serif"/>
                <w:color w:val="008000"/>
                <w:position w:val="7"/>
                <w:sz w:val="16"/>
                <w:sz w:val="20"/>
                <w:shd w:fill="FFFFFF" w:val="clear"/>
              </w:rPr>
              <w:t>(2)</w:t>
            </w:r>
          </w:p>
        </w:tc>
      </w:tr>
      <w:tr>
        <w:trPr/>
        <w:tc>
          <w:tcPr>
            <w:tcW w:w="147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Voting common stock, $0.0001 par value per share</w:t>
            </w:r>
            <w:r>
              <w:rPr>
                <w:rFonts w:ascii="Times;serif" w:hAnsi="Times;serif"/>
                <w:color w:val="008000"/>
                <w:position w:val="7"/>
                <w:sz w:val="16"/>
                <w:sz w:val="20"/>
                <w:shd w:fill="FFFFFF" w:val="clear"/>
              </w:rPr>
              <w:t>(1)</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15,723</w:t>
            </w:r>
          </w:p>
        </w:tc>
        <w:tc>
          <w:tcPr>
            <w:tcW w:w="3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18.3962</w:t>
            </w:r>
          </w:p>
        </w:tc>
        <w:tc>
          <w:tcPr>
            <w:tcW w:w="13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2,265,724</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Voss Value Master Fund, L.P.</w:t>
            </w:r>
            <w:r>
              <w:rPr>
                <w:rFonts w:ascii="Times;serif" w:hAnsi="Times;serif"/>
                <w:color w:val="008000"/>
                <w:position w:val="7"/>
                <w:sz w:val="16"/>
                <w:sz w:val="20"/>
                <w:shd w:fill="FFFFFF" w:val="clear"/>
              </w:rPr>
              <w:t>(2)</w:t>
            </w:r>
          </w:p>
        </w:tc>
      </w:tr>
      <w:tr>
        <w:trPr/>
        <w:tc>
          <w:tcPr>
            <w:tcW w:w="147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Voting common stock, $0.0001 par value per share</w:t>
            </w:r>
            <w:r>
              <w:rPr>
                <w:rFonts w:ascii="Times;serif" w:hAnsi="Times;serif"/>
                <w:color w:val="008000"/>
                <w:position w:val="7"/>
                <w:sz w:val="16"/>
                <w:sz w:val="20"/>
                <w:shd w:fill="FFFFFF" w:val="clear"/>
              </w:rPr>
              <w:t>(1)</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15,724</w:t>
            </w:r>
          </w:p>
        </w:tc>
        <w:tc>
          <w:tcPr>
            <w:tcW w:w="3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18.3962</w:t>
            </w:r>
          </w:p>
        </w:tc>
        <w:tc>
          <w:tcPr>
            <w:tcW w:w="13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2,250,000</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Voss Value Master Fund, L.P.</w:t>
            </w:r>
            <w:r>
              <w:rPr>
                <w:rFonts w:ascii="Times;serif" w:hAnsi="Times;serif"/>
                <w:color w:val="008000"/>
                <w:position w:val="7"/>
                <w:sz w:val="16"/>
                <w:sz w:val="20"/>
                <w:shd w:fill="FFFFFF" w:val="clear"/>
              </w:rPr>
              <w:t>(2)</w:t>
            </w:r>
          </w:p>
        </w:tc>
      </w:tr>
      <w:tr>
        <w:trPr/>
        <w:tc>
          <w:tcPr>
            <w:tcW w:w="147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Voting common stock, $0.0001 par value per share</w:t>
            </w:r>
            <w:r>
              <w:rPr>
                <w:rFonts w:ascii="Times;serif" w:hAnsi="Times;serif"/>
                <w:color w:val="008000"/>
                <w:position w:val="7"/>
                <w:sz w:val="16"/>
                <w:sz w:val="20"/>
                <w:shd w:fill="FFFFFF" w:val="clear"/>
              </w:rPr>
              <w:t>(1)</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375,000</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Voss Value-Oriented Special Situations Fund, L.P.</w:t>
            </w:r>
            <w:r>
              <w:rPr>
                <w:rFonts w:ascii="Times;serif" w:hAnsi="Times;serif"/>
                <w:color w:val="008000"/>
                <w:position w:val="7"/>
                <w:sz w:val="16"/>
                <w:sz w:val="20"/>
                <w:shd w:fill="FFFFFF" w:val="clear"/>
              </w:rPr>
              <w:t>(3)</w:t>
            </w:r>
          </w:p>
        </w:tc>
      </w:tr>
      <w:tr>
        <w:trPr/>
        <w:tc>
          <w:tcPr>
            <w:tcW w:w="147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Voting common stock, $0.0001 par value per share</w:t>
            </w:r>
            <w:r>
              <w:rPr>
                <w:rFonts w:ascii="Times;serif" w:hAnsi="Times;serif"/>
                <w:color w:val="008000"/>
                <w:position w:val="7"/>
                <w:sz w:val="16"/>
                <w:sz w:val="20"/>
                <w:shd w:fill="FFFFFF" w:val="clear"/>
              </w:rPr>
              <w:t>(1)</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10,947</w:t>
            </w:r>
          </w:p>
        </w:tc>
        <w:tc>
          <w:tcPr>
            <w:tcW w:w="3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18.2368</w:t>
            </w:r>
          </w:p>
        </w:tc>
        <w:tc>
          <w:tcPr>
            <w:tcW w:w="13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11,543,553</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Managed Accounts of Voss Capital, LP</w:t>
            </w:r>
            <w:r>
              <w:rPr>
                <w:rFonts w:ascii="Times;serif" w:hAnsi="Times;serif"/>
                <w:color w:val="008000"/>
                <w:position w:val="7"/>
                <w:sz w:val="16"/>
                <w:sz w:val="20"/>
                <w:shd w:fill="FFFFFF" w:val="clear"/>
              </w:rPr>
              <w:t>(4)</w:t>
            </w:r>
          </w:p>
        </w:tc>
      </w:tr>
      <w:tr>
        <w:trPr/>
        <w:tc>
          <w:tcPr>
            <w:tcW w:w="147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Voting common stock, $0.0001 par value per share</w:t>
            </w:r>
            <w:r>
              <w:rPr>
                <w:rFonts w:ascii="Times;serif" w:hAnsi="Times;serif"/>
                <w:color w:val="008000"/>
                <w:position w:val="7"/>
                <w:sz w:val="16"/>
                <w:sz w:val="20"/>
                <w:shd w:fill="FFFFFF" w:val="clear"/>
              </w:rPr>
              <w:t>(1)</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18,553</w:t>
            </w:r>
          </w:p>
        </w:tc>
        <w:tc>
          <w:tcPr>
            <w:tcW w:w="3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18.3962</w:t>
            </w:r>
          </w:p>
        </w:tc>
        <w:tc>
          <w:tcPr>
            <w:tcW w:w="13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11,525,000</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Managed Accounts of Voss Capital, LP</w:t>
            </w:r>
            <w:r>
              <w:rPr>
                <w:rFonts w:ascii="Times;serif" w:hAnsi="Times;serif"/>
                <w:color w:val="008000"/>
                <w:position w:val="7"/>
                <w:sz w:val="16"/>
                <w:sz w:val="20"/>
                <w:shd w:fill="FFFFFF" w:val="clear"/>
              </w:rPr>
              <w:t>(4)</w:t>
            </w:r>
          </w:p>
        </w:tc>
      </w:tr>
      <w:tr>
        <w:trPr/>
        <w:tc>
          <w:tcPr>
            <w:tcW w:w="147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Voting common stock, $0.0001 par value per share</w:t>
            </w:r>
            <w:r>
              <w:rPr>
                <w:rFonts w:ascii="Times;serif" w:hAnsi="Times;serif"/>
                <w:color w:val="008000"/>
                <w:position w:val="7"/>
                <w:sz w:val="16"/>
                <w:sz w:val="20"/>
                <w:shd w:fill="FFFFFF" w:val="clear"/>
              </w:rPr>
              <w:t>(1)</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3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18.8595</w:t>
            </w:r>
          </w:p>
        </w:tc>
        <w:tc>
          <w:tcPr>
            <w:tcW w:w="13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11,500,000</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Managed Accounts of Voss Capital, LP</w:t>
            </w:r>
            <w:r>
              <w:rPr>
                <w:rFonts w:ascii="Times;serif" w:hAnsi="Times;serif"/>
                <w:color w:val="008000"/>
                <w:position w:val="7"/>
                <w:sz w:val="16"/>
                <w:sz w:val="20"/>
                <w:shd w:fill="FFFFFF" w:val="clear"/>
              </w:rPr>
              <w:t>(4)</w:t>
            </w:r>
          </w:p>
        </w:tc>
      </w:tr>
    </w:tbl>
    <w:tbl>
      <w:tblPr>
        <w:tblW w:w="1199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846"/>
        <w:gridCol w:w="921"/>
        <w:gridCol w:w="801"/>
        <w:gridCol w:w="936"/>
        <w:gridCol w:w="831"/>
        <w:gridCol w:w="921"/>
      </w:tblGrid>
      <w:tr>
        <w:trPr>
          <w:tblHeader w:val="true"/>
        </w:trPr>
        <w:tc>
          <w:tcPr>
            <w:tcW w:w="1199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6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4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09/18/2026</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Voting common stock, $0.0001 par value per share</w:t>
            </w:r>
            <w:r>
              <w:rPr>
                <w:rFonts w:ascii="Times;serif" w:hAnsi="Times;serif"/>
                <w:color w:val="008000"/>
                <w:position w:val="7"/>
                <w:sz w:val="16"/>
                <w:sz w:val="20"/>
                <w:shd w:fill="FFFFFF" w:val="clear"/>
              </w:rPr>
              <w:t>(1)</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Managed Accounts of Voss Capital, LP</w:t>
            </w:r>
            <w:r>
              <w:rPr>
                <w:rFonts w:ascii="Times;serif" w:hAnsi="Times;serif"/>
                <w:color w:val="008000"/>
                <w:position w:val="7"/>
                <w:sz w:val="16"/>
                <w:sz w:val="20"/>
                <w:shd w:fill="FFFFFF" w:val="clear"/>
              </w:rPr>
              <w:t>(4)</w:t>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12/18/2026</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Voting common stock, $0.0001 par value per share</w:t>
            </w:r>
            <w:r>
              <w:rPr>
                <w:rFonts w:ascii="Times;serif" w:hAnsi="Times;serif"/>
                <w:color w:val="008000"/>
                <w:position w:val="7"/>
                <w:sz w:val="16"/>
                <w:sz w:val="20"/>
                <w:shd w:fill="FFFFFF" w:val="clear"/>
              </w:rPr>
              <w:t>(1)</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Managed Accounts of Voss Capital, LP</w:t>
            </w:r>
            <w:r>
              <w:rPr>
                <w:rFonts w:ascii="Times;serif" w:hAnsi="Times;serif"/>
                <w:color w:val="008000"/>
                <w:position w:val="7"/>
                <w:sz w:val="16"/>
                <w:sz w:val="20"/>
                <w:shd w:fill="FFFFFF" w:val="clear"/>
              </w:rPr>
              <w:t>(4)</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Voss Capital,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3773 RICHMOND AVENUE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77046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Voss Value Master Fund,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3773 RICHMOND AVENUE, SUITE 500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77046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Voss Value-Oriented Special Situations Fund,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3773 RICHMOND AVENUE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77046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Voss Advisors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3773 RICHMOND AVENUE, SUITE 500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77046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Cocke Travis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3773 RICHMOND AVENUE, SUITE 500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77046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Form 4 is filed jointly by Voss Value Master Fund, LP ("Voss Value Master Fund"), Voss Value-Oriented Special Situations Fund, LP ("Voss Value-Oriented Special Situations Fund"), Voss Advisors GP, LLC ("Voss GP"), Voss Capital, LP ("Voss Capital") and Travis W. Cocke (collectively, the "Reporting Persons"). Each of the Reporting Persons is a member of a group for purposes of Section 13(d) of the Securities Exchange Act of 1934, as amended, that collectively beneficially owns over 10% of the Issuer's outstanding shares of Common Stock. Each Reporting Person disclaims beneficial ownership of the securities reported herein except to the extent of his or its pecuniary interest therein, and this report shall not be deemed to be an admission that any Reporting Person is the beneficial owner of such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Securities owned directly by Voss Value Master Fund. Voss GP, as the general partner of Voss Value Master Fund, may be deemed to beneficially own the securities owned directly by Voss Value Master Fund. Voss Capital, as the investment manager of Voss Value Master Fund, may be deemed to beneficially own the securities owned directly by Voss Value Master Fund. Mr. Cocke, as the managing member of Voss Capital and Voss GP, may be deemed to beneficially own the securities owned directly by Voss Value Master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Securities owned directly by Voss Value-Oriented Special Situations Fund. Voss GP, as the general partner of Voss Value-Oriented Special Situations Fund, may be deemed to beneficially own the securities owned directly by Voss Value-Oriented Special Situations Fund. Voss Capital, as the investment manager of Voss Value-Oriented Special Situations Fund, may be deemed to beneficially own the securities owned directly by Voss Value-Oriented Special Situations Fund. Mr. Cocke, as the managing member of Voss Capital and Voss GP, may be deemed to beneficially own the securities owned directly by Voss Value-Oriented Special Situations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Securities held in certain accounts separately managed by Voss Capital (the "Voss Managed Accounts"). Voss Capital, as the investment manager of the Voss Managed Accounts, may be deemed to beneficially own the securities held in the Voss Managed Accounts. Mr. Cocke, as the managing member of Voss Capital, may be deemed to beneficially own the securities held in the Voss Managed Accounts.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Such call options were immediately exercisable upon their acquisition.</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Voss Capital, LP; By: /s/ Travis W. Cocke,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Voss Value Master Fund, LP; By: Voss Advisors GP, LLC; By: /s/ Travis W. Cocke,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Voss Value-Oriented Special Situations Fund, LP; By: Voss Advisors GP, LLC; By: /s/ Travis W. Cocke,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Voss Advisors GP, LLC; By: /s/ Travis W. Cocke,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Travis W. Cocke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0145" TargetMode="External"/><Relationship Id="rId5" Type="http://schemas.openxmlformats.org/officeDocument/2006/relationships/hyperlink" Target="http://www.sec.gov/cgi-bin/browse-edgar?action=getcompany&amp;CIK=00015805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730145" TargetMode="External"/><Relationship Id="rId9" Type="http://schemas.openxmlformats.org/officeDocument/2006/relationships/hyperlink" Target="http://www.sec.gov/cgi-bin/browse-edgar?action=getcompany&amp;CIK=0001969435" TargetMode="External"/><Relationship Id="rId10" Type="http://schemas.openxmlformats.org/officeDocument/2006/relationships/hyperlink" Target="http://www.sec.gov/cgi-bin/browse-edgar?action=getcompany&amp;CIK=0001863498" TargetMode="External"/><Relationship Id="rId11" Type="http://schemas.openxmlformats.org/officeDocument/2006/relationships/hyperlink" Target="http://www.sec.gov/cgi-bin/browse-edgar?action=getcompany&amp;CIK=0001798309" TargetMode="External"/><Relationship Id="rId12" Type="http://schemas.openxmlformats.org/officeDocument/2006/relationships/hyperlink" Target="http://www.sec.gov/cgi-bin/browse-edgar?action=getcompany&amp;CIK=0001798383"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1356</Words>
  <Characters>7296</Characters>
  <CharactersWithSpaces>8429</CharactersWithSpaces>
  <Paragraphs>251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