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621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62178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40"/>
        <w:spacing w:after="0" w:line="321" w:lineRule="auto"/>
        <w:rPr>
          <w:sz w:val="20"/>
          <w:szCs w:val="20"/>
          <w:color w:val="auto"/>
        </w:rPr>
      </w:pPr>
      <w:r>
        <w:rPr>
          <w:rFonts w:ascii="Times New Roman" w:cs="Times New Roman" w:eastAsia="Times New Roman" w:hAnsi="Times New Roman"/>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03/13/2023</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7"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560" w:type="dxa"/>
            <w:vAlign w:val="bottom"/>
            <w:gridSpan w:val="7"/>
          </w:tcPr>
          <w:p>
            <w:pPr>
              <w:jc w:val="center"/>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1"/>
          </w:tcPr>
          <w:p>
            <w:pPr>
              <w:ind w:left="4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60" w:type="dxa"/>
            <w:vAlign w:val="bottom"/>
            <w:gridSpan w:val="11"/>
            <w:vMerge w:val="restart"/>
          </w:tcPr>
          <w:p>
            <w:pPr>
              <w:ind w:left="6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0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22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gridSpan w:val="3"/>
          </w:tcPr>
          <w:p>
            <w:pPr>
              <w:jc w:val="center"/>
              <w:ind w:left="329"/>
              <w:spacing w:after="0"/>
              <w:rPr>
                <w:sz w:val="20"/>
                <w:szCs w:val="20"/>
                <w:color w:val="auto"/>
              </w:rPr>
            </w:pPr>
            <w:r>
              <w:rPr>
                <w:rFonts w:ascii="Times New Roman" w:cs="Times New Roman" w:eastAsia="Times New Roman" w:hAnsi="Times New Roman"/>
                <w:sz w:val="17"/>
                <w:szCs w:val="17"/>
                <w:color w:val="0000FF"/>
              </w:rPr>
              <w:t>03/13/2023</w:t>
            </w: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1,350</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2"/>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3.2766</w:t>
            </w:r>
          </w:p>
        </w:tc>
        <w:tc>
          <w:tcPr>
            <w:tcW w:w="1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106,596</w:t>
            </w:r>
          </w:p>
        </w:tc>
        <w:tc>
          <w:tcPr>
            <w:tcW w:w="240" w:type="dxa"/>
            <w:vAlign w:val="bottom"/>
          </w:tcPr>
          <w:p>
            <w:pPr>
              <w:spacing w:after="0"/>
              <w:rPr>
                <w:sz w:val="22"/>
                <w:szCs w:val="22"/>
                <w:color w:val="auto"/>
              </w:rPr>
            </w:pPr>
          </w:p>
        </w:tc>
        <w:tc>
          <w:tcPr>
            <w:tcW w:w="680" w:type="dxa"/>
            <w:vAlign w:val="bottom"/>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29"/>
              <w:spacing w:after="0"/>
              <w:rPr>
                <w:sz w:val="20"/>
                <w:szCs w:val="20"/>
                <w:color w:val="auto"/>
              </w:rPr>
            </w:pPr>
            <w:r>
              <w:rPr>
                <w:rFonts w:ascii="Times New Roman" w:cs="Times New Roman" w:eastAsia="Times New Roman" w:hAnsi="Times New Roman"/>
                <w:sz w:val="17"/>
                <w:szCs w:val="17"/>
                <w:color w:val="0000FF"/>
              </w:rPr>
              <w:t>03/13/2023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6,740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24.1845</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99,856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29"/>
              <w:spacing w:after="0"/>
              <w:rPr>
                <w:sz w:val="20"/>
                <w:szCs w:val="20"/>
                <w:color w:val="auto"/>
              </w:rPr>
            </w:pPr>
            <w:r>
              <w:rPr>
                <w:rFonts w:ascii="Times New Roman" w:cs="Times New Roman" w:eastAsia="Times New Roman" w:hAnsi="Times New Roman"/>
                <w:sz w:val="17"/>
                <w:szCs w:val="17"/>
                <w:color w:val="0000FF"/>
              </w:rPr>
              <w:t>03/13/2023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3,260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25.1682</w:t>
            </w:r>
            <w:r>
              <w:rPr>
                <w:rFonts w:ascii="Times New Roman" w:cs="Times New Roman" w:eastAsia="Times New Roman" w:hAnsi="Times New Roman"/>
                <w:sz w:val="21"/>
                <w:szCs w:val="21"/>
                <w:color w:val="008000"/>
                <w:w w:val="93"/>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96,596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29"/>
              <w:spacing w:after="0"/>
              <w:rPr>
                <w:sz w:val="20"/>
                <w:szCs w:val="20"/>
                <w:color w:val="auto"/>
              </w:rPr>
            </w:pPr>
            <w:r>
              <w:rPr>
                <w:rFonts w:ascii="Times New Roman" w:cs="Times New Roman" w:eastAsia="Times New Roman" w:hAnsi="Times New Roman"/>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101,023</w:t>
            </w:r>
            <w:r>
              <w:rPr>
                <w:rFonts w:ascii="Times New Roman" w:cs="Times New Roman" w:eastAsia="Times New Roman" w:hAnsi="Times New Roman"/>
                <w:sz w:val="21"/>
                <w:szCs w:val="21"/>
                <w:color w:val="008000"/>
                <w:w w:val="94"/>
                <w:vertAlign w:val="superscript"/>
              </w:rPr>
              <w:t>(4)</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197,619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3"/>
          </w:tcPr>
          <w:p>
            <w:pPr>
              <w:jc w:val="center"/>
              <w:ind w:left="329"/>
              <w:spacing w:after="0"/>
              <w:rPr>
                <w:sz w:val="20"/>
                <w:szCs w:val="20"/>
                <w:color w:val="auto"/>
              </w:rPr>
            </w:pPr>
            <w:r>
              <w:rPr>
                <w:rFonts w:ascii="Times New Roman" w:cs="Times New Roman" w:eastAsia="Times New Roman" w:hAnsi="Times New Roman"/>
                <w:sz w:val="17"/>
                <w:szCs w:val="17"/>
                <w:color w:val="0000FF"/>
              </w:rPr>
              <w:t>03/14/2023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(5)</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6,480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26.308</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191,139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18,125</w:t>
            </w:r>
          </w:p>
        </w:tc>
        <w:tc>
          <w:tcPr>
            <w:tcW w:w="240" w:type="dxa"/>
            <w:vAlign w:val="bottom"/>
          </w:tcPr>
          <w:p>
            <w:pPr>
              <w:spacing w:after="0"/>
              <w:rPr>
                <w:sz w:val="21"/>
                <w:szCs w:val="21"/>
                <w:color w:val="auto"/>
              </w:rPr>
            </w:pPr>
          </w:p>
        </w:tc>
        <w:tc>
          <w:tcPr>
            <w:tcW w:w="680" w:type="dxa"/>
            <w:vAlign w:val="bottom"/>
            <w:vMerge w:val="restart"/>
          </w:tcPr>
          <w:p>
            <w:pPr>
              <w:jc w:val="center"/>
              <w:ind w:right="26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28,927</w:t>
            </w:r>
          </w:p>
        </w:tc>
        <w:tc>
          <w:tcPr>
            <w:tcW w:w="240" w:type="dxa"/>
            <w:vAlign w:val="bottom"/>
          </w:tcPr>
          <w:p>
            <w:pPr>
              <w:spacing w:after="0"/>
              <w:rPr>
                <w:sz w:val="21"/>
                <w:szCs w:val="21"/>
                <w:color w:val="auto"/>
              </w:rPr>
            </w:pPr>
          </w:p>
        </w:tc>
        <w:tc>
          <w:tcPr>
            <w:tcW w:w="680" w:type="dxa"/>
            <w:vAlign w:val="bottom"/>
            <w:vMerge w:val="restart"/>
          </w:tcPr>
          <w:p>
            <w:pPr>
              <w:jc w:val="center"/>
              <w:ind w:right="268"/>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0" w:type="dxa"/>
            <w:vAlign w:val="bottom"/>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1,350</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3.2766</w:t>
            </w:r>
          </w:p>
        </w:tc>
        <w:tc>
          <w:tcPr>
            <w:tcW w:w="160" w:type="dxa"/>
            <w:vAlign w:val="bottom"/>
          </w:tcPr>
          <w:p>
            <w:pPr>
              <w:spacing w:after="0"/>
              <w:rPr>
                <w:sz w:val="6"/>
                <w:szCs w:val="6"/>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03/13/2023</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1,350</w:t>
            </w:r>
          </w:p>
        </w:tc>
        <w:tc>
          <w:tcPr>
            <w:tcW w:w="780" w:type="dxa"/>
            <w:vAlign w:val="bottom"/>
            <w:vMerge w:val="continue"/>
          </w:tcPr>
          <w:p>
            <w:pPr>
              <w:spacing w:after="0"/>
              <w:rPr>
                <w:sz w:val="6"/>
                <w:szCs w:val="6"/>
                <w:color w:val="auto"/>
              </w:rPr>
            </w:pPr>
          </w:p>
        </w:tc>
        <w:tc>
          <w:tcPr>
            <w:tcW w:w="78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11/27/2028</w:t>
            </w:r>
          </w:p>
        </w:tc>
        <w:tc>
          <w:tcPr>
            <w:tcW w:w="5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151,150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$23.92 to $24.91,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$24.94 to $25.48,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40" w:right="5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2024, with the remainder vesting in equal quarterly installments over the following three years, provided that the Reporting Person has provided continuous service to the Issuer through the applicable vesting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RSUs.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originally subject to this option are fully vested as of the date hereof.</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Michael G. Ellis</w:t>
            </w:r>
          </w:p>
        </w:tc>
        <w:tc>
          <w:tcPr>
            <w:tcW w:w="72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03/15/2023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2023-03-15T20:03:50Z</dcterms:created>
  <dcterms:modified xsi:type="dcterms:W3CDTF">2023-03-15T20:03:50Z</dcterms:modified>
</cp:coreProperties>
</file>