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1047"/>
        <w:gridCol w:w="437"/>
        <w:gridCol w:w="655"/>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340,867</w:t>
            </w:r>
            <w:r>
              <w:rPr>
                <w:rFonts w:ascii="Times;serif" w:hAnsi="Times;serif"/>
                <w:color w:val="008000"/>
                <w:position w:val="7"/>
                <w:sz w:val="16"/>
                <w:sz w:val="20"/>
                <w:shd w:fill="FFFFFF" w:val="clear"/>
              </w:rPr>
              <w:t>(1)</w:t>
            </w:r>
            <w:r>
              <w:rPr/>
              <w:t xml:space="preserve"> </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1,771,854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337,440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underlying a time-based restricted stock unit award (RSU). The RSU vests with respect to 25% of the shares on March 1, 2025, with the remainder vesting in equal quarterly installments over the following three years, provided that the Reporting Person has provided continuous service to the Issuer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0"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3777</Characters>
  <CharactersWithSpaces>4408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