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464185</wp:posOffset>
            </wp:positionH>
            <wp:positionV relativeFrom="page">
              <wp:posOffset>161925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202565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t>UNITED STATES</w:t>
      </w:r>
    </w:p>
    <w:p>
      <w:pPr>
        <w:spacing w:after="0" w:line="2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156210</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3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175260</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8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1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172720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5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41"/>
          <w:szCs w:val="41"/>
          <w:b w:val="1"/>
          <w:bCs w:val="1"/>
          <w:color w:val="auto"/>
        </w:rPr>
        <w:t>FLYWIRE CORPORATION</w:t>
      </w:r>
    </w:p>
    <w:p>
      <w:pPr>
        <w:spacing w:after="0" w:line="5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158750</wp:posOffset>
            </wp:positionV>
            <wp:extent cx="139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ectPr>
          <w:pgSz w:w="11900" w:h="16838" w:orient="portrait"/>
          <w:cols w:equalWidth="0" w:num="1">
            <w:col w:w="10429"/>
          </w:cols>
          <w:pgMar w:left="731" w:top="427"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2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27-0690799</w:t>
      </w:r>
    </w:p>
    <w:p>
      <w:pPr>
        <w:spacing w:after="0" w:line="14" w:lineRule="exact"/>
        <w:rPr>
          <w:sz w:val="24"/>
          <w:szCs w:val="24"/>
          <w:color w:val="auto"/>
        </w:rPr>
      </w:pPr>
    </w:p>
    <w:p>
      <w:pPr>
        <w:sectPr>
          <w:pgSz w:w="11900" w:h="16838" w:orient="portrait"/>
          <w:cols w:equalWidth="0" w:num="3">
            <w:col w:w="4229" w:space="720"/>
            <w:col w:w="2680" w:space="720"/>
            <w:col w:w="2080"/>
          </w:cols>
          <w:pgMar w:left="731" w:top="427" w:right="739" w:bottom="1440" w:gutter="0" w:footer="0" w:header="0"/>
          <w:type w:val="continuous"/>
        </w:sectPr>
      </w:pPr>
    </w:p>
    <w:p>
      <w:pPr>
        <w:spacing w:after="0" w:line="23" w:lineRule="exact"/>
        <w:rPr>
          <w:sz w:val="24"/>
          <w:szCs w:val="24"/>
          <w:color w:val="auto"/>
        </w:rPr>
      </w:pPr>
    </w:p>
    <w:p>
      <w:pPr>
        <w:jc w:val="center"/>
        <w:ind w:right="691"/>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691"/>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2"/>
          <w:szCs w:val="12"/>
          <w:b w:val="1"/>
          <w:bCs w:val="1"/>
          <w:color w:val="auto"/>
        </w:rPr>
        <w:t>(Commission</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41" w:lineRule="exact"/>
        <w:rPr>
          <w:sz w:val="24"/>
          <w:szCs w:val="24"/>
          <w:color w:val="auto"/>
        </w:rPr>
      </w:pPr>
    </w:p>
    <w:p>
      <w:pPr>
        <w:sectPr>
          <w:pgSz w:w="11900" w:h="16838" w:orient="portrait"/>
          <w:cols w:equalWidth="0" w:num="3">
            <w:col w:w="4229" w:space="720"/>
            <w:col w:w="2560" w:space="720"/>
            <w:col w:w="2200"/>
          </w:cols>
          <w:pgMar w:left="731" w:top="427" w:right="739" w:bottom="1440" w:gutter="0" w:footer="0" w:header="0"/>
          <w:type w:val="continuous"/>
        </w:sectPr>
      </w:pPr>
    </w:p>
    <w:p>
      <w:pPr>
        <w:ind w:left="4509"/>
        <w:spacing w:after="0"/>
        <w:rPr>
          <w:sz w:val="20"/>
          <w:szCs w:val="20"/>
          <w:color w:val="auto"/>
        </w:rPr>
      </w:pPr>
      <w:r>
        <w:rPr>
          <w:rFonts w:ascii="Times New Roman" w:cs="Times New Roman" w:eastAsia="Times New Roman" w:hAnsi="Times New Roman"/>
          <w:sz w:val="17"/>
          <w:szCs w:val="17"/>
          <w:b w:val="1"/>
          <w:bCs w:val="1"/>
          <w:color w:val="auto"/>
        </w:rPr>
        <w:t>141 Tremont St #10</w:t>
      </w:r>
    </w:p>
    <w:p>
      <w:pPr>
        <w:spacing w:after="0" w:line="30" w:lineRule="exact"/>
        <w:rPr>
          <w:sz w:val="24"/>
          <w:szCs w:val="24"/>
          <w:color w:val="auto"/>
        </w:rPr>
      </w:pPr>
    </w:p>
    <w:p>
      <w:pPr>
        <w:ind w:left="4549"/>
        <w:spacing w:after="0"/>
        <w:rPr>
          <w:sz w:val="20"/>
          <w:szCs w:val="20"/>
          <w:color w:val="auto"/>
        </w:rPr>
      </w:pPr>
      <w:r>
        <w:rPr>
          <w:rFonts w:ascii="Times New Roman" w:cs="Times New Roman" w:eastAsia="Times New Roman" w:hAnsi="Times New Roman"/>
          <w:sz w:val="17"/>
          <w:szCs w:val="17"/>
          <w:b w:val="1"/>
          <w:bCs w:val="1"/>
          <w:color w:val="auto"/>
        </w:rPr>
        <w:t>Boston, MA 02111</w:t>
      </w:r>
    </w:p>
    <w:p>
      <w:pPr>
        <w:spacing w:after="0" w:line="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9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329-4524</w:t>
      </w:r>
    </w:p>
    <w:p>
      <w:pPr>
        <w:spacing w:after="0" w:line="16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145415</wp:posOffset>
            </wp:positionV>
            <wp:extent cx="1395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ectPr>
          <w:pgSz w:w="11900" w:h="16838" w:orient="portrait"/>
          <w:cols w:equalWidth="0" w:num="1">
            <w:col w:w="10429"/>
          </w:cols>
          <w:pgMar w:left="731" w:top="427" w:right="739" w:bottom="1440" w:gutter="0" w:footer="0" w:header="0"/>
          <w:type w:val="continuous"/>
        </w:sectPr>
      </w:pPr>
    </w:p>
    <w:p>
      <w:pPr>
        <w:spacing w:after="0" w:line="366" w:lineRule="exact"/>
        <w:rPr>
          <w:sz w:val="24"/>
          <w:szCs w:val="24"/>
          <w:color w:val="auto"/>
        </w:rPr>
      </w:pPr>
    </w:p>
    <w:p>
      <w:pPr>
        <w:ind w:left="9" w:right="460"/>
        <w:spacing w:after="0" w:line="28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3" w:lineRule="exact"/>
        <w:rPr>
          <w:rFonts w:ascii="MS PGothic" w:cs="MS PGothic" w:eastAsia="MS PGothic" w:hAnsi="MS PGothic"/>
          <w:sz w:val="17"/>
          <w:szCs w:val="17"/>
          <w:color w:val="auto"/>
        </w:rPr>
      </w:pPr>
    </w:p>
    <w:p>
      <w:pPr>
        <w:ind w:left="9" w:right="2420" w:hanging="9"/>
        <w:spacing w:after="0" w:line="418" w:lineRule="auto"/>
        <w:tabs>
          <w:tab w:leader="none" w:pos="41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9" w:type="dxa"/>
        <w:tblCellMar>
          <w:top w:w="0" w:type="dxa"/>
          <w:left w:w="0" w:type="dxa"/>
          <w:bottom w:w="0" w:type="dxa"/>
          <w:right w:w="0" w:type="dxa"/>
        </w:tblCellMar>
      </w:tblPr>
      <w:tr>
        <w:trPr>
          <w:trHeight w:val="142"/>
        </w:trPr>
        <w:tc>
          <w:tcPr>
            <w:tcW w:w="3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34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Trading</w:t>
            </w:r>
          </w:p>
        </w:tc>
        <w:tc>
          <w:tcPr>
            <w:tcW w:w="3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Name of each exchange</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which registered</w:t>
            </w:r>
          </w:p>
        </w:tc>
        <w:tc>
          <w:tcPr>
            <w:tcW w:w="0" w:type="dxa"/>
            <w:vAlign w:val="bottom"/>
          </w:tcPr>
          <w:p>
            <w:pPr>
              <w:spacing w:after="0"/>
              <w:rPr>
                <w:sz w:val="1"/>
                <w:szCs w:val="1"/>
                <w:color w:val="auto"/>
              </w:rPr>
            </w:pPr>
          </w:p>
        </w:tc>
      </w:tr>
      <w:tr>
        <w:trPr>
          <w:trHeight w:val="181"/>
        </w:trPr>
        <w:tc>
          <w:tcPr>
            <w:tcW w:w="35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Voting Common Stock, $0.0001 par value per share</w:t>
            </w:r>
          </w:p>
        </w:tc>
        <w:tc>
          <w:tcPr>
            <w:tcW w:w="100" w:type="dxa"/>
            <w:vAlign w:val="bottom"/>
          </w:tcPr>
          <w:p>
            <w:pPr>
              <w:spacing w:after="0"/>
              <w:rPr>
                <w:sz w:val="15"/>
                <w:szCs w:val="15"/>
                <w:color w:val="auto"/>
              </w:rPr>
            </w:pPr>
          </w:p>
        </w:tc>
        <w:tc>
          <w:tcPr>
            <w:tcW w:w="33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5"/>
              </w:rPr>
              <w:t>FLYW</w:t>
            </w:r>
          </w:p>
        </w:tc>
        <w:tc>
          <w:tcPr>
            <w:tcW w:w="100" w:type="dxa"/>
            <w:vAlign w:val="bottom"/>
          </w:tcPr>
          <w:p>
            <w:pPr>
              <w:spacing w:after="0"/>
              <w:rPr>
                <w:sz w:val="15"/>
                <w:szCs w:val="15"/>
                <w:color w:val="auto"/>
              </w:rPr>
            </w:pPr>
          </w:p>
        </w:tc>
        <w:tc>
          <w:tcPr>
            <w:tcW w:w="33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The Nasdaq Stock Market LLC</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9" w:right="280"/>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9"/>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left="9" w:right="28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620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6620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429"/>
          </w:cols>
          <w:pgMar w:left="731" w:top="427" w:right="7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On May 6, 2025, Flywire Corporation (“Flywire” or the “Company”) issued a press release (the “Press Release”) and is holding a conference call regarding its preliminary and unaudited financial results for the quarter ended March 31, 2025. The Press Release is furnished as Exhibit 99.1 to this Current Report on Form 8-K and is incorporated by reference herein.</w:t>
      </w:r>
    </w:p>
    <w:p>
      <w:pPr>
        <w:spacing w:after="0" w:line="1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which is on file with the Securities and Exchange Commission (SEC) and available on the SEC’s website at https://www.sec.gov/. Additional factors may be described in those sections of Flywire’s Quarterly Report on Form 10-Q for the quarter ended March 31, 2025, expected to be filed in the second quarter of 2025.The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w:t>
      </w:r>
    </w:p>
    <w:p>
      <w:pPr>
        <w:sectPr>
          <w:pgSz w:w="11900" w:h="16838" w:orient="portrait"/>
          <w:cols w:equalWidth="0" w:num="1">
            <w:col w:w="10380"/>
          </w:cols>
          <w:pgMar w:left="740" w:top="285" w:right="77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On May 6, 2025,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30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0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EE"/>
        </w:rPr>
        <w:t>Flywire Corporation Press Release dated May 6, 2025.</w:t>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99.2</w:t>
      </w:r>
      <w:r>
        <w:rPr>
          <w:sz w:val="20"/>
          <w:szCs w:val="20"/>
          <w:color w:val="auto"/>
        </w:rPr>
        <w:tab/>
      </w:r>
      <w:r>
        <w:rPr>
          <w:rFonts w:ascii="Times New Roman" w:cs="Times New Roman" w:eastAsia="Times New Roman" w:hAnsi="Times New Roman"/>
          <w:sz w:val="17"/>
          <w:szCs w:val="17"/>
          <w:u w:val="single" w:color="auto"/>
          <w:color w:val="0000EE"/>
        </w:rPr>
        <w:t>Flywire Corporation Investor Presentation dated May 6, 2025.</w:t>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380"/>
          </w:cols>
          <w:pgMar w:left="740" w:top="285" w:right="779" w:bottom="1440" w:gutter="0" w:footer="0" w:header="0"/>
        </w:sectPr>
      </w:pPr>
    </w:p>
    <w:bookmarkStart w:id="3" w:name="page4"/>
    <w:bookmarkEnd w:id="3"/>
    <w:p>
      <w:pPr>
        <w:ind w:left="4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SIGNATURE</w:t>
      </w:r>
    </w:p>
    <w:p>
      <w:pPr>
        <w:spacing w:after="0" w:line="2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FLYWIRE CORPORATION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Cosmin Pitigoi</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Name:</w:t>
            </w:r>
          </w:p>
        </w:tc>
        <w:tc>
          <w:tcPr>
            <w:tcW w:w="35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Cosmin Pitigoi</w:t>
            </w:r>
          </w:p>
        </w:tc>
      </w:tr>
      <w:tr>
        <w:trPr>
          <w:trHeight w:val="22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6, 2025</w:t>
      </w:r>
    </w:p>
    <w:p>
      <w:pPr>
        <w:sectPr>
          <w:pgSz w:w="11900" w:h="16838" w:orient="portrait"/>
          <w:cols w:equalWidth="0" w:num="1">
            <w:col w:w="9720"/>
          </w:cols>
          <w:pgMar w:left="740" w:top="285" w:right="1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13" w:lineRule="exact"/>
        <w:rPr>
          <w:sz w:val="20"/>
          <w:szCs w:val="20"/>
          <w:color w:val="auto"/>
        </w:rPr>
      </w:pPr>
    </w:p>
    <w:p>
      <w:pPr>
        <w:jc w:val="center"/>
        <w:spacing w:after="0" w:line="388" w:lineRule="auto"/>
        <w:rPr>
          <w:sz w:val="20"/>
          <w:szCs w:val="20"/>
          <w:color w:val="auto"/>
        </w:rPr>
      </w:pPr>
      <w:r>
        <w:rPr>
          <w:rFonts w:ascii="Times New Roman" w:cs="Times New Roman" w:eastAsia="Times New Roman" w:hAnsi="Times New Roman"/>
          <w:sz w:val="17"/>
          <w:szCs w:val="17"/>
          <w:b w:val="1"/>
          <w:bCs w:val="1"/>
          <w:color w:val="auto"/>
        </w:rPr>
        <w:t xml:space="preserve">Flywire Reports First Quarter 2025 Financial Results </w:t>
      </w:r>
      <w:r>
        <w:rPr>
          <w:rFonts w:ascii="Times New Roman" w:cs="Times New Roman" w:eastAsia="Times New Roman" w:hAnsi="Times New Roman"/>
          <w:sz w:val="17"/>
          <w:szCs w:val="17"/>
          <w:i w:val="1"/>
          <w:iCs w:val="1"/>
          <w:color w:val="auto"/>
        </w:rPr>
        <w:t>First Quarter Revenue Increased 17.0% Year-over-Year First Quarter Revenue Less Ancillary Services Increased 16.8% Year-over-Year Previous Fiscal Year 2025 guidance reaffirmed</w:t>
      </w:r>
    </w:p>
    <w:p>
      <w:pPr>
        <w:spacing w:after="0" w:line="65"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Boston, MA – May 6, 2025: </w:t>
      </w:r>
      <w:r>
        <w:rPr>
          <w:rFonts w:ascii="Times New Roman" w:cs="Times New Roman" w:eastAsia="Times New Roman" w:hAnsi="Times New Roman"/>
          <w:sz w:val="17"/>
          <w:szCs w:val="17"/>
          <w:u w:val="single" w:color="auto"/>
          <w:color w:val="auto"/>
        </w:rPr>
        <w:t>Flywire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FLYW) (“Flywire” or the “Company”), a global payments enablement and software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today reported financial results for its first quarter ended March 31, 2025.</w:t>
      </w:r>
    </w:p>
    <w:p>
      <w:pPr>
        <w:spacing w:after="0" w:line="14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are pleased with our 2025 first quarter results, as we signed more than 200 new clients, led by our Travel and Education verticals, and exceeded the high end of our FX Neutral Revenue Guidance, while expanding Adjusted EBITDA margins above our guidance mid-point,” said Mike Massaro, CEO of Flywire. “This solid start to our year reflects ongoing sales momentum, the strength and resilience of our global and diversified business, as well as strategic changes that came out of our operational review tied to capital allocation and performance culture. Importantly, our core business is thriving, showing low client churn and clear evidence that our clients deeply value our services.”</w:t>
      </w:r>
    </w:p>
    <w:p>
      <w:pPr>
        <w:spacing w:after="0" w:line="172"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7"/>
          <w:szCs w:val="17"/>
          <w:color w:val="auto"/>
        </w:rPr>
        <w:t>“Looking ahead, we plan to continue to make strategic and operational decisions to support our clients and position us for even greater strength and long-term success, while investing and optimizing the business to emerge even stronger as we exit the year.”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2025 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Results</w:t>
      </w:r>
    </w:p>
    <w:p>
      <w:pPr>
        <w:spacing w:after="0" w:line="124" w:lineRule="exact"/>
        <w:rPr>
          <w:sz w:val="20"/>
          <w:szCs w:val="20"/>
          <w:color w:val="auto"/>
        </w:rPr>
      </w:pPr>
    </w:p>
    <w:p>
      <w:pPr>
        <w:ind w:left="920" w:right="300" w:hanging="418"/>
        <w:spacing w:after="0" w:line="283"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increased 17.0% to $133.5 million in the First quarter of 2025, compared to $114.1 million in the First quarter of 2024. Sertifi positively impacted revenue by $4.7 million in the First quarter of 2025 or 4.1% year over year.</w:t>
      </w:r>
    </w:p>
    <w:p>
      <w:pPr>
        <w:spacing w:after="0" w:line="62" w:lineRule="exact"/>
        <w:rPr>
          <w:rFonts w:ascii="Times New Roman" w:cs="Times New Roman" w:eastAsia="Times New Roman" w:hAnsi="Times New Roman"/>
          <w:sz w:val="17"/>
          <w:szCs w:val="17"/>
          <w:color w:val="auto"/>
        </w:rPr>
      </w:pPr>
    </w:p>
    <w:p>
      <w:pPr>
        <w:ind w:left="920" w:right="380" w:hanging="418"/>
        <w:spacing w:after="0" w:line="283"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increased to $80.5 million, resulting in Gross Margin of 60.3%, for the First quarter of 2025, compared to Gross Profit of $70.4 million and Gross Margin of 61.7% in the First quarter of 2024.</w:t>
      </w:r>
    </w:p>
    <w:p>
      <w:pPr>
        <w:spacing w:after="0" w:line="62"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was ($4.2) million in the First quarter of 2025, compared to net loss of ($6.2) million in the First quarter of 2024.</w:t>
      </w:r>
    </w:p>
    <w:p>
      <w:pPr>
        <w:sectPr>
          <w:pgSz w:w="11900" w:h="16838" w:orient="portrait"/>
          <w:cols w:equalWidth="0" w:num="1">
            <w:col w:w="10420"/>
          </w:cols>
          <w:pgMar w:left="740" w:top="119"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Key Business Performance highlights:</w:t>
      </w:r>
    </w:p>
    <w:p>
      <w:pPr>
        <w:spacing w:after="0" w:line="124" w:lineRule="exact"/>
        <w:rPr>
          <w:sz w:val="20"/>
          <w:szCs w:val="20"/>
          <w:color w:val="auto"/>
        </w:rPr>
      </w:pPr>
    </w:p>
    <w:p>
      <w:pPr>
        <w:ind w:left="920" w:hanging="41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Signed more than 200 new clients across all verticals.</w:t>
      </w:r>
    </w:p>
    <w:p>
      <w:pPr>
        <w:spacing w:after="0" w:line="123" w:lineRule="exact"/>
        <w:rPr>
          <w:rFonts w:ascii="Times New Roman" w:cs="Times New Roman" w:eastAsia="Times New Roman" w:hAnsi="Times New Roman"/>
          <w:sz w:val="17"/>
          <w:szCs w:val="17"/>
          <w:color w:val="auto"/>
        </w:rPr>
      </w:pPr>
    </w:p>
    <w:p>
      <w:pPr>
        <w:ind w:left="920" w:right="40" w:hanging="418"/>
        <w:spacing w:after="0" w:line="283"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Scaled the fast-growing Travel vertical, adding key clients like Haman Group, Scandinavia’s largest inbound tour operator, and expanding Sertifi solutions across leading hotel brands and multinational hospitality management companies.</w:t>
      </w:r>
    </w:p>
    <w:p>
      <w:pPr>
        <w:spacing w:after="0" w:line="62"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a Chief Payments Officer to accelerate product and payment innovation.</w:t>
      </w:r>
    </w:p>
    <w:p>
      <w:pPr>
        <w:spacing w:after="0" w:line="123" w:lineRule="exact"/>
        <w:rPr>
          <w:rFonts w:ascii="Times New Roman" w:cs="Times New Roman" w:eastAsia="Times New Roman" w:hAnsi="Times New Roman"/>
          <w:sz w:val="17"/>
          <w:szCs w:val="17"/>
          <w:color w:val="auto"/>
        </w:rPr>
      </w:pPr>
    </w:p>
    <w:p>
      <w:pPr>
        <w:ind w:left="920" w:right="180" w:hanging="418"/>
        <w:spacing w:after="0" w:line="283"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Expanded our footprint in India, partnering with the second-largest non-banking financial company in India (Avanse) and India’s largest public sector bank (State Bank of India) to capitalize on the billion dollars of payment volume from education loans.</w:t>
      </w:r>
    </w:p>
    <w:p>
      <w:pPr>
        <w:spacing w:after="0" w:line="62"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Strengthened our software integrations with leading ERPs for the higher education industry, including Ellucian, Workday, and Unit4.</w:t>
      </w:r>
    </w:p>
    <w:p>
      <w:pPr>
        <w:spacing w:after="0" w:line="123" w:lineRule="exact"/>
        <w:rPr>
          <w:rFonts w:ascii="Times New Roman" w:cs="Times New Roman" w:eastAsia="Times New Roman" w:hAnsi="Times New Roman"/>
          <w:sz w:val="17"/>
          <w:szCs w:val="17"/>
          <w:color w:val="auto"/>
        </w:rPr>
      </w:pPr>
    </w:p>
    <w:p>
      <w:pPr>
        <w:ind w:left="920" w:right="200" w:hanging="418"/>
        <w:spacing w:after="0" w:line="283"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$2 billion in 529 tuition payments were delivered directly to colleges and universities in the U.S. using our platform in 2024, benefitting more than 750 U.S. institutions.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Operating Metrics and Non-GAAP Results</w:t>
      </w:r>
    </w:p>
    <w:p>
      <w:pPr>
        <w:spacing w:after="0" w:line="124" w:lineRule="exact"/>
        <w:rPr>
          <w:sz w:val="20"/>
          <w:szCs w:val="20"/>
          <w:color w:val="auto"/>
        </w:rPr>
      </w:pPr>
    </w:p>
    <w:p>
      <w:pPr>
        <w:ind w:left="920" w:right="60" w:hanging="418"/>
        <w:spacing w:after="0" w:line="267"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Payment Volume increased 20.4% to $8.4 billion in the First quarter of 2025, compared to $7.0 billion in the First quarter of 2024. Excluding Sertifi, Total Payment Volume increased 19.1% to $8.3 billion in the First quarter of 2025, compared to $7.0 billion in the First quarter of 2024.</w:t>
      </w:r>
    </w:p>
    <w:p>
      <w:pPr>
        <w:spacing w:after="0" w:line="75" w:lineRule="exact"/>
        <w:rPr>
          <w:rFonts w:ascii="Times New Roman" w:cs="Times New Roman" w:eastAsia="Times New Roman" w:hAnsi="Times New Roman"/>
          <w:sz w:val="17"/>
          <w:szCs w:val="17"/>
          <w:color w:val="auto"/>
        </w:rPr>
      </w:pPr>
    </w:p>
    <w:p>
      <w:pPr>
        <w:ind w:left="920" w:right="180" w:hanging="418"/>
        <w:spacing w:after="0" w:line="261"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Less Ancillary Services increased 16.8% to $128.7 million in the First quarter of 2025, compared to $110.2 million in the First quarter of 2024. On an FX-neutral basis, Revenue Less Ancillary Services increased 18.6% year-over-year. Excluding Sertifi, Revenue Less Ancillary Services increased 12.6% year over year to $124 million or 14.4% year over year on an FX-Neutral basis in the First quarter of 2025.</w:t>
      </w:r>
    </w:p>
    <w:p>
      <w:pPr>
        <w:spacing w:after="0" w:line="82" w:lineRule="exact"/>
        <w:rPr>
          <w:rFonts w:ascii="Times New Roman" w:cs="Times New Roman" w:eastAsia="Times New Roman" w:hAnsi="Times New Roman"/>
          <w:sz w:val="17"/>
          <w:szCs w:val="17"/>
          <w:color w:val="auto"/>
        </w:rPr>
      </w:pPr>
    </w:p>
    <w:p>
      <w:pPr>
        <w:ind w:left="920" w:hanging="418"/>
        <w:spacing w:after="0" w:line="283"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Gross Profit increased to $82.5 million, up 14.6% compared to $71.9 million in the First quarter of 2024. Adjusted Gross Margin was 64.1% in the First quarter of 2025 compared to 65.2% in the First quarter of 2024.</w:t>
      </w:r>
    </w:p>
    <w:p>
      <w:pPr>
        <w:spacing w:after="0" w:line="62" w:lineRule="exact"/>
        <w:rPr>
          <w:rFonts w:ascii="Times New Roman" w:cs="Times New Roman" w:eastAsia="Times New Roman" w:hAnsi="Times New Roman"/>
          <w:sz w:val="17"/>
          <w:szCs w:val="17"/>
          <w:color w:val="auto"/>
        </w:rPr>
      </w:pPr>
    </w:p>
    <w:p>
      <w:pPr>
        <w:ind w:left="920" w:right="220" w:hanging="418"/>
        <w:spacing w:after="0" w:line="267"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increased to $21.6 million in the First quarter of 2025, compared to $13.2 million in the First quarter of 2024. Our adjusted EBITDA margins increased 476 bps year-over-year to 16.8% in the First quarter of 2025. Excluding Sertifi, adjusted EBITDA was $20.6 million compared to $13.2 million in the First quarter of 2024.</w:t>
      </w:r>
    </w:p>
    <w:p>
      <w:pPr>
        <w:spacing w:after="0" w:line="75" w:lineRule="exact"/>
        <w:rPr>
          <w:rFonts w:ascii="Times New Roman" w:cs="Times New Roman" w:eastAsia="Times New Roman" w:hAnsi="Times New Roman"/>
          <w:sz w:val="17"/>
          <w:szCs w:val="17"/>
          <w:color w:val="auto"/>
        </w:rPr>
      </w:pPr>
    </w:p>
    <w:p>
      <w:pPr>
        <w:ind w:left="920" w:right="360" w:hanging="418"/>
        <w:spacing w:after="0" w:line="283"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repurchased 3.6 million shares of our common stock for approximately $49 million (including commissions), with approximately $57 million remaining in the share repurchase program as of the end of the First quarter 2025</w:t>
      </w:r>
    </w:p>
    <w:p>
      <w:pPr>
        <w:sectPr>
          <w:pgSz w:w="11900" w:h="16838" w:orient="portrait"/>
          <w:cols w:equalWidth="0" w:num="1">
            <w:col w:w="10360"/>
          </w:cols>
          <w:pgMar w:left="740" w:top="264" w:right="7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Guidance</w:t>
      </w:r>
    </w:p>
    <w:p>
      <w:pPr>
        <w:spacing w:after="0" w:line="1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quarter 2025 performance meaningfully beat across both FX Neutral Revenue Growth and Adjusted EBITDA Margin Growth</w:t>
      </w:r>
      <w:r>
        <w:rPr>
          <w:rFonts w:ascii="Times New Roman" w:cs="Times New Roman" w:eastAsia="Times New Roman" w:hAnsi="Times New Roman"/>
          <w:sz w:val="17"/>
          <w:szCs w:val="17"/>
          <w:color w:val="auto"/>
        </w:rPr>
        <w:t>, as we’re driving revenue growth and margin expansion through effective execution, with a sharp focus on strategic investments and operational efficiency,” said Flywire’s CFO, Cosmin Pitigoi. “This approach is enabling us to win new clients, particularly in our key travel and education verticals, while maintaining our full-year 2025 financial outlook despite macroeconomic challenges.”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information available as of May 6, 2025, Flywire anticipates the following results for the second quarter and fiscal year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Fiscal Year 2025</w:t>
            </w:r>
          </w:p>
        </w:tc>
      </w:tr>
      <w:tr>
        <w:trPr>
          <w:trHeight w:val="197"/>
        </w:trPr>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FX-Neutral Revenue Less Ancillary Services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17-23% YoY</w:t>
            </w:r>
          </w:p>
        </w:tc>
      </w:tr>
      <w:tr>
        <w:trPr>
          <w:trHeight w:val="204"/>
        </w:trPr>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FX-Neutral Revenue Less Ancillary Services Growth (excluding Sertifi)</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10-14% YoY</w:t>
            </w:r>
          </w:p>
        </w:tc>
      </w:tr>
      <w:tr>
        <w:trPr>
          <w:trHeight w:val="204"/>
        </w:trPr>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Sertifi Revenue contribution</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$35-40M</w:t>
            </w:r>
          </w:p>
        </w:tc>
      </w:tr>
      <w:tr>
        <w:trPr>
          <w:trHeight w:val="222"/>
        </w:trPr>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 Growth</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+100-300 bps YoY</w:t>
            </w:r>
          </w:p>
        </w:tc>
      </w:tr>
      <w:tr>
        <w:trPr>
          <w:trHeight w:val="123"/>
        </w:trPr>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300" w:type="dxa"/>
            <w:vAlign w:val="bottom"/>
            <w:gridSpan w:val="2"/>
          </w:tcPr>
          <w:p>
            <w:pPr>
              <w:spacing w:after="0"/>
              <w:rPr>
                <w:sz w:val="10"/>
                <w:szCs w:val="10"/>
                <w:color w:val="auto"/>
              </w:rPr>
            </w:pPr>
          </w:p>
        </w:tc>
        <w:tc>
          <w:tcPr>
            <w:tcW w:w="1300" w:type="dxa"/>
            <w:vAlign w:val="bottom"/>
          </w:tcPr>
          <w:p>
            <w:pPr>
              <w:spacing w:after="0"/>
              <w:rPr>
                <w:sz w:val="10"/>
                <w:szCs w:val="10"/>
                <w:color w:val="auto"/>
              </w:rPr>
            </w:pPr>
          </w:p>
        </w:tc>
      </w:tr>
      <w:tr>
        <w:trPr>
          <w:trHeight w:val="224"/>
        </w:trPr>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1</w:t>
            </w:r>
          </w:p>
        </w:tc>
        <w:tc>
          <w:tcPr>
            <w:tcW w:w="72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Since the acquisition closed on 02/24/2025.</w:t>
            </w:r>
          </w:p>
        </w:tc>
        <w:tc>
          <w:tcPr>
            <w:tcW w:w="1300" w:type="dxa"/>
            <w:vAlign w:val="bottom"/>
          </w:tcPr>
          <w:p>
            <w:pPr>
              <w:spacing w:after="0"/>
              <w:rPr>
                <w:sz w:val="19"/>
                <w:szCs w:val="19"/>
                <w:color w:val="auto"/>
              </w:rPr>
            </w:pPr>
          </w:p>
        </w:tc>
      </w:tr>
    </w:tbl>
    <w:p>
      <w:pPr>
        <w:sectPr>
          <w:pgSz w:w="11900" w:h="16838" w:orient="portrait"/>
          <w:cols w:equalWidth="0" w:num="1">
            <w:col w:w="10200"/>
          </w:cols>
          <w:pgMar w:left="740" w:top="260" w:right="9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tbl>
      <w:tblPr>
        <w:tblLayout w:type="fixed"/>
        <w:tblInd w:w="1669" w:type="dxa"/>
        <w:tblCellMar>
          <w:top w:w="0" w:type="dxa"/>
          <w:left w:w="0" w:type="dxa"/>
          <w:bottom w:w="0" w:type="dxa"/>
          <w:right w:w="0" w:type="dxa"/>
        </w:tblCellMar>
      </w:tblPr>
      <w:tr>
        <w:trPr>
          <w:trHeight w:val="165"/>
        </w:trPr>
        <w:tc>
          <w:tcPr>
            <w:tcW w:w="57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Second Quarter 2025</w:t>
            </w:r>
          </w:p>
        </w:tc>
      </w:tr>
      <w:tr>
        <w:trPr>
          <w:trHeight w:val="19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FX-Neutral Revenue Less Ancillary Services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17-23% YoY</w:t>
            </w:r>
          </w:p>
        </w:tc>
      </w:tr>
      <w:tr>
        <w:trPr>
          <w:trHeight w:val="204"/>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FX-Neutral Revenue Less Ancillary Services Growth (excluding Sertifi)</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7-11% YoY</w:t>
            </w:r>
          </w:p>
        </w:tc>
      </w:tr>
      <w:tr>
        <w:trPr>
          <w:trHeight w:val="20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Sertifi Revenue contribution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$10-12M</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 Growth</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+150-350 bps YoY</w:t>
            </w:r>
          </w:p>
        </w:tc>
      </w:tr>
    </w:tbl>
    <w:p>
      <w:pPr>
        <w:spacing w:after="0" w:line="196" w:lineRule="exact"/>
        <w:rPr>
          <w:sz w:val="20"/>
          <w:szCs w:val="20"/>
          <w:color w:val="auto"/>
        </w:rPr>
      </w:pPr>
    </w:p>
    <w:p>
      <w:pPr>
        <w:ind w:left="209" w:right="180" w:hanging="209"/>
        <w:spacing w:after="0" w:line="259" w:lineRule="auto"/>
        <w:tabs>
          <w:tab w:leader="none" w:pos="20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w:t>
      </w:r>
    </w:p>
    <w:p>
      <w:pPr>
        <w:spacing w:after="0" w:line="172" w:lineRule="exact"/>
        <w:rPr>
          <w:sz w:val="20"/>
          <w:szCs w:val="20"/>
          <w:color w:val="auto"/>
        </w:rPr>
      </w:pPr>
    </w:p>
    <w:p>
      <w:pPr>
        <w:ind w:left="9" w:right="420"/>
        <w:spacing w:after="0" w:line="283" w:lineRule="auto"/>
        <w:rPr>
          <w:sz w:val="20"/>
          <w:szCs w:val="20"/>
          <w:color w:val="auto"/>
        </w:rPr>
      </w:pPr>
      <w:r>
        <w:rPr>
          <w:rFonts w:ascii="Times New Roman" w:cs="Times New Roman" w:eastAsia="Times New Roman" w:hAnsi="Times New Roman"/>
          <w:sz w:val="17"/>
          <w:szCs w:val="17"/>
          <w:color w:val="auto"/>
        </w:rPr>
        <w:t>These statements are forward-looking, and actual results may differ materially. Refer to the “Safe Harbor Statement” below for information on the factors that could cause Flywire’s actual results to differ materially from these forward-looking statements.</w:t>
      </w:r>
    </w:p>
    <w:p>
      <w:pPr>
        <w:spacing w:after="0" w:line="2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Conference Call</w:t>
      </w:r>
    </w:p>
    <w:p>
      <w:pPr>
        <w:spacing w:after="0" w:line="115" w:lineRule="exact"/>
        <w:rPr>
          <w:sz w:val="20"/>
          <w:szCs w:val="20"/>
          <w:color w:val="auto"/>
        </w:rPr>
      </w:pPr>
    </w:p>
    <w:p>
      <w:pPr>
        <w:ind w:left="9" w:right="100"/>
        <w:spacing w:after="0" w:line="267" w:lineRule="auto"/>
        <w:rPr>
          <w:sz w:val="20"/>
          <w:szCs w:val="20"/>
          <w:color w:val="auto"/>
        </w:rPr>
      </w:pPr>
      <w:r>
        <w:rPr>
          <w:rFonts w:ascii="Times New Roman" w:cs="Times New Roman" w:eastAsia="Times New Roman" w:hAnsi="Times New Roman"/>
          <w:sz w:val="17"/>
          <w:szCs w:val="17"/>
          <w:color w:val="auto"/>
        </w:rPr>
        <w:t xml:space="preserve">The Company will host a conference call to discuss First quarter financial results today at 5:00 pm ET. Hosting the call will be Mike Massaro, CEO, Rob Orgel, President and COO, and Cosmin Pitigoi, CFO. The conference call can be accessed live via webcast from the Company’s investor relations website at </w:t>
      </w:r>
      <w:r>
        <w:rPr>
          <w:rFonts w:ascii="Times New Roman" w:cs="Times New Roman" w:eastAsia="Times New Roman" w:hAnsi="Times New Roman"/>
          <w:sz w:val="17"/>
          <w:szCs w:val="17"/>
          <w:u w:val="single" w:color="auto"/>
          <w:color w:val="auto"/>
        </w:rPr>
        <w:t>https://ir.flywire.com/</w:t>
      </w:r>
      <w:r>
        <w:rPr>
          <w:rFonts w:ascii="Times New Roman" w:cs="Times New Roman" w:eastAsia="Times New Roman" w:hAnsi="Times New Roman"/>
          <w:sz w:val="17"/>
          <w:szCs w:val="17"/>
          <w:color w:val="auto"/>
        </w:rPr>
        <w:t>. A replay will be available on the investor relations website following the call.</w:t>
      </w:r>
    </w:p>
    <w:p>
      <w:pPr>
        <w:spacing w:after="0" w:line="2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Note Regarding Share Repurchase Program</w:t>
      </w:r>
    </w:p>
    <w:p>
      <w:pPr>
        <w:spacing w:after="0" w:line="115" w:lineRule="exact"/>
        <w:rPr>
          <w:sz w:val="20"/>
          <w:szCs w:val="20"/>
          <w:color w:val="auto"/>
        </w:rPr>
      </w:pPr>
    </w:p>
    <w:p>
      <w:pPr>
        <w:ind w:left="9"/>
        <w:spacing w:after="0" w:line="267" w:lineRule="auto"/>
        <w:rPr>
          <w:sz w:val="20"/>
          <w:szCs w:val="20"/>
          <w:color w:val="auto"/>
        </w:rPr>
      </w:pPr>
      <w:r>
        <w:rPr>
          <w:rFonts w:ascii="Times New Roman" w:cs="Times New Roman" w:eastAsia="Times New Roman" w:hAnsi="Times New Roman"/>
          <w:sz w:val="17"/>
          <w:szCs w:val="17"/>
          <w:color w:val="auto"/>
        </w:rPr>
        <w:t>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w:t>
      </w:r>
    </w:p>
    <w:p>
      <w:pPr>
        <w:sectPr>
          <w:pgSz w:w="11900" w:h="16838" w:orient="portrait"/>
          <w:cols w:equalWidth="0" w:num="1">
            <w:col w:w="10389"/>
          </w:cols>
          <w:pgMar w:left="731" w:top="256" w:right="779" w:bottom="1440" w:gutter="0" w:footer="0" w:header="0"/>
        </w:sectPr>
      </w:pPr>
    </w:p>
    <w:bookmarkStart w:id="8" w:name="page9"/>
    <w:bookmarkEnd w:id="8"/>
    <w:p>
      <w:pPr>
        <w:ind w:right="10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Metrics and Non-GAAP Financial Measures</w:t>
      </w:r>
    </w:p>
    <w:p>
      <w:pPr>
        <w:spacing w:after="0" w:line="11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pacing w:after="0" w:line="16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63" w:lineRule="exact"/>
        <w:rPr>
          <w:sz w:val="20"/>
          <w:szCs w:val="20"/>
          <w:color w:val="auto"/>
        </w:rPr>
      </w:pPr>
    </w:p>
    <w:p>
      <w:pPr>
        <w:ind w:left="920" w:right="120" w:hanging="418"/>
        <w:spacing w:after="0" w:line="291" w:lineRule="auto"/>
        <w:tabs>
          <w:tab w:leader="none" w:pos="9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w:t>
      </w:r>
    </w:p>
    <w:p>
      <w:pPr>
        <w:sectPr>
          <w:pgSz w:w="11900" w:h="16838" w:orient="portrait"/>
          <w:cols w:equalWidth="0" w:num="1">
            <w:col w:w="10400"/>
          </w:cols>
          <w:pgMar w:left="740" w:top="264" w:right="759" w:bottom="1440" w:gutter="0" w:footer="0" w:header="0"/>
        </w:sectPr>
      </w:pPr>
    </w:p>
    <w:bookmarkStart w:id="9" w:name="page10"/>
    <w:bookmarkEnd w:id="9"/>
    <w:p>
      <w:pPr>
        <w:ind w:left="418" w:hanging="418"/>
        <w:spacing w:after="0" w:line="257" w:lineRule="auto"/>
        <w:tabs>
          <w:tab w:leader="none" w:pos="4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payment-related services, which are the primary services it provides to its clients.</w:t>
      </w:r>
    </w:p>
    <w:p>
      <w:pPr>
        <w:spacing w:after="0" w:line="85" w:lineRule="exact"/>
        <w:rPr>
          <w:rFonts w:ascii="Times New Roman" w:cs="Times New Roman" w:eastAsia="Times New Roman" w:hAnsi="Times New Roman"/>
          <w:sz w:val="17"/>
          <w:szCs w:val="17"/>
          <w:color w:val="auto"/>
        </w:rPr>
      </w:pPr>
    </w:p>
    <w:p>
      <w:pPr>
        <w:ind w:left="418" w:right="80" w:hanging="418"/>
        <w:spacing w:after="0" w:line="256" w:lineRule="auto"/>
        <w:tabs>
          <w:tab w:leader="none" w:pos="4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EBITDA represents our consolidated net income (loss) in accordance with GAAP adjusted to include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and (g) restructuring costs. Management believes that the exclusion of these amounts to calculate Adjusted EBITDA provides useful measures for period-to-period comparisons of the Company’s business.</w:t>
      </w:r>
    </w:p>
    <w:p>
      <w:pPr>
        <w:spacing w:after="0" w:line="86" w:lineRule="exact"/>
        <w:rPr>
          <w:rFonts w:ascii="Times New Roman" w:cs="Times New Roman" w:eastAsia="Times New Roman" w:hAnsi="Times New Roman"/>
          <w:sz w:val="17"/>
          <w:szCs w:val="17"/>
          <w:color w:val="auto"/>
        </w:rPr>
      </w:pPr>
    </w:p>
    <w:p>
      <w:pPr>
        <w:ind w:left="418" w:right="140" w:hanging="418"/>
        <w:spacing w:after="0" w:line="267" w:lineRule="auto"/>
        <w:tabs>
          <w:tab w:leader="none" w:pos="4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Margin—Adjusted EBITDA Margin represents Adjusted EBITDA divided by Revenue Less Ancillary Services. Management believes this presentation supplements the GAAP presentation of gross margin with a useful measure of the gross margin of the Company’s payment-related services, which are the primary services it provides to its clients.</w:t>
      </w:r>
    </w:p>
    <w:p>
      <w:pPr>
        <w:spacing w:after="0" w:line="75" w:lineRule="exact"/>
        <w:rPr>
          <w:rFonts w:ascii="Times New Roman" w:cs="Times New Roman" w:eastAsia="Times New Roman" w:hAnsi="Times New Roman"/>
          <w:sz w:val="17"/>
          <w:szCs w:val="17"/>
          <w:color w:val="auto"/>
        </w:rPr>
      </w:pPr>
    </w:p>
    <w:p>
      <w:pPr>
        <w:ind w:left="418" w:right="120" w:hanging="418"/>
        <w:spacing w:after="0" w:line="259" w:lineRule="auto"/>
        <w:tabs>
          <w:tab w:leader="none" w:pos="4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w:t>
      </w:r>
    </w:p>
    <w:p>
      <w:pPr>
        <w:spacing w:after="0" w:line="82" w:lineRule="exact"/>
        <w:rPr>
          <w:rFonts w:ascii="Times New Roman" w:cs="Times New Roman" w:eastAsia="Times New Roman" w:hAnsi="Times New Roman"/>
          <w:sz w:val="17"/>
          <w:szCs w:val="17"/>
          <w:color w:val="auto"/>
        </w:rPr>
      </w:pPr>
    </w:p>
    <w:p>
      <w:pPr>
        <w:ind w:left="418" w:right="40" w:hanging="418"/>
        <w:spacing w:after="0" w:line="261" w:lineRule="auto"/>
        <w:tabs>
          <w:tab w:leader="none" w:pos="4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Operating Expenses—Non-GAAP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sectPr>
          <w:pgSz w:w="11900" w:h="16838" w:orient="portrait"/>
          <w:cols w:equalWidth="0" w:num="1">
            <w:col w:w="9918"/>
          </w:cols>
          <w:pgMar w:left="1242" w:top="264" w:right="739" w:bottom="1440" w:gutter="0" w:footer="0" w:header="0"/>
        </w:sectPr>
      </w:pPr>
    </w:p>
    <w:bookmarkStart w:id="10" w:name="page11"/>
    <w:bookmarkEnd w:id="10"/>
    <w:p>
      <w:pPr>
        <w:ind w:left="920" w:hanging="418"/>
        <w:spacing w:after="0" w:line="261"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FX Neutral Revenue Less Ancillary Services and Adjusted EBITDA, excluding Sertifi - FX Neutral Revenue Less Ancillary Services and Adjusted EBITDA, excluding Sertifi, represents FX Neutral Revenue Less Ancillary Services and Adjusted EBITDA, respectively, adjusted by excluding the contributions from Sertifi. Flywire believes these measures are useful in understanding the ongoing results of our operations.</w:t>
      </w:r>
    </w:p>
    <w:p>
      <w:pPr>
        <w:spacing w:after="0" w:line="1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w:t>
      </w:r>
    </w:p>
    <w:p>
      <w:pPr>
        <w:spacing w:after="0" w:line="1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Flywire</w:t>
      </w:r>
    </w:p>
    <w:p>
      <w:pPr>
        <w:spacing w:after="0" w:line="115"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5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ectPr>
          <w:pgSz w:w="11900" w:h="16838" w:orient="portrait"/>
          <w:cols w:equalWidth="0" w:num="1">
            <w:col w:w="10400"/>
          </w:cols>
          <w:pgMar w:left="740" w:top="264" w:right="759" w:bottom="1440" w:gutter="0" w:footer="0" w:header="0"/>
        </w:sectPr>
      </w:pPr>
    </w:p>
    <w:bookmarkStart w:id="11" w:name="page12"/>
    <w:bookmarkEnd w:id="11"/>
    <w:p>
      <w:pPr>
        <w:ind w:left="9" w:right="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Flywire supports over 4,600** clients with diverse payment methods in more than 140 currencies across 250 countries and territories around the world. Flywire is headquartered in Boston, MA, USA, with global offices. For more information, visit </w:t>
      </w:r>
      <w:r>
        <w:rPr>
          <w:rFonts w:ascii="Times New Roman" w:cs="Times New Roman" w:eastAsia="Times New Roman" w:hAnsi="Times New Roman"/>
          <w:sz w:val="17"/>
          <w:szCs w:val="17"/>
          <w:u w:val="single" w:color="auto"/>
          <w:color w:val="auto"/>
        </w:rPr>
        <w:t>www.flywire.com</w:t>
      </w:r>
      <w:r>
        <w:rPr>
          <w:rFonts w:ascii="Times New Roman" w:cs="Times New Roman" w:eastAsia="Times New Roman" w:hAnsi="Times New Roman"/>
          <w:sz w:val="17"/>
          <w:szCs w:val="17"/>
          <w:color w:val="auto"/>
        </w:rPr>
        <w:t xml:space="preserve">. Follow Flywire on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(formerly known as Twitter),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Facebook</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409" w:hanging="409"/>
        <w:spacing w:after="0"/>
        <w:tabs>
          <w:tab w:leader="none" w:pos="409"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Excludes clients from Flywire’s Invoiced and Sertifi acquisitions</w:t>
      </w:r>
    </w:p>
    <w:p>
      <w:pPr>
        <w:spacing w:after="0" w:line="3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i w:val="1"/>
          <w:iCs w:val="1"/>
          <w:color w:val="auto"/>
        </w:rPr>
        <w:t>Safe Harbor Statement</w:t>
      </w:r>
    </w:p>
    <w:p>
      <w:pPr>
        <w:spacing w:after="0" w:line="117" w:lineRule="exact"/>
        <w:rPr>
          <w:sz w:val="20"/>
          <w:szCs w:val="20"/>
          <w:color w:val="auto"/>
        </w:rPr>
      </w:pPr>
    </w:p>
    <w:p>
      <w:pPr>
        <w:ind w:left="9"/>
        <w:spacing w:after="0" w:line="252" w:lineRule="auto"/>
        <w:rPr>
          <w:sz w:val="20"/>
          <w:szCs w:val="20"/>
          <w:color w:val="auto"/>
        </w:rPr>
      </w:pPr>
      <w:r>
        <w:rPr>
          <w:rFonts w:ascii="Times New Roman" w:cs="Times New Roman" w:eastAsia="Times New Roman" w:hAnsi="Times New Roman"/>
          <w:sz w:val="17"/>
          <w:szCs w:val="17"/>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w:t>
      </w:r>
    </w:p>
    <w:p>
      <w:pPr>
        <w:sectPr>
          <w:pgSz w:w="11900" w:h="16838" w:orient="portrait"/>
          <w:cols w:equalWidth="0" w:num="1">
            <w:col w:w="10409"/>
          </w:cols>
          <w:pgMar w:left="731" w:top="264" w:right="7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which is on file with the Securities and Exchange Commission (SEC) and available on the SEC’s website at https://www.sec.gov/. Additional factors may be described in those sections of Flywire’s Quarterly Report on Form 10-Q for the quarter ended March 31, 2025, expected to be filed in the second quarter of 2025.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r>
        <w:rPr>
          <w:rFonts w:ascii="Times New Roman" w:cs="Times New Roman" w:eastAsia="Times New Roman" w:hAnsi="Times New Roman"/>
          <w:sz w:val="17"/>
          <w:szCs w:val="17"/>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Masha Kahn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ir@Flywire.com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Sarah King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Media@Flywire.com</w:t>
      </w:r>
    </w:p>
    <w:p>
      <w:pPr>
        <w:sectPr>
          <w:pgSz w:w="11900" w:h="16838" w:orient="portrait"/>
          <w:cols w:equalWidth="0" w:num="1">
            <w:col w:w="10420"/>
          </w:cols>
          <w:pgMar w:left="740" w:top="264" w:right="7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Condensed Consolidated Statements of Operations and Comprehensive Loss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6"/>
              <w:spacing w:after="0" w:line="133"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6"/>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133,452</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Costs and operating expenses: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processing services costs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50,563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16,911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and marketing</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36,569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33,058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31,596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7,339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costs and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(10,988)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(5,963)</w:t>
            </w: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2,934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from remeasurement of foreign currency</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3,892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Realized loss on available-for-sale debt securities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(884)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1,615</w:t>
            </w: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2,548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Unrealized losses on available-for-sale debt securities,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(4,160)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(6,217)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per share attributable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basic and diluted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123,235,263</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123,143,343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20"/>
          </w:cols>
          <w:pgMar w:left="740" w:top="260" w:right="7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Condensed Consolidated Balance Sheets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3"/>
        </w:trPr>
        <w:tc>
          <w:tcPr>
            <w:tcW w:w="20" w:type="dxa"/>
            <w:vAlign w:val="bottom"/>
          </w:tcPr>
          <w:p>
            <w:pPr>
              <w:spacing w:after="0"/>
              <w:rPr>
                <w:sz w:val="11"/>
                <w:szCs w:val="11"/>
                <w:color w:val="auto"/>
              </w:rPr>
            </w:pPr>
          </w:p>
        </w:tc>
        <w:tc>
          <w:tcPr>
            <w:tcW w:w="85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85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190,507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495,242</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64,823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115,848</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33,585</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23,703</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Unbilled receivables, net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11,431</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15,453</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Funds receivable from payment partners</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64,237</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90,110</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31,947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22,528</w:t>
            </w: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396,530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762,884</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18,069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50,125</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17,391</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17,160</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202,014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118,684</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402,715</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149,558</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23,629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24,035</w:t>
            </w: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1,060,348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1,122,446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15,069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15,353</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Funds payable to clients</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106,613</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217,788</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53,022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49,297</w:t>
            </w:r>
          </w:p>
        </w:tc>
      </w:tr>
      <w:tr>
        <w:trPr>
          <w:trHeight w:val="210"/>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7,337</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195,932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289,775</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13,216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12,643</w:t>
            </w:r>
          </w:p>
        </w:tc>
      </w:tr>
      <w:tr>
        <w:trPr>
          <w:trHeight w:val="210"/>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276,083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307,679</w:t>
            </w: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16) Stockholders’ equity:</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85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Preferred stock, $0.0001 par value; 10,000,000 shares authorized as of December 31, 2024 and 2023; and no shares issued</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outstanding as of December 31, 2024 and 2023</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188"/>
        </w:trPr>
        <w:tc>
          <w:tcPr>
            <w:tcW w:w="20" w:type="dxa"/>
            <w:vAlign w:val="bottom"/>
          </w:tcPr>
          <w:p>
            <w:pPr>
              <w:spacing w:after="0"/>
              <w:rPr>
                <w:sz w:val="16"/>
                <w:szCs w:val="16"/>
                <w:color w:val="auto"/>
              </w:rPr>
            </w:pPr>
          </w:p>
        </w:tc>
        <w:tc>
          <w:tcPr>
            <w:tcW w:w="852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Voting common stock, $0.0001 par value; 2,000,000,000 shares authorized as of March 31, 2025 and December 31, 2024;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128,419,082 shares issued and 120,204,647 shares outstanding as of March 31, 2025; 126,853,852 shares issued and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122,182,878 shares outstanding as of December 31, 2024</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r>
      <w:tr>
        <w:trPr>
          <w:trHeight w:val="188"/>
        </w:trPr>
        <w:tc>
          <w:tcPr>
            <w:tcW w:w="20" w:type="dxa"/>
            <w:vAlign w:val="bottom"/>
          </w:tcPr>
          <w:p>
            <w:pPr>
              <w:spacing w:after="0"/>
              <w:rPr>
                <w:sz w:val="16"/>
                <w:szCs w:val="16"/>
                <w:color w:val="auto"/>
              </w:rPr>
            </w:pPr>
          </w:p>
        </w:tc>
        <w:tc>
          <w:tcPr>
            <w:tcW w:w="85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Non-voting common stock, $0.0001 par value; 10,000,000 shares authorized as of March 31, 2025 and December 31, 2024;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1,873,320 shares issued and outstanding as of March 31, 2025 and December 31, 2024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188"/>
        </w:trPr>
        <w:tc>
          <w:tcPr>
            <w:tcW w:w="20" w:type="dxa"/>
            <w:vAlign w:val="bottom"/>
          </w:tcPr>
          <w:p>
            <w:pPr>
              <w:spacing w:after="0"/>
              <w:rPr>
                <w:sz w:val="16"/>
                <w:szCs w:val="16"/>
                <w:color w:val="auto"/>
              </w:rPr>
            </w:pPr>
          </w:p>
        </w:tc>
        <w:tc>
          <w:tcPr>
            <w:tcW w:w="852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Treasury voting conmon stock, 8,214,435 and 4,670,974 shares as of March 31, 2025 and December 31, 2024 respectively,</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held at cost</w:t>
            </w: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(94,489)</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(46,268)</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9"/>
              </w:rPr>
              <w:t>1,053,289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1,033,958</w:t>
            </w:r>
          </w:p>
        </w:tc>
      </w:tr>
      <w:tr>
        <w:trPr>
          <w:trHeight w:val="204"/>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(2,066)</w:t>
            </w: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(175,030)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(170,870)</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784,265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814,767</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1,060,348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1,122,446</w:t>
            </w: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0420"/>
          </w:cols>
          <w:pgMar w:left="740" w:top="260" w:right="7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Condensed Consolidated Statement of Cash Flows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5"/>
              <w:spacing w:after="0" w:line="133"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5"/>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(4,160)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18,218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deferred contract costs</w:t>
            </w: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376</w:t>
            </w: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provision (benefit)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uncollectible accounts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Non-cash interest expense</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interest income</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(508)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(3,492)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Unbilled receivables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Funds receivable from payment partners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25,873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37,714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other current assets and other assets</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(9,151)</w:t>
            </w: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Funds payable to clients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(111,175)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(86,810)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(5,130)</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(255)</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(469)</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(78,890)</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(319,835)</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debt securities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(15,252)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Sale of debt securities</w:t>
            </w: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98,712</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Capitalization of internally developed software</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(1,310)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(187)</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(237,872)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(1,514)</w:t>
            </w: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draw on line of credit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Payment of line of credit debt</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(65,000)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Payments of tax withholdings for net settled equity awards</w:t>
            </w: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(1,676)</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treasury stock</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(49,304)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issuance of stock under Employee Stock Purchase Plan</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1,617</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11,639</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rates changes on cash and cash equivalents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1,764</w:t>
            </w: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(304,735)</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495,242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654,608</w:t>
            </w: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190,507</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20"/>
          </w:cols>
          <w:pgMar w:left="740" w:top="260" w:right="7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Reconciliation of Non-GAAP Financial Measures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(Amounts in millions, except percentages)</w:t>
      </w:r>
    </w:p>
    <w:p>
      <w:pPr>
        <w:spacing w:after="0" w:line="211"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4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3"/>
          </w:tcPr>
          <w:p>
            <w:pPr>
              <w:jc w:val="right"/>
              <w:ind w:right="19"/>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$133.5</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to exclude gross up for:</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Pass-through cost for printing and mailing</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Marketing fees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92"/>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Less Ancillary Services</w:t>
            </w:r>
          </w:p>
        </w:tc>
        <w:tc>
          <w:tcPr>
            <w:tcW w:w="2820" w:type="dxa"/>
            <w:vAlign w:val="bottom"/>
            <w:gridSpan w:val="6"/>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110.2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Payment processing services costs</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3"/>
            <w:vMerge w:val="continue"/>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Hosting and amortization costs within technology and development</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to:</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Exclude printing and mailing costs</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92"/>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Offset marketing fees against related costs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Exclude depreciation and amortization</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92"/>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Cost of Revenue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4"/>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rPr>
              <w:t>46.2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4"/>
          </w:tcPr>
          <w:p>
            <w:pPr>
              <w:jc w:val="right"/>
              <w:ind w:right="152"/>
              <w:spacing w:after="0"/>
              <w:rPr>
                <w:sz w:val="20"/>
                <w:szCs w:val="20"/>
                <w:color w:val="auto"/>
              </w:rPr>
            </w:pPr>
            <w:r>
              <w:rPr>
                <w:rFonts w:ascii="Times New Roman" w:cs="Times New Roman" w:eastAsia="Times New Roman" w:hAnsi="Times New Roman"/>
                <w:sz w:val="17"/>
                <w:szCs w:val="17"/>
                <w:color w:val="auto"/>
              </w:rPr>
              <w:t>80.5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60.3%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Adjusted Gross Profit</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3"/>
            <w:vMerge w:val="continue"/>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Gross Margin</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64.1%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394"/>
        </w:trPr>
        <w:tc>
          <w:tcPr>
            <w:tcW w:w="6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FX Neutral Revenue less Ancillary Services</w:t>
            </w:r>
          </w:p>
        </w:tc>
        <w:tc>
          <w:tcPr>
            <w:tcW w:w="2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72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(in millions)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496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gridSpan w:val="2"/>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52"/>
              <w:spacing w:after="0" w:line="133"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$ 133.5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Ancillary services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Less Ancillary Services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Effects of foreign currency rate fluctuations</w:t>
            </w: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gridSpan w:val="3"/>
            <w:vMerge w:val="continue"/>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FX Neutral Revenue Less Ancillary Services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$ 130.7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110.2</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Revenue Less Ancillary Services</w:t>
            </w: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gridSpan w:val="3"/>
            <w:vMerge w:val="continue"/>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4"/>
              </w:rPr>
              <w:t>$ 128.7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Sertifi Revenue</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6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Revenue Less Ancillary Services excluding Sertifi</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4"/>
              </w:rPr>
              <w:t>$ 124.0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20"/>
          </w:cols>
          <w:pgMar w:left="740" w:top="260"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Reconciliation of Non-GAAP Operating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 millions)</w:t>
      </w:r>
    </w:p>
    <w:p>
      <w:pPr>
        <w:spacing w:after="0" w:line="211"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94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3"/>
        </w:trPr>
        <w:tc>
          <w:tcPr>
            <w:tcW w:w="90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6"/>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1"/>
                <w:szCs w:val="11"/>
                <w:color w:val="auto"/>
              </w:rPr>
            </w:pPr>
          </w:p>
        </w:tc>
      </w:tr>
      <w:tr>
        <w:trPr>
          <w:trHeight w:val="197"/>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Technology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7"/>
                <w:szCs w:val="17"/>
                <w:color w:val="auto"/>
              </w:rPr>
            </w:pPr>
          </w:p>
        </w:tc>
      </w:tr>
      <w:tr>
        <w:trPr>
          <w:trHeight w:val="204"/>
        </w:trPr>
        <w:tc>
          <w:tcPr>
            <w:tcW w:w="9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Stock-based compensation expense and related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w:t>
            </w:r>
          </w:p>
        </w:tc>
      </w:tr>
      <w:tr>
        <w:trPr>
          <w:trHeight w:val="204"/>
        </w:trPr>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Depreciation and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Non-GAAP Technology and development</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Selling and marketing</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w:t>
            </w:r>
          </w:p>
        </w:tc>
      </w:tr>
      <w:tr>
        <w:trPr>
          <w:trHeight w:val="204"/>
        </w:trPr>
        <w:tc>
          <w:tcPr>
            <w:tcW w:w="9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Stock-based compensation expense and related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Depreciation and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Non-GAAP Selling and marketing</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General and administrative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31.6</w:t>
            </w:r>
          </w:p>
        </w:tc>
      </w:tr>
      <w:tr>
        <w:trPr>
          <w:trHeight w:val="204"/>
        </w:trPr>
        <w:tc>
          <w:tcPr>
            <w:tcW w:w="9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Stock-based compensation expense and related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(8.4)</w:t>
            </w:r>
          </w:p>
        </w:tc>
      </w:tr>
      <w:tr>
        <w:trPr>
          <w:trHeight w:val="204"/>
        </w:trPr>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Depreciation and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(0.7)</w:t>
            </w:r>
          </w:p>
        </w:tc>
      </w:tr>
      <w:tr>
        <w:trPr>
          <w:trHeight w:val="204"/>
        </w:trPr>
        <w:tc>
          <w:tcPr>
            <w:tcW w:w="9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Change in fair value of contingent consideration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0.5</w:t>
            </w:r>
          </w:p>
        </w:tc>
      </w:tr>
      <w:tr>
        <w:trPr>
          <w:trHeight w:val="204"/>
        </w:trPr>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Acquisition related transaction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Non-GAAP General and administrative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8"/>
                <w:szCs w:val="18"/>
                <w:color w:val="auto"/>
              </w:rPr>
            </w:pPr>
          </w:p>
        </w:tc>
      </w:tr>
    </w:tbl>
    <w:p>
      <w:pPr>
        <w:sectPr>
          <w:pgSz w:w="11900" w:h="16838" w:orient="portrait"/>
          <w:cols w:equalWidth="0" w:num="1">
            <w:col w:w="10420"/>
          </w:cols>
          <w:pgMar w:left="740" w:top="260" w:right="7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EBITDA, Adjusted EBITDA and Adjusted EBITDA excluding Sertifi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 millions)</w:t>
      </w:r>
    </w:p>
    <w:p>
      <w:pPr>
        <w:spacing w:after="0" w:line="211"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94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3"/>
        </w:trPr>
        <w:tc>
          <w:tcPr>
            <w:tcW w:w="90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6"/>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1"/>
                <w:szCs w:val="11"/>
                <w:color w:val="auto"/>
              </w:rPr>
            </w:pPr>
          </w:p>
        </w:tc>
      </w:tr>
      <w:tr>
        <w:trPr>
          <w:trHeight w:val="197"/>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w:t>
            </w:r>
          </w:p>
        </w:tc>
      </w:tr>
      <w:tr>
        <w:trPr>
          <w:trHeight w:val="204"/>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w:t>
            </w:r>
          </w:p>
        </w:tc>
      </w:tr>
      <w:tr>
        <w:trPr>
          <w:trHeight w:val="204"/>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w:t>
            </w: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7"/>
                <w:szCs w:val="17"/>
                <w:color w:val="auto"/>
              </w:rPr>
            </w:pP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EBITDA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8"/>
                <w:szCs w:val="18"/>
                <w:color w:val="auto"/>
              </w:rPr>
            </w:pP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 and related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r>
      <w:tr>
        <w:trPr>
          <w:trHeight w:val="204"/>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(0.5)</w:t>
            </w: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from remeasurement of foreign currency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r>
      <w:tr>
        <w:trPr>
          <w:trHeight w:val="204"/>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Indirect taxes related to intercompany activity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related transaction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Acquisition related employee retention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w:t>
            </w:r>
          </w:p>
        </w:tc>
      </w:tr>
      <w:tr>
        <w:trPr>
          <w:trHeight w:val="204"/>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Sertifi Adjusted EBITDA Contribution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excluding Sertifi</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420"/>
          </w:cols>
          <w:pgMar w:left="740" w:top="260" w:right="739" w:bottom="1440" w:gutter="0" w:footer="0" w:header="0"/>
        </w:sectPr>
      </w:pPr>
    </w:p>
    <w:bookmarkStart w:id="19" w:name="page20"/>
    <w:bookmarkEnd w:id="19"/>
    <w:p>
      <w:pPr>
        <w:ind w:right="5200"/>
        <w:spacing w:after="0" w:line="26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Net Margin, EBITDA Margin, Adjusted EBITDA Margin and Adjusted EBITDA Margin excluding Sertifi</w:t>
      </w:r>
    </w:p>
    <w:p>
      <w:pPr>
        <w:spacing w:after="0"/>
        <w:rPr>
          <w:sz w:val="20"/>
          <w:szCs w:val="20"/>
          <w:color w:val="auto"/>
        </w:rPr>
      </w:pPr>
      <w:r>
        <w:rPr>
          <w:rFonts w:ascii="Times New Roman" w:cs="Times New Roman" w:eastAsia="Times New Roman" w:hAnsi="Times New Roman"/>
          <w:sz w:val="17"/>
          <w:szCs w:val="17"/>
          <w:b w:val="1"/>
          <w:bCs w:val="1"/>
          <w:color w:val="auto"/>
        </w:rPr>
        <w:t>(Unaudited) (Amounts in millions, except percentages)</w:t>
      </w:r>
    </w:p>
    <w:p>
      <w:pPr>
        <w:spacing w:after="0" w:line="211"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4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3"/>
        </w:trPr>
        <w:tc>
          <w:tcPr>
            <w:tcW w:w="71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1"/>
                <w:szCs w:val="11"/>
                <w:color w:val="auto"/>
              </w:rPr>
            </w:pPr>
          </w:p>
        </w:tc>
      </w:tr>
      <w:tr>
        <w:trPr>
          <w:trHeight w:val="19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(A)</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133.5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114.1</w:t>
            </w:r>
          </w:p>
        </w:tc>
        <w:tc>
          <w:tcPr>
            <w:tcW w:w="200" w:type="dxa"/>
            <w:vAlign w:val="bottom"/>
            <w:shd w:val="clear" w:color="auto" w:fill="CCEEFF"/>
          </w:tcPr>
          <w:p>
            <w:pPr>
              <w:spacing w:after="0"/>
              <w:rPr>
                <w:sz w:val="17"/>
                <w:szCs w:val="17"/>
                <w:color w:val="auto"/>
              </w:rPr>
            </w:pP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Revenue less ancillary services (B)</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128.7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99"/>
              </w:rPr>
              <w:t>110.2</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less ancillary services excluding Sertifi (C)</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9"/>
              </w:rPr>
              <w:t>124.0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Net loss (D)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 (E)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(F)</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 excluding Sertifi (G)</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Net margin (D/A)</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margin using RLAS (D/B)</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EBITDA Margin (E/A)</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 Margin (F/A)</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11.6%</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 excluding Sertifi (G/A)</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 Margin using RLAS (E/B)</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r>
      <w:tr>
        <w:trPr>
          <w:trHeight w:val="20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 using RLAS (F/B)</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12.0%</w:t>
            </w:r>
          </w:p>
        </w:tc>
      </w:tr>
      <w:tr>
        <w:trPr>
          <w:trHeight w:val="20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 Margin excluding Sertifi using RLAS excluding Sertifi (G/C)</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r>
    </w:tbl>
    <w:p>
      <w:pPr>
        <w:sectPr>
          <w:pgSz w:w="11900" w:h="16838" w:orient="portrait"/>
          <w:cols w:equalWidth="0" w:num="1">
            <w:col w:w="10420"/>
          </w:cols>
          <w:pgMar w:left="740" w:top="260" w:right="739" w:bottom="1440" w:gutter="0" w:footer="0" w:header="0"/>
        </w:sectPr>
      </w:pPr>
    </w:p>
    <w:bookmarkStart w:id="20" w:name="page21"/>
    <w:bookmarkEnd w:id="20"/>
    <w:p>
      <w:pPr>
        <w:ind w:left="88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164465</wp:posOffset>
            </wp:positionV>
            <wp:extent cx="6939915" cy="401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9915" cy="4016375"/>
                    </a:xfrm>
                    <a:prstGeom prst="rect">
                      <a:avLst/>
                    </a:prstGeom>
                    <a:noFill/>
                  </pic:spPr>
                </pic:pic>
              </a:graphicData>
            </a:graphic>
          </wp:anchor>
        </w:drawing>
      </w:r>
    </w:p>
    <w:p>
      <w:pPr>
        <w:sectPr>
          <w:pgSz w:w="11900" w:h="16838" w:orient="portrait"/>
          <w:cols w:equalWidth="0" w:num="1">
            <w:col w:w="9720"/>
          </w:cols>
          <w:pgMar w:left="1440" w:top="119" w:right="7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2025-05-06T16:08:44Z</dcterms:created>
  <dcterms:modified xsi:type="dcterms:W3CDTF">2025-05-06T16:08:44Z</dcterms:modified>
</cp:coreProperties>
</file>