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607695</wp:posOffset>
                </wp:positionV>
                <wp:extent cx="68948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47.85pt" to="577.45pt,47.8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626745</wp:posOffset>
                </wp:positionV>
                <wp:extent cx="68948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49.35pt" to="577.45pt,49.35pt" o:allowincell="f" strokecolor="#000000" strokeweight="0.75pt">
                <w10:wrap anchorx="page" anchory="page"/>
              </v:line>
            </w:pict>
          </mc:Fallback>
        </mc:AlternateContent>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59055</wp:posOffset>
                </wp:positionV>
                <wp:extent cx="14084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65pt" to="325.45pt,4.65pt" o:allowincell="f" strokecolor="#000000" strokeweight="1pt"/>
            </w:pict>
          </mc:Fallback>
        </mc:AlternateConten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86995</wp:posOffset>
                </wp:positionV>
                <wp:extent cx="1408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85pt" to="325.45pt,6.85pt" o:allowincell="f" strokecolor="#000000" strokeweight="1pt"/>
            </w:pict>
          </mc:Fallback>
        </mc:AlternateContent>
      </w:r>
    </w:p>
    <w:p>
      <w:pPr>
        <w:spacing w:after="0" w:line="17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ind w:left="440" w:hanging="426"/>
        <w:spacing w:after="0" w:line="180" w:lineRule="auto"/>
        <w:tabs>
          <w:tab w:leader="none" w:pos="440" w:val="left"/>
        </w:tabs>
        <w:numPr>
          <w:ilvl w:val="0"/>
          <w:numId w:val="1"/>
        </w:numPr>
        <w:rPr>
          <w:rFonts w:ascii="MS PGothic" w:cs="MS PGothic" w:eastAsia="MS PGothic" w:hAnsi="MS PGothic"/>
          <w:sz w:val="30"/>
          <w:szCs w:val="30"/>
          <w:b w:val="1"/>
          <w:bCs w:val="1"/>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2023</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440" w:hanging="426"/>
        <w:spacing w:after="0" w:line="192" w:lineRule="auto"/>
        <w:tabs>
          <w:tab w:leader="none" w:pos="440" w:val="left"/>
        </w:tabs>
        <w:numPr>
          <w:ilvl w:val="0"/>
          <w:numId w:val="2"/>
        </w:numPr>
        <w:rPr>
          <w:rFonts w:ascii="MS PGothic" w:cs="MS PGothic" w:eastAsia="MS PGothic" w:hAnsi="MS PGothic"/>
          <w:sz w:val="36"/>
          <w:szCs w:val="36"/>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p>
      <w:pPr>
        <w:ind w:left="440"/>
        <w:spacing w:after="0"/>
        <w:tabs>
          <w:tab w:leader="none" w:pos="43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001-40430</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highlight w:val="white"/>
        </w:rPr>
        <w:t>FLYWIRE CORPORATION</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-268605</wp:posOffset>
                </wp:positionV>
                <wp:extent cx="1408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1.1499pt" to="325.45pt,-21.1499pt" o:allowincell="f" strokecolor="#000000" strokeweight="1pt"/>
            </w:pict>
          </mc:Fallback>
        </mc:AlternateContent>
      </w:r>
    </w:p>
    <w:p>
      <w:pPr>
        <w:sectPr>
          <w:pgSz w:w="12240" w:h="15840" w:orient="portrait"/>
          <w:cols w:equalWidth="0" w:num="1">
            <w:col w:w="10800"/>
          </w:cols>
          <w:pgMar w:left="720" w:top="1100" w:right="720" w:bottom="412" w:gutter="0" w:footer="0" w:header="0"/>
        </w:sectPr>
      </w:pPr>
    </w:p>
    <w:p>
      <w:pPr>
        <w:spacing w:after="0" w:line="5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59055</wp:posOffset>
                </wp:positionV>
                <wp:extent cx="14084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65pt" to="325.45pt,4.65pt" o:allowincell="f" strokecolor="#000000" strokeweight="1pt"/>
            </w:pict>
          </mc:Fallback>
        </mc:AlternateContent>
      </w:r>
    </w:p>
    <w:p>
      <w:pPr>
        <w:spacing w:after="0" w:line="133"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spacing w:after="0" w:line="25"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auto"/>
        </w:rPr>
        <w:t>(State or other jurisdiction of</w:t>
      </w:r>
    </w:p>
    <w:p>
      <w:pPr>
        <w:ind w:left="1700"/>
        <w:spacing w:after="0"/>
        <w:rPr>
          <w:sz w:val="20"/>
          <w:szCs w:val="20"/>
          <w:color w:val="auto"/>
        </w:rPr>
      </w:pPr>
      <w:r>
        <w:rPr>
          <w:rFonts w:ascii="Arial" w:cs="Arial" w:eastAsia="Arial" w:hAnsi="Arial"/>
          <w:sz w:val="14"/>
          <w:szCs w:val="14"/>
          <w:b w:val="1"/>
          <w:bCs w:val="1"/>
          <w:color w:val="auto"/>
        </w:rPr>
        <w:t>incorporation or organization)</w:t>
      </w:r>
    </w:p>
    <w:p>
      <w:pPr>
        <w:spacing w:after="0" w:line="16"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141 Tremont St #10</w:t>
      </w:r>
    </w:p>
    <w:p>
      <w:pPr>
        <w:ind w:left="2200"/>
        <w:spacing w:after="0"/>
        <w:rPr>
          <w:sz w:val="20"/>
          <w:szCs w:val="20"/>
          <w:color w:val="auto"/>
        </w:rPr>
      </w:pPr>
      <w:r>
        <w:rPr>
          <w:rFonts w:ascii="Arial" w:cs="Arial" w:eastAsia="Arial" w:hAnsi="Arial"/>
          <w:sz w:val="18"/>
          <w:szCs w:val="18"/>
          <w:b w:val="1"/>
          <w:bCs w:val="1"/>
          <w:color w:val="auto"/>
        </w:rPr>
        <w:t>Boston, MA</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27-0690799</w:t>
      </w:r>
    </w:p>
    <w:p>
      <w:pPr>
        <w:spacing w:after="0" w:line="40"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14"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02111</w:t>
      </w:r>
    </w:p>
    <w:p>
      <w:pPr>
        <w:spacing w:after="0" w:line="24" w:lineRule="exact"/>
        <w:rPr>
          <w:sz w:val="24"/>
          <w:szCs w:val="24"/>
          <w:color w:val="auto"/>
        </w:rPr>
      </w:pPr>
    </w:p>
    <w:p>
      <w:pPr>
        <w:sectPr>
          <w:pgSz w:w="12240" w:h="15840" w:orient="portrait"/>
          <w:cols w:equalWidth="0" w:num="2">
            <w:col w:w="7360" w:space="140"/>
            <w:col w:w="3300"/>
          </w:cols>
          <w:pgMar w:left="720" w:top="1100" w:right="720" w:bottom="412" w:gutter="0" w:footer="0" w:header="0"/>
          <w:type w:val="continuous"/>
        </w:sectPr>
      </w:pPr>
    </w:p>
    <w:p>
      <w:pPr>
        <w:ind w:left="1380"/>
        <w:spacing w:after="0"/>
        <w:tabs>
          <w:tab w:leader="none" w:pos="77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4"/>
          <w:szCs w:val="14"/>
          <w:b w:val="1"/>
          <w:bCs w:val="1"/>
          <w:color w:val="auto"/>
        </w:rPr>
        <w:t>(Zip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74295</wp:posOffset>
                </wp:positionV>
                <wp:extent cx="14084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85pt" to="325.45pt,5.85pt" o:allowincell="f" strokecolor="#000000" strokeweight="1pt"/>
            </w:pict>
          </mc:Fallback>
        </mc:AlternateConten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70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1700" w:type="dxa"/>
            <w:vAlign w:val="bottom"/>
          </w:tcPr>
          <w:p>
            <w:pPr>
              <w:jc w:val="center"/>
              <w:ind w:right="260"/>
              <w:spacing w:after="0"/>
              <w:rPr>
                <w:sz w:val="20"/>
                <w:szCs w:val="20"/>
                <w:color w:val="auto"/>
              </w:rPr>
            </w:pPr>
            <w:r>
              <w:rPr>
                <w:rFonts w:ascii="Arial" w:cs="Arial" w:eastAsia="Arial" w:hAnsi="Arial"/>
                <w:sz w:val="16"/>
                <w:szCs w:val="16"/>
                <w:b w:val="1"/>
                <w:bCs w:val="1"/>
                <w:color w:val="auto"/>
              </w:rPr>
              <w:t>Trading</w:t>
            </w:r>
          </w:p>
        </w:tc>
        <w:tc>
          <w:tcPr>
            <w:tcW w:w="4760" w:type="dxa"/>
            <w:vAlign w:val="bottom"/>
          </w:tcPr>
          <w:p>
            <w:pPr>
              <w:spacing w:after="0"/>
              <w:rPr>
                <w:sz w:val="18"/>
                <w:szCs w:val="18"/>
                <w:color w:val="auto"/>
              </w:rPr>
            </w:pPr>
          </w:p>
        </w:tc>
      </w:tr>
      <w:tr>
        <w:trPr>
          <w:trHeight w:val="203"/>
        </w:trPr>
        <w:tc>
          <w:tcPr>
            <w:tcW w:w="434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Title of each class</w:t>
            </w:r>
          </w:p>
        </w:tc>
        <w:tc>
          <w:tcPr>
            <w:tcW w:w="170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w w:val="98"/>
              </w:rPr>
              <w:t>Symbol(s)</w:t>
            </w:r>
          </w:p>
        </w:tc>
        <w:tc>
          <w:tcPr>
            <w:tcW w:w="47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79"/>
        </w:trPr>
        <w:tc>
          <w:tcPr>
            <w:tcW w:w="4340" w:type="dxa"/>
            <w:vAlign w:val="bottom"/>
          </w:tcPr>
          <w:p>
            <w:pPr>
              <w:spacing w:after="0" w:line="179" w:lineRule="exact"/>
              <w:rPr>
                <w:sz w:val="20"/>
                <w:szCs w:val="20"/>
                <w:color w:val="auto"/>
              </w:rPr>
            </w:pPr>
            <w:r>
              <w:rPr>
                <w:rFonts w:ascii="Arial" w:cs="Arial" w:eastAsia="Arial" w:hAnsi="Arial"/>
                <w:sz w:val="16"/>
                <w:szCs w:val="16"/>
                <w:b w:val="1"/>
                <w:bCs w:val="1"/>
                <w:color w:val="auto"/>
              </w:rPr>
              <w:t>Voting common stock, $0.0001 par value per share</w:t>
            </w:r>
          </w:p>
        </w:tc>
        <w:tc>
          <w:tcPr>
            <w:tcW w:w="1700" w:type="dxa"/>
            <w:vAlign w:val="bottom"/>
          </w:tcPr>
          <w:p>
            <w:pPr>
              <w:jc w:val="center"/>
              <w:ind w:right="260"/>
              <w:spacing w:after="0" w:line="179" w:lineRule="exact"/>
              <w:rPr>
                <w:sz w:val="20"/>
                <w:szCs w:val="20"/>
                <w:color w:val="auto"/>
              </w:rPr>
            </w:pPr>
            <w:r>
              <w:rPr>
                <w:rFonts w:ascii="Arial" w:cs="Arial" w:eastAsia="Arial" w:hAnsi="Arial"/>
                <w:sz w:val="16"/>
                <w:szCs w:val="16"/>
                <w:b w:val="1"/>
                <w:bCs w:val="1"/>
                <w:color w:val="auto"/>
                <w:w w:val="96"/>
              </w:rPr>
              <w:t>FLYW</w:t>
            </w:r>
          </w:p>
        </w:tc>
        <w:tc>
          <w:tcPr>
            <w:tcW w:w="4760" w:type="dxa"/>
            <w:vAlign w:val="bottom"/>
          </w:tcPr>
          <w:p>
            <w:pPr>
              <w:jc w:val="center"/>
              <w:ind w:right="20"/>
              <w:spacing w:after="0" w:line="179" w:lineRule="exact"/>
              <w:rPr>
                <w:sz w:val="20"/>
                <w:szCs w:val="20"/>
                <w:color w:val="auto"/>
              </w:rPr>
            </w:pPr>
            <w:r>
              <w:rPr>
                <w:rFonts w:ascii="Arial" w:cs="Arial" w:eastAsia="Arial" w:hAnsi="Arial"/>
                <w:sz w:val="16"/>
                <w:szCs w:val="16"/>
                <w:b w:val="1"/>
                <w:bCs w:val="1"/>
                <w:color w:val="auto"/>
                <w:w w:val="99"/>
              </w:rPr>
              <w:t>The Nasdaq Stock Market LLC</w:t>
            </w:r>
          </w:p>
        </w:tc>
      </w:tr>
    </w:tbl>
    <w:p>
      <w:pPr>
        <w:ind w:left="7220"/>
        <w:spacing w:after="0"/>
        <w:rPr>
          <w:sz w:val="20"/>
          <w:szCs w:val="20"/>
          <w:color w:val="auto"/>
        </w:rPr>
      </w:pPr>
      <w:r>
        <w:rPr>
          <w:rFonts w:ascii="Arial" w:cs="Arial" w:eastAsia="Arial" w:hAnsi="Arial"/>
          <w:sz w:val="16"/>
          <w:szCs w:val="16"/>
          <w:b w:val="1"/>
          <w:bCs w:val="1"/>
          <w:color w:val="auto"/>
        </w:rPr>
        <w:t>(Nasdaq Global Select Market)</w:t>
      </w: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9" w:lineRule="exact"/>
        <w:rPr>
          <w:sz w:val="24"/>
          <w:szCs w:val="24"/>
          <w:color w:val="auto"/>
        </w:rPr>
      </w:pPr>
    </w:p>
    <w:p>
      <w:pPr>
        <w:ind w:right="2560"/>
        <w:spacing w:after="0" w:line="23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3" w:lineRule="exact"/>
        <w:rPr>
          <w:sz w:val="24"/>
          <w:szCs w:val="24"/>
          <w:color w:val="auto"/>
        </w:rPr>
      </w:pPr>
    </w:p>
    <w:p>
      <w:pPr>
        <w:ind w:right="220"/>
        <w:spacing w:after="0" w:line="199"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22"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22" w:lineRule="exact"/>
        <w:rPr>
          <w:sz w:val="24"/>
          <w:szCs w:val="24"/>
          <w:color w:val="auto"/>
        </w:rPr>
      </w:pPr>
    </w:p>
    <w:p>
      <w:pPr>
        <w:ind w:right="10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b w:val="1"/>
                <w:bCs w:val="1"/>
                <w:color w:val="auto"/>
              </w:rPr>
              <w:t>☒</w:t>
            </w:r>
          </w:p>
        </w:tc>
        <w:tc>
          <w:tcPr>
            <w:tcW w:w="498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375"/>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b w:val="1"/>
                <w:bCs w:val="1"/>
                <w:color w:val="auto"/>
              </w:rPr>
              <w:t>☐</w:t>
            </w:r>
          </w:p>
        </w:tc>
        <w:tc>
          <w:tcPr>
            <w:tcW w:w="498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375"/>
        </w:trPr>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98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22"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b w:val="1"/>
          <w:bCs w:val="1"/>
          <w:color w:val="auto"/>
        </w:rPr>
        <w:t>☐</w:t>
      </w:r>
    </w:p>
    <w:p>
      <w:pPr>
        <w:spacing w:after="0" w:line="22"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b w:val="1"/>
          <w:bCs w:val="1"/>
          <w:color w:val="auto"/>
        </w:rPr>
        <w:t>☒</w:t>
      </w:r>
    </w:p>
    <w:p>
      <w:pPr>
        <w:spacing w:after="0" w:line="22" w:lineRule="exact"/>
        <w:rPr>
          <w:sz w:val="24"/>
          <w:szCs w:val="24"/>
          <w:color w:val="auto"/>
        </w:rPr>
      </w:pPr>
    </w:p>
    <w:p>
      <w:pPr>
        <w:ind w:right="46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b w:val="1"/>
          <w:bCs w:val="1"/>
          <w:color w:val="auto"/>
        </w:rPr>
        <w:t>☐</w:t>
      </w:r>
    </w:p>
    <w:p>
      <w:pPr>
        <w:spacing w:after="0" w:line="22" w:lineRule="exact"/>
        <w:rPr>
          <w:sz w:val="24"/>
          <w:szCs w:val="24"/>
          <w:color w:val="auto"/>
        </w:rPr>
      </w:pPr>
    </w:p>
    <w:p>
      <w:pPr>
        <w:ind w:right="32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b w:val="1"/>
          <w:bCs w:val="1"/>
          <w:color w:val="auto"/>
        </w:rPr>
        <w:t>☐</w:t>
      </w:r>
    </w:p>
    <w:p>
      <w:pPr>
        <w:spacing w:after="0" w:line="20" w:lineRule="exact"/>
        <w:rPr>
          <w:sz w:val="24"/>
          <w:szCs w:val="24"/>
          <w:color w:val="auto"/>
        </w:rPr>
      </w:pPr>
    </w:p>
    <w:p>
      <w:pPr>
        <w:spacing w:after="0" w:line="161" w:lineRule="exact"/>
        <w:tabs>
          <w:tab w:leader="none" w:pos="76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b w:val="1"/>
          <w:bCs w:val="1"/>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b w:val="1"/>
          <w:bCs w:val="1"/>
          <w:color w:val="auto"/>
        </w:rPr>
        <w:t>☒</w:t>
      </w:r>
    </w:p>
    <w:p>
      <w:pPr>
        <w:spacing w:after="0" w:line="88" w:lineRule="exact"/>
        <w:rPr>
          <w:sz w:val="24"/>
          <w:szCs w:val="24"/>
          <w:color w:val="auto"/>
        </w:rPr>
      </w:pPr>
    </w:p>
    <w:p>
      <w:pPr>
        <w:ind w:right="40"/>
        <w:spacing w:after="0" w:line="250" w:lineRule="auto"/>
        <w:rPr>
          <w:sz w:val="20"/>
          <w:szCs w:val="20"/>
          <w:color w:val="auto"/>
        </w:rPr>
      </w:pPr>
      <w:r>
        <w:rPr>
          <w:rFonts w:ascii="Arial" w:cs="Arial" w:eastAsia="Arial" w:hAnsi="Arial"/>
          <w:sz w:val="14"/>
          <w:szCs w:val="14"/>
          <w:color w:val="auto"/>
        </w:rPr>
        <w:t>As of June 30, 2023, the last business day of the registrant’s mostly recently completed second fiscal quarter, the aggregate market value of the voting and non-voting common stock held by non-affiliates of the registrant was $3,367,883,922 based upon the closing sale price of our voting common stock of $31.04 per share on that date. The voting and non-voting common stock held by each officer and director and by each person known to own in excess of 5% of aggregate outstanding shares of our voting and non-voting common stock has been excluded in that such persons may be deemed to be affiliates. The determination of affiliate status is not necessarily a conclusive determination for other purposes.</w:t>
      </w:r>
    </w:p>
    <w:p>
      <w:pPr>
        <w:spacing w:after="0" w:line="26"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As of February 23, 2024, the registrant had 120,954,994 shares of voting common stock, $0.0001 par value per share, outstanding and 1,873,320 shares of non-voting common stock $0.0001 par value per share, outstanding.</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62"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Portions of the registrant’s proxy statement for the 2024 annual meeting of stockholders to be filed pursuant to Regulation 14A within 120 days after the registrant’s fiscal year ended December 31, 2023, are incorporated by reference in Part III of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85725</wp:posOffset>
                </wp:positionV>
                <wp:extent cx="68948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75pt" to="541.45pt,6.7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66675</wp:posOffset>
                </wp:positionV>
                <wp:extent cx="68948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25pt" to="541.45pt,5.25pt" o:allowincell="f" strokecolor="#000000" strokeweight="0.75pt"/>
            </w:pict>
          </mc:Fallback>
        </mc:AlternateContent>
      </w:r>
    </w:p>
    <w:p>
      <w:pPr>
        <w:sectPr>
          <w:pgSz w:w="12240" w:h="15840" w:orient="portrait"/>
          <w:cols w:equalWidth="0" w:num="1">
            <w:col w:w="10800"/>
          </w:cols>
          <w:pgMar w:left="720" w:top="1100" w:right="720" w:bottom="412" w:gutter="0" w:footer="0" w:header="0"/>
          <w:type w:val="continuous"/>
        </w:sectPr>
      </w:pPr>
    </w:p>
    <w:p>
      <w:pPr>
        <w:spacing w:after="0" w:line="142" w:lineRule="exact"/>
        <w:rPr>
          <w:sz w:val="24"/>
          <w:szCs w:val="24"/>
          <w:color w:val="auto"/>
        </w:rPr>
      </w:pPr>
    </w:p>
    <w:p>
      <w:pPr>
        <w:spacing w:after="0"/>
        <w:rPr>
          <w:sz w:val="20"/>
          <w:szCs w:val="20"/>
          <w:color w:val="auto"/>
        </w:rPr>
      </w:pPr>
      <w:r>
        <w:rPr>
          <w:rFonts w:ascii="Arial" w:cs="Arial" w:eastAsia="Arial" w:hAnsi="Arial"/>
          <w:sz w:val="2"/>
          <w:szCs w:val="2"/>
          <w:color w:val="auto"/>
        </w:rPr>
        <w:t> </w:t>
      </w:r>
    </w:p>
    <w:p>
      <w:pPr>
        <w:sectPr>
          <w:pgSz w:w="12240" w:h="15840" w:orient="portrait"/>
          <w:cols w:equalWidth="0" w:num="1">
            <w:col w:w="10800"/>
          </w:cols>
          <w:pgMar w:left="720" w:top="1100" w:right="720" w:bottom="412"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6"/>
              </w:rPr>
              <w:t>Page</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20"/>
                <w:szCs w:val="20"/>
                <w:color w:val="auto"/>
                <w:highlight w:val="white"/>
              </w:rPr>
              <w:t>Special Note Regarding Forward-Looking Statements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highlight w:val="white"/>
              </w:rPr>
              <w:t>2</w:t>
            </w:r>
          </w:p>
        </w:tc>
        <w:tc>
          <w:tcPr>
            <w:tcW w:w="0" w:type="dxa"/>
            <w:vAlign w:val="bottom"/>
          </w:tcPr>
          <w:p>
            <w:pPr>
              <w:spacing w:after="0"/>
              <w:rPr>
                <w:sz w:val="1"/>
                <w:szCs w:val="1"/>
                <w:color w:val="auto"/>
              </w:rPr>
            </w:pPr>
          </w:p>
        </w:tc>
      </w:tr>
      <w:tr>
        <w:trPr>
          <w:trHeight w:val="245"/>
        </w:trPr>
        <w:tc>
          <w:tcPr>
            <w:tcW w:w="660" w:type="dxa"/>
            <w:vAlign w:val="bottom"/>
            <w:vMerge w:val="restart"/>
          </w:tcPr>
          <w:p>
            <w:pPr>
              <w:spacing w:after="0"/>
              <w:rPr>
                <w:sz w:val="20"/>
                <w:szCs w:val="20"/>
                <w:color w:val="auto"/>
              </w:rPr>
            </w:pPr>
            <w:r>
              <w:rPr>
                <w:rFonts w:ascii="Arial" w:cs="Arial" w:eastAsia="Arial" w:hAnsi="Arial"/>
                <w:sz w:val="20"/>
                <w:szCs w:val="20"/>
                <w:b w:val="1"/>
                <w:bCs w:val="1"/>
                <w:color w:val="auto"/>
                <w:highlight w:val="white"/>
                <w:w w:val="97"/>
              </w:rPr>
              <w:t>PART I</w:t>
            </w:r>
          </w:p>
        </w:tc>
        <w:tc>
          <w:tcPr>
            <w:tcW w:w="38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1.</w:t>
            </w:r>
          </w:p>
        </w:tc>
        <w:tc>
          <w:tcPr>
            <w:tcW w:w="7740" w:type="dxa"/>
            <w:vAlign w:val="bottom"/>
          </w:tcPr>
          <w:p>
            <w:pPr>
              <w:spacing w:after="0"/>
              <w:rPr>
                <w:sz w:val="20"/>
                <w:szCs w:val="20"/>
                <w:color w:val="auto"/>
              </w:rPr>
            </w:pPr>
            <w:r>
              <w:rPr>
                <w:rFonts w:ascii="Arial" w:cs="Arial" w:eastAsia="Arial" w:hAnsi="Arial"/>
                <w:sz w:val="20"/>
                <w:szCs w:val="20"/>
                <w:color w:val="auto"/>
              </w:rPr>
              <w:t>Business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1A.</w:t>
            </w:r>
          </w:p>
        </w:tc>
        <w:tc>
          <w:tcPr>
            <w:tcW w:w="7740" w:type="dxa"/>
            <w:vAlign w:val="bottom"/>
          </w:tcPr>
          <w:p>
            <w:pPr>
              <w:spacing w:after="0"/>
              <w:rPr>
                <w:sz w:val="20"/>
                <w:szCs w:val="20"/>
                <w:color w:val="auto"/>
              </w:rPr>
            </w:pPr>
            <w:r>
              <w:rPr>
                <w:rFonts w:ascii="Arial" w:cs="Arial" w:eastAsia="Arial" w:hAnsi="Arial"/>
                <w:sz w:val="20"/>
                <w:szCs w:val="20"/>
                <w:color w:val="auto"/>
              </w:rPr>
              <w:t>Risk Factors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1B.</w:t>
            </w:r>
          </w:p>
        </w:tc>
        <w:tc>
          <w:tcPr>
            <w:tcW w:w="7740" w:type="dxa"/>
            <w:vAlign w:val="bottom"/>
          </w:tcPr>
          <w:p>
            <w:pPr>
              <w:spacing w:after="0"/>
              <w:rPr>
                <w:sz w:val="20"/>
                <w:szCs w:val="20"/>
                <w:color w:val="auto"/>
              </w:rPr>
            </w:pPr>
            <w:r>
              <w:rPr>
                <w:rFonts w:ascii="Arial" w:cs="Arial" w:eastAsia="Arial" w:hAnsi="Arial"/>
                <w:sz w:val="20"/>
                <w:szCs w:val="20"/>
                <w:color w:val="auto"/>
              </w:rPr>
              <w:t>Unresolved Staff Comments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1C.</w:t>
            </w:r>
          </w:p>
        </w:tc>
        <w:tc>
          <w:tcPr>
            <w:tcW w:w="7740" w:type="dxa"/>
            <w:vAlign w:val="bottom"/>
          </w:tcPr>
          <w:p>
            <w:pPr>
              <w:spacing w:after="0"/>
              <w:rPr>
                <w:sz w:val="20"/>
                <w:szCs w:val="20"/>
                <w:color w:val="auto"/>
              </w:rPr>
            </w:pPr>
            <w:r>
              <w:rPr>
                <w:rFonts w:ascii="Arial" w:cs="Arial" w:eastAsia="Arial" w:hAnsi="Arial"/>
                <w:sz w:val="20"/>
                <w:szCs w:val="20"/>
                <w:color w:val="auto"/>
              </w:rPr>
              <w:t>Cybersecurity</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2.</w:t>
            </w:r>
          </w:p>
        </w:tc>
        <w:tc>
          <w:tcPr>
            <w:tcW w:w="7740" w:type="dxa"/>
            <w:vAlign w:val="bottom"/>
          </w:tcPr>
          <w:p>
            <w:pPr>
              <w:spacing w:after="0"/>
              <w:rPr>
                <w:sz w:val="20"/>
                <w:szCs w:val="20"/>
                <w:color w:val="auto"/>
              </w:rPr>
            </w:pPr>
            <w:r>
              <w:rPr>
                <w:rFonts w:ascii="Arial" w:cs="Arial" w:eastAsia="Arial" w:hAnsi="Arial"/>
                <w:sz w:val="20"/>
                <w:szCs w:val="20"/>
                <w:color w:val="auto"/>
              </w:rPr>
              <w:t>Properties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3.</w:t>
            </w:r>
          </w:p>
        </w:tc>
        <w:tc>
          <w:tcPr>
            <w:tcW w:w="7740" w:type="dxa"/>
            <w:vAlign w:val="bottom"/>
          </w:tcPr>
          <w:p>
            <w:pPr>
              <w:spacing w:after="0"/>
              <w:rPr>
                <w:sz w:val="20"/>
                <w:szCs w:val="20"/>
                <w:color w:val="auto"/>
              </w:rPr>
            </w:pPr>
            <w:r>
              <w:rPr>
                <w:rFonts w:ascii="Arial" w:cs="Arial" w:eastAsia="Arial" w:hAnsi="Arial"/>
                <w:sz w:val="20"/>
                <w:szCs w:val="20"/>
                <w:color w:val="auto"/>
              </w:rPr>
              <w:t>Legal Proceedings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highlight w:val="white"/>
              </w:rPr>
              <w:t>Item 4.</w:t>
            </w:r>
          </w:p>
        </w:tc>
        <w:tc>
          <w:tcPr>
            <w:tcW w:w="7740" w:type="dxa"/>
            <w:vAlign w:val="bottom"/>
          </w:tcPr>
          <w:p>
            <w:pPr>
              <w:spacing w:after="0"/>
              <w:rPr>
                <w:sz w:val="20"/>
                <w:szCs w:val="20"/>
                <w:color w:val="auto"/>
              </w:rPr>
            </w:pPr>
            <w:r>
              <w:rPr>
                <w:rFonts w:ascii="Arial" w:cs="Arial" w:eastAsia="Arial" w:hAnsi="Arial"/>
                <w:sz w:val="20"/>
                <w:szCs w:val="20"/>
                <w:color w:val="auto"/>
              </w:rPr>
              <w:t>Mine Safety Disclosures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20"/>
                <w:szCs w:val="20"/>
                <w:b w:val="1"/>
                <w:bCs w:val="1"/>
                <w:color w:val="auto"/>
              </w:rPr>
              <w:t>PART II</w:t>
            </w:r>
          </w:p>
        </w:tc>
        <w:tc>
          <w:tcPr>
            <w:tcW w:w="7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5.</w:t>
            </w:r>
          </w:p>
        </w:tc>
        <w:tc>
          <w:tcPr>
            <w:tcW w:w="7740" w:type="dxa"/>
            <w:vAlign w:val="bottom"/>
          </w:tcPr>
          <w:p>
            <w:pPr>
              <w:spacing w:after="0"/>
              <w:rPr>
                <w:sz w:val="20"/>
                <w:szCs w:val="20"/>
                <w:color w:val="auto"/>
              </w:rPr>
            </w:pPr>
            <w:r>
              <w:rPr>
                <w:rFonts w:ascii="Arial" w:cs="Arial" w:eastAsia="Arial" w:hAnsi="Arial"/>
                <w:sz w:val="20"/>
                <w:szCs w:val="20"/>
                <w:color w:val="auto"/>
              </w:rPr>
              <w:t>Market for Registrant’s Common Equity, Related Stockholder Matters and Issuer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20"/>
                <w:szCs w:val="20"/>
                <w:color w:val="auto"/>
              </w:rPr>
              <w:t>Purchases of Equity Securities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6.</w:t>
            </w:r>
          </w:p>
        </w:tc>
        <w:tc>
          <w:tcPr>
            <w:tcW w:w="7740" w:type="dxa"/>
            <w:vAlign w:val="bottom"/>
          </w:tcPr>
          <w:p>
            <w:pPr>
              <w:spacing w:after="0"/>
              <w:rPr>
                <w:sz w:val="20"/>
                <w:szCs w:val="20"/>
                <w:color w:val="auto"/>
              </w:rPr>
            </w:pPr>
            <w:r>
              <w:rPr>
                <w:rFonts w:ascii="Arial" w:cs="Arial" w:eastAsia="Arial" w:hAnsi="Arial"/>
                <w:sz w:val="20"/>
                <w:szCs w:val="20"/>
                <w:color w:val="auto"/>
              </w:rPr>
              <w:t>[Reserved]</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30"/>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7.</w:t>
            </w:r>
          </w:p>
        </w:tc>
        <w:tc>
          <w:tcPr>
            <w:tcW w:w="7740" w:type="dxa"/>
            <w:vAlign w:val="bottom"/>
          </w:tcPr>
          <w:p>
            <w:pPr>
              <w:spacing w:after="0"/>
              <w:rPr>
                <w:sz w:val="20"/>
                <w:szCs w:val="20"/>
                <w:color w:val="auto"/>
              </w:rPr>
            </w:pPr>
            <w:r>
              <w:rPr>
                <w:rFonts w:ascii="Arial" w:cs="Arial" w:eastAsia="Arial" w:hAnsi="Arial"/>
                <w:sz w:val="20"/>
                <w:szCs w:val="20"/>
                <w:color w:val="auto"/>
              </w:rPr>
              <w:t>Management’s Discussion and Analysis of Financial Condition and Results of</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20"/>
                <w:szCs w:val="20"/>
                <w:color w:val="auto"/>
              </w:rPr>
              <w:t>Operations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7A.</w:t>
            </w:r>
          </w:p>
        </w:tc>
        <w:tc>
          <w:tcPr>
            <w:tcW w:w="7740" w:type="dxa"/>
            <w:vAlign w:val="bottom"/>
          </w:tcPr>
          <w:p>
            <w:pPr>
              <w:spacing w:after="0"/>
              <w:rPr>
                <w:sz w:val="20"/>
                <w:szCs w:val="20"/>
                <w:color w:val="auto"/>
              </w:rPr>
            </w:pPr>
            <w:r>
              <w:rPr>
                <w:rFonts w:ascii="Arial" w:cs="Arial" w:eastAsia="Arial" w:hAnsi="Arial"/>
                <w:sz w:val="20"/>
                <w:szCs w:val="20"/>
                <w:color w:val="auto"/>
              </w:rPr>
              <w:t>Quantitative and Qualitative Disclosures About Market Risk</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8.</w:t>
            </w:r>
          </w:p>
        </w:tc>
        <w:tc>
          <w:tcPr>
            <w:tcW w:w="7740" w:type="dxa"/>
            <w:vAlign w:val="bottom"/>
          </w:tcPr>
          <w:p>
            <w:pPr>
              <w:spacing w:after="0"/>
              <w:rPr>
                <w:sz w:val="20"/>
                <w:szCs w:val="20"/>
                <w:color w:val="auto"/>
              </w:rPr>
            </w:pPr>
            <w:r>
              <w:rPr>
                <w:rFonts w:ascii="Arial" w:cs="Arial" w:eastAsia="Arial" w:hAnsi="Arial"/>
                <w:sz w:val="20"/>
                <w:szCs w:val="20"/>
                <w:color w:val="auto"/>
              </w:rPr>
              <w:t>Financial Statements and Supplementary Data</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0"/>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9.</w:t>
            </w:r>
          </w:p>
        </w:tc>
        <w:tc>
          <w:tcPr>
            <w:tcW w:w="7740" w:type="dxa"/>
            <w:vAlign w:val="bottom"/>
          </w:tcPr>
          <w:p>
            <w:pPr>
              <w:spacing w:after="0"/>
              <w:rPr>
                <w:sz w:val="20"/>
                <w:szCs w:val="20"/>
                <w:color w:val="auto"/>
              </w:rPr>
            </w:pPr>
            <w:r>
              <w:rPr>
                <w:rFonts w:ascii="Arial" w:cs="Arial" w:eastAsia="Arial" w:hAnsi="Arial"/>
                <w:sz w:val="20"/>
                <w:szCs w:val="20"/>
                <w:color w:val="auto"/>
              </w:rPr>
              <w:t>Changes in and Disagreements with Accountants on Accounting and Financial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20"/>
                <w:szCs w:val="20"/>
                <w:color w:val="auto"/>
              </w:rPr>
              <w:t>Disclosure</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9A.</w:t>
            </w:r>
          </w:p>
        </w:tc>
        <w:tc>
          <w:tcPr>
            <w:tcW w:w="7740" w:type="dxa"/>
            <w:vAlign w:val="bottom"/>
          </w:tcPr>
          <w:p>
            <w:pPr>
              <w:spacing w:after="0"/>
              <w:rPr>
                <w:sz w:val="20"/>
                <w:szCs w:val="20"/>
                <w:color w:val="auto"/>
              </w:rPr>
            </w:pPr>
            <w:r>
              <w:rPr>
                <w:rFonts w:ascii="Arial" w:cs="Arial" w:eastAsia="Arial" w:hAnsi="Arial"/>
                <w:sz w:val="20"/>
                <w:szCs w:val="20"/>
                <w:color w:val="auto"/>
              </w:rPr>
              <w:t>Controls and Procedures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9B.</w:t>
            </w:r>
          </w:p>
        </w:tc>
        <w:tc>
          <w:tcPr>
            <w:tcW w:w="7740" w:type="dxa"/>
            <w:vAlign w:val="bottom"/>
          </w:tcPr>
          <w:p>
            <w:pPr>
              <w:spacing w:after="0"/>
              <w:rPr>
                <w:sz w:val="20"/>
                <w:szCs w:val="20"/>
                <w:color w:val="auto"/>
              </w:rPr>
            </w:pPr>
            <w:r>
              <w:rPr>
                <w:rFonts w:ascii="Arial" w:cs="Arial" w:eastAsia="Arial" w:hAnsi="Arial"/>
                <w:sz w:val="20"/>
                <w:szCs w:val="20"/>
                <w:color w:val="auto"/>
              </w:rPr>
              <w:t>Other Information</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271"/>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9C.</w:t>
            </w:r>
          </w:p>
        </w:tc>
        <w:tc>
          <w:tcPr>
            <w:tcW w:w="7740" w:type="dxa"/>
            <w:vAlign w:val="bottom"/>
          </w:tcPr>
          <w:p>
            <w:pPr>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464"/>
        </w:trPr>
        <w:tc>
          <w:tcPr>
            <w:tcW w:w="1040" w:type="dxa"/>
            <w:vAlign w:val="bottom"/>
            <w:gridSpan w:val="2"/>
          </w:tcPr>
          <w:p>
            <w:pPr>
              <w:spacing w:after="0"/>
              <w:rPr>
                <w:sz w:val="20"/>
                <w:szCs w:val="20"/>
                <w:color w:val="auto"/>
              </w:rPr>
            </w:pPr>
            <w:r>
              <w:rPr>
                <w:rFonts w:ascii="Arial" w:cs="Arial" w:eastAsia="Arial" w:hAnsi="Arial"/>
                <w:sz w:val="20"/>
                <w:szCs w:val="20"/>
                <w:b w:val="1"/>
                <w:bCs w:val="1"/>
                <w:color w:val="auto"/>
              </w:rPr>
              <w:t>PART III</w:t>
            </w:r>
          </w:p>
        </w:tc>
        <w:tc>
          <w:tcPr>
            <w:tcW w:w="7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10.</w:t>
            </w:r>
          </w:p>
        </w:tc>
        <w:tc>
          <w:tcPr>
            <w:tcW w:w="7740" w:type="dxa"/>
            <w:vAlign w:val="bottom"/>
          </w:tcPr>
          <w:p>
            <w:pPr>
              <w:spacing w:after="0"/>
              <w:rPr>
                <w:sz w:val="20"/>
                <w:szCs w:val="20"/>
                <w:color w:val="auto"/>
              </w:rPr>
            </w:pPr>
            <w:r>
              <w:rPr>
                <w:rFonts w:ascii="Arial" w:cs="Arial" w:eastAsia="Arial" w:hAnsi="Arial"/>
                <w:sz w:val="20"/>
                <w:szCs w:val="20"/>
                <w:color w:val="auto"/>
              </w:rPr>
              <w:t>Directors, Executive Officers and Corporate Governance</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11.</w:t>
            </w:r>
          </w:p>
        </w:tc>
        <w:tc>
          <w:tcPr>
            <w:tcW w:w="7740" w:type="dxa"/>
            <w:vAlign w:val="bottom"/>
          </w:tcPr>
          <w:p>
            <w:pPr>
              <w:spacing w:after="0"/>
              <w:rPr>
                <w:sz w:val="20"/>
                <w:szCs w:val="20"/>
                <w:color w:val="auto"/>
              </w:rPr>
            </w:pPr>
            <w:r>
              <w:rPr>
                <w:rFonts w:ascii="Arial" w:cs="Arial" w:eastAsia="Arial" w:hAnsi="Arial"/>
                <w:sz w:val="20"/>
                <w:szCs w:val="20"/>
                <w:color w:val="auto"/>
              </w:rPr>
              <w:t>Executive Compensation</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30"/>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12.</w:t>
            </w:r>
          </w:p>
        </w:tc>
        <w:tc>
          <w:tcPr>
            <w:tcW w:w="7740" w:type="dxa"/>
            <w:vAlign w:val="bottom"/>
          </w:tcPr>
          <w:p>
            <w:pPr>
              <w:spacing w:after="0"/>
              <w:rPr>
                <w:sz w:val="20"/>
                <w:szCs w:val="20"/>
                <w:color w:val="auto"/>
              </w:rPr>
            </w:pPr>
            <w:r>
              <w:rPr>
                <w:rFonts w:ascii="Arial" w:cs="Arial" w:eastAsia="Arial" w:hAnsi="Arial"/>
                <w:sz w:val="20"/>
                <w:szCs w:val="20"/>
                <w:color w:val="auto"/>
              </w:rPr>
              <w:t>Security Ownership of Certain Beneficial Owners and Management and Related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20"/>
                <w:szCs w:val="20"/>
                <w:color w:val="auto"/>
              </w:rPr>
              <w:t>Stockholder Matters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13.</w:t>
            </w:r>
          </w:p>
        </w:tc>
        <w:tc>
          <w:tcPr>
            <w:tcW w:w="7740" w:type="dxa"/>
            <w:vAlign w:val="bottom"/>
          </w:tcPr>
          <w:p>
            <w:pPr>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71"/>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14.</w:t>
            </w:r>
          </w:p>
        </w:tc>
        <w:tc>
          <w:tcPr>
            <w:tcW w:w="7740" w:type="dxa"/>
            <w:vAlign w:val="bottom"/>
          </w:tcPr>
          <w:p>
            <w:pPr>
              <w:spacing w:after="0"/>
              <w:rPr>
                <w:sz w:val="20"/>
                <w:szCs w:val="20"/>
                <w:color w:val="auto"/>
              </w:rPr>
            </w:pPr>
            <w:r>
              <w:rPr>
                <w:rFonts w:ascii="Arial" w:cs="Arial" w:eastAsia="Arial" w:hAnsi="Arial"/>
                <w:sz w:val="20"/>
                <w:szCs w:val="20"/>
                <w:color w:val="auto"/>
              </w:rPr>
              <w:t>Principal Accounting Fees and Services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464"/>
        </w:trPr>
        <w:tc>
          <w:tcPr>
            <w:tcW w:w="1040" w:type="dxa"/>
            <w:vAlign w:val="bottom"/>
            <w:gridSpan w:val="2"/>
          </w:tcPr>
          <w:p>
            <w:pPr>
              <w:spacing w:after="0"/>
              <w:rPr>
                <w:sz w:val="20"/>
                <w:szCs w:val="20"/>
                <w:color w:val="auto"/>
              </w:rPr>
            </w:pPr>
            <w:r>
              <w:rPr>
                <w:rFonts w:ascii="Arial" w:cs="Arial" w:eastAsia="Arial" w:hAnsi="Arial"/>
                <w:sz w:val="20"/>
                <w:szCs w:val="20"/>
                <w:b w:val="1"/>
                <w:bCs w:val="1"/>
                <w:color w:val="auto"/>
              </w:rPr>
              <w:t>PART IV</w:t>
            </w:r>
          </w:p>
        </w:tc>
        <w:tc>
          <w:tcPr>
            <w:tcW w:w="7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15.</w:t>
            </w:r>
          </w:p>
        </w:tc>
        <w:tc>
          <w:tcPr>
            <w:tcW w:w="7740" w:type="dxa"/>
            <w:vAlign w:val="bottom"/>
          </w:tcPr>
          <w:p>
            <w:pPr>
              <w:spacing w:after="0"/>
              <w:rPr>
                <w:sz w:val="20"/>
                <w:szCs w:val="20"/>
                <w:color w:val="auto"/>
              </w:rPr>
            </w:pPr>
            <w:r>
              <w:rPr>
                <w:rFonts w:ascii="Arial" w:cs="Arial" w:eastAsia="Arial" w:hAnsi="Arial"/>
                <w:sz w:val="20"/>
                <w:szCs w:val="20"/>
                <w:color w:val="auto"/>
              </w:rPr>
              <w:t>Exhibits, Financial Statement Schedules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155</w:t>
            </w:r>
          </w:p>
        </w:tc>
        <w:tc>
          <w:tcPr>
            <w:tcW w:w="0" w:type="dxa"/>
            <w:vAlign w:val="bottom"/>
          </w:tcPr>
          <w:p>
            <w:pPr>
              <w:spacing w:after="0"/>
              <w:rPr>
                <w:sz w:val="1"/>
                <w:szCs w:val="1"/>
                <w:color w:val="auto"/>
              </w:rPr>
            </w:pPr>
          </w:p>
        </w:tc>
      </w:tr>
      <w:tr>
        <w:trPr>
          <w:trHeight w:val="245"/>
        </w:trPr>
        <w:tc>
          <w:tcPr>
            <w:tcW w:w="1040" w:type="dxa"/>
            <w:vAlign w:val="bottom"/>
            <w:gridSpan w:val="2"/>
          </w:tcPr>
          <w:p>
            <w:pPr>
              <w:ind w:left="140"/>
              <w:spacing w:after="0"/>
              <w:rPr>
                <w:sz w:val="20"/>
                <w:szCs w:val="20"/>
                <w:color w:val="auto"/>
              </w:rPr>
            </w:pPr>
            <w:r>
              <w:rPr>
                <w:rFonts w:ascii="Arial" w:cs="Arial" w:eastAsia="Arial" w:hAnsi="Arial"/>
                <w:sz w:val="20"/>
                <w:szCs w:val="20"/>
                <w:color w:val="auto"/>
              </w:rPr>
              <w:t>Item 16.</w:t>
            </w:r>
          </w:p>
        </w:tc>
        <w:tc>
          <w:tcPr>
            <w:tcW w:w="7740" w:type="dxa"/>
            <w:vAlign w:val="bottom"/>
          </w:tcPr>
          <w:p>
            <w:pPr>
              <w:spacing w:after="0"/>
              <w:rPr>
                <w:sz w:val="20"/>
                <w:szCs w:val="20"/>
                <w:color w:val="auto"/>
              </w:rPr>
            </w:pPr>
            <w:r>
              <w:rPr>
                <w:rFonts w:ascii="Arial" w:cs="Arial" w:eastAsia="Arial" w:hAnsi="Arial"/>
                <w:sz w:val="20"/>
                <w:szCs w:val="20"/>
                <w:color w:val="auto"/>
              </w:rPr>
              <w:t>Form 10-K Summary</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740" w:type="dxa"/>
            <w:vAlign w:val="bottom"/>
          </w:tcPr>
          <w:p>
            <w:pPr>
              <w:spacing w:after="0"/>
              <w:rPr>
                <w:sz w:val="20"/>
                <w:szCs w:val="20"/>
                <w:color w:val="auto"/>
              </w:rPr>
            </w:pPr>
            <w:r>
              <w:rPr>
                <w:rFonts w:ascii="Arial" w:cs="Arial" w:eastAsia="Arial" w:hAnsi="Arial"/>
                <w:sz w:val="20"/>
                <w:szCs w:val="20"/>
                <w:color w:val="auto"/>
              </w:rPr>
              <w:t>Signatures</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1">
            <w:col w:w="9360"/>
          </w:cols>
          <w:pgMar w:left="1440" w:top="1416" w:right="144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2240" w:h="15840" w:orient="portrait"/>
          <w:cols w:equalWidth="0" w:num="1">
            <w:col w:w="9360"/>
          </w:cols>
          <w:pgMar w:left="1440" w:top="1416" w:right="1440" w:bottom="198"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04"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90" w:lineRule="exact"/>
        <w:rPr>
          <w:sz w:val="20"/>
          <w:szCs w:val="20"/>
          <w:color w:val="auto"/>
        </w:rPr>
      </w:pPr>
    </w:p>
    <w:p>
      <w:pPr>
        <w:ind w:left="980" w:right="280" w:hanging="491"/>
        <w:spacing w:after="0" w:line="254"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79"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business plan and our ability to effectively manage our growth;</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cross-border expansion plans and ability to expand internationally;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anticipated trends, growth rates, and challenges in our business and in the markets in which we operate;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and ability to access, our cash and cash equivalents to meet our liquidity needs;</w:t>
      </w:r>
    </w:p>
    <w:p>
      <w:pPr>
        <w:spacing w:after="0" w:line="133" w:lineRule="exact"/>
        <w:rPr>
          <w:rFonts w:ascii="Arial" w:cs="Arial" w:eastAsia="Arial" w:hAnsi="Arial"/>
          <w:sz w:val="20"/>
          <w:szCs w:val="20"/>
          <w:color w:val="auto"/>
        </w:rPr>
      </w:pPr>
    </w:p>
    <w:p>
      <w:pPr>
        <w:ind w:left="980" w:right="10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political, economic, foreign currency exchange rate, inflation, banking, legal, social and health risks and public health measures that may affect our business or the global economy;</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beliefs and objectives for future operations;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develop and protect our brand;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and grow the payment volume that we process;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further attract, retain, and expand our client base;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develop new solutions and services and bring them to market in a timely manner;</w:t>
      </w:r>
    </w:p>
    <w:p>
      <w:pPr>
        <w:spacing w:after="0" w:line="133" w:lineRule="exact"/>
        <w:rPr>
          <w:rFonts w:ascii="Arial" w:cs="Arial" w:eastAsia="Arial" w:hAnsi="Arial"/>
          <w:sz w:val="20"/>
          <w:szCs w:val="20"/>
          <w:color w:val="auto"/>
        </w:rPr>
      </w:pPr>
    </w:p>
    <w:p>
      <w:pPr>
        <w:ind w:left="980" w:right="72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concerning relationships with third parties, including financial institutions and strategic partners;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increased competition in our markets and our ability to compete effectively;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future acquisitions or investments in complementary companies, products, services, or technologies;</w:t>
      </w:r>
    </w:p>
    <w:p>
      <w:pPr>
        <w:spacing w:after="0" w:line="133" w:lineRule="exact"/>
        <w:rPr>
          <w:rFonts w:ascii="Arial" w:cs="Arial" w:eastAsia="Arial" w:hAnsi="Arial"/>
          <w:sz w:val="20"/>
          <w:szCs w:val="20"/>
          <w:color w:val="auto"/>
        </w:rPr>
      </w:pPr>
    </w:p>
    <w:p>
      <w:pPr>
        <w:ind w:left="980" w:right="46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enter new client verticals and sub-verticals, including our relatively new business-to-business (B2B) sector;</w:t>
      </w:r>
    </w:p>
    <w:p>
      <w:pPr>
        <w:spacing w:after="0" w:line="52" w:lineRule="exact"/>
        <w:rPr>
          <w:rFonts w:ascii="Arial" w:cs="Arial" w:eastAsia="Arial" w:hAnsi="Arial"/>
          <w:sz w:val="20"/>
          <w:szCs w:val="20"/>
          <w:color w:val="auto"/>
        </w:rPr>
      </w:pPr>
    </w:p>
    <w:p>
      <w:pPr>
        <w:ind w:left="980" w:right="26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anticipated technology needs and developments and our ability to address those needs and developments with our solutions;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litigation and legal and regulatory matters;</w:t>
      </w:r>
    </w:p>
    <w:p>
      <w:pPr>
        <w:spacing w:after="0" w:line="133" w:lineRule="exact"/>
        <w:rPr>
          <w:rFonts w:ascii="Arial" w:cs="Arial" w:eastAsia="Arial" w:hAnsi="Arial"/>
          <w:sz w:val="20"/>
          <w:szCs w:val="20"/>
          <w:color w:val="auto"/>
        </w:rPr>
      </w:pPr>
    </w:p>
    <w:p>
      <w:pPr>
        <w:ind w:left="980" w:right="16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our ability to meet existing performance obligations and maintain the operability of our solutions;</w:t>
      </w:r>
    </w:p>
    <w:p>
      <w:pPr>
        <w:spacing w:after="0" w:line="52" w:lineRule="exact"/>
        <w:rPr>
          <w:rFonts w:ascii="Arial" w:cs="Arial" w:eastAsia="Arial" w:hAnsi="Arial"/>
          <w:sz w:val="20"/>
          <w:szCs w:val="20"/>
          <w:color w:val="auto"/>
        </w:rPr>
      </w:pPr>
    </w:p>
    <w:p>
      <w:pPr>
        <w:ind w:left="980" w:right="180" w:hanging="491"/>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economic and industry trends, projected growth, or trend analysis;</w:t>
      </w:r>
    </w:p>
    <w:p>
      <w:pPr>
        <w:spacing w:after="0" w:line="133" w:lineRule="exact"/>
        <w:rPr>
          <w:rFonts w:ascii="Arial" w:cs="Arial" w:eastAsia="Arial" w:hAnsi="Arial"/>
          <w:sz w:val="20"/>
          <w:szCs w:val="20"/>
          <w:color w:val="auto"/>
        </w:rPr>
      </w:pPr>
    </w:p>
    <w:p>
      <w:pPr>
        <w:ind w:left="980" w:right="48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global events and geopolitical conflict, including without limitation the continuing hostilities in Ukraine and Gaza;</w:t>
      </w:r>
    </w:p>
    <w:p>
      <w:pPr>
        <w:spacing w:after="0" w:line="52" w:lineRule="exact"/>
        <w:rPr>
          <w:rFonts w:ascii="Arial" w:cs="Arial" w:eastAsia="Arial" w:hAnsi="Arial"/>
          <w:sz w:val="20"/>
          <w:szCs w:val="20"/>
          <w:color w:val="auto"/>
        </w:rPr>
      </w:pPr>
    </w:p>
    <w:p>
      <w:pPr>
        <w:ind w:left="980" w:right="74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adapt to changes in U.S. federal income or other tax laws or the interpretation of tax laws, including the Inflation Reduction Act of 2022;</w:t>
      </w:r>
    </w:p>
    <w:p>
      <w:pPr>
        <w:sectPr>
          <w:pgSz w:w="12240" w:h="15840" w:orient="portrait"/>
          <w:cols w:equalWidth="0" w:num="1">
            <w:col w:w="10780"/>
          </w:cols>
          <w:pgMar w:left="720" w:top="1356" w:right="740" w:bottom="175"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10780"/>
          </w:cols>
          <w:pgMar w:left="720" w:top="1356" w:right="740" w:bottom="175" w:gutter="0" w:footer="0" w:header="0"/>
          <w:type w:val="continuous"/>
        </w:sectPr>
      </w:pPr>
    </w:p>
    <w:bookmarkStart w:id="4" w:name="page5"/>
    <w:bookmarkEnd w:id="4"/>
    <w:p>
      <w:pPr>
        <w:ind w:left="980" w:hanging="491"/>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attract and retain qualified employees;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maintain the security and availability of our solutions;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increased expenses associated with being a public company;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future market price of our common stock.</w:t>
      </w:r>
    </w:p>
    <w:p>
      <w:pPr>
        <w:spacing w:after="0" w:line="200" w:lineRule="exact"/>
        <w:rPr>
          <w:sz w:val="20"/>
          <w:szCs w:val="20"/>
          <w:color w:val="auto"/>
        </w:rPr>
      </w:pPr>
    </w:p>
    <w:p>
      <w:pPr>
        <w:ind w:right="100" w:firstLine="490"/>
        <w:spacing w:after="0" w:line="262" w:lineRule="auto"/>
        <w:rPr>
          <w:sz w:val="20"/>
          <w:szCs w:val="20"/>
          <w:color w:val="auto"/>
        </w:rPr>
      </w:pPr>
      <w:r>
        <w:rPr>
          <w:rFonts w:ascii="Arial" w:cs="Arial" w:eastAsia="Arial" w:hAnsi="Arial"/>
          <w:sz w:val="19"/>
          <w:szCs w:val="19"/>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w:t>
      </w:r>
    </w:p>
    <w:p>
      <w:pPr>
        <w:spacing w:after="0" w:line="243" w:lineRule="auto"/>
        <w:rPr>
          <w:sz w:val="20"/>
          <w:szCs w:val="20"/>
          <w:color w:val="auto"/>
        </w:rPr>
      </w:pPr>
      <w:r>
        <w:rPr>
          <w:rFonts w:ascii="Arial" w:cs="Arial" w:eastAsia="Arial" w:hAnsi="Arial"/>
          <w:sz w:val="20"/>
          <w:szCs w:val="20"/>
          <w:color w:val="auto"/>
        </w:rPr>
        <w:t>10-K.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0"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4"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ind w:right="20" w:firstLine="490"/>
        <w:spacing w:after="0" w:line="282" w:lineRule="auto"/>
        <w:rPr>
          <w:sz w:val="20"/>
          <w:szCs w:val="20"/>
          <w:color w:val="auto"/>
        </w:rPr>
      </w:pPr>
      <w:r>
        <w:rPr>
          <w:rFonts w:ascii="Arial" w:cs="Arial" w:eastAsia="Arial" w:hAnsi="Arial"/>
          <w:sz w:val="20"/>
          <w:szCs w:val="20"/>
          <w:color w:val="auto"/>
        </w:rPr>
        <w:t>Unless otherwise noted or unless the context provides otherwise, all references in this Annual Report on Form 10-K to our “common stock” refer to our voting common stock.</w:t>
      </w:r>
    </w:p>
    <w:p>
      <w:pPr>
        <w:sectPr>
          <w:pgSz w:w="12240" w:h="15840" w:orient="portrait"/>
          <w:cols w:equalWidth="0" w:num="1">
            <w:col w:w="10720"/>
          </w:cols>
          <w:pgMar w:left="720" w:top="1174" w:right="8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10720"/>
          </w:cols>
          <w:pgMar w:left="720" w:top="1174" w:right="800" w:bottom="175"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Mission</w:t>
      </w:r>
    </w:p>
    <w:p>
      <w:pPr>
        <w:spacing w:after="0" w:line="204" w:lineRule="exact"/>
        <w:rPr>
          <w:sz w:val="20"/>
          <w:szCs w:val="20"/>
          <w:color w:val="auto"/>
        </w:rPr>
      </w:pPr>
    </w:p>
    <w:p>
      <w:pPr>
        <w:ind w:right="420" w:firstLine="490"/>
        <w:spacing w:after="0" w:line="282" w:lineRule="auto"/>
        <w:rPr>
          <w:sz w:val="20"/>
          <w:szCs w:val="20"/>
          <w:color w:val="auto"/>
        </w:rPr>
      </w:pPr>
      <w:r>
        <w:rPr>
          <w:rFonts w:ascii="Arial" w:cs="Arial" w:eastAsia="Arial" w:hAnsi="Arial"/>
          <w:sz w:val="20"/>
          <w:szCs w:val="20"/>
          <w:color w:val="auto"/>
        </w:rPr>
        <w:t>Our mission is to deliver the most important and complex payments. In an increasingly digital world, getting paid means Flywire.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Company</w:t>
      </w:r>
    </w:p>
    <w:p>
      <w:pPr>
        <w:spacing w:after="0" w:line="204" w:lineRule="exact"/>
        <w:rPr>
          <w:sz w:val="20"/>
          <w:szCs w:val="20"/>
          <w:color w:val="auto"/>
        </w:rPr>
      </w:pPr>
    </w:p>
    <w:p>
      <w:pPr>
        <w:ind w:right="220" w:firstLine="490"/>
        <w:spacing w:after="0" w:line="247" w:lineRule="auto"/>
        <w:rPr>
          <w:sz w:val="20"/>
          <w:szCs w:val="20"/>
          <w:color w:val="auto"/>
        </w:rPr>
      </w:pPr>
      <w:r>
        <w:rPr>
          <w:rFonts w:ascii="Arial" w:cs="Arial" w:eastAsia="Arial" w:hAnsi="Arial"/>
          <w:sz w:val="20"/>
          <w:szCs w:val="20"/>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53"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54"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54"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54"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20"/>
          <w:szCs w:val="20"/>
          <w:i w:val="1"/>
          <w:iCs w:val="1"/>
          <w:color w:val="auto"/>
        </w:rPr>
        <w:t>Flywire Advantage</w:t>
      </w:r>
      <w:r>
        <w:rPr>
          <w:rFonts w:ascii="Arial" w:cs="Arial" w:eastAsia="Arial" w:hAnsi="Arial"/>
          <w:sz w:val="20"/>
          <w:szCs w:val="20"/>
          <w:color w:val="auto"/>
        </w:rPr>
        <w:t>.</w:t>
      </w:r>
    </w:p>
    <w:p>
      <w:pPr>
        <w:spacing w:after="0" w:line="153"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Flywire Advantage</w:t>
      </w:r>
      <w:r>
        <w:rPr>
          <w:rFonts w:ascii="Arial" w:cs="Arial" w:eastAsia="Arial" w:hAnsi="Arial"/>
          <w:sz w:val="20"/>
          <w:szCs w:val="20"/>
          <w:color w:val="auto"/>
        </w:rPr>
        <w:t xml:space="preserve"> is derived from three core elements: (i) our next-gen payments platform; (ii) our proprietary global payment network; and (iii) our vertical-specific software backed by our deep industry expertise.</w:t>
      </w:r>
    </w:p>
    <w:p>
      <w:pPr>
        <w:sectPr>
          <w:pgSz w:w="12240" w:h="15840" w:orient="portrait"/>
          <w:cols w:equalWidth="0" w:num="1">
            <w:col w:w="10800"/>
          </w:cols>
          <w:pgMar w:left="720" w:top="115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10800"/>
          </w:cols>
          <w:pgMar w:left="720" w:top="1156" w:right="720" w:bottom="175"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1828800</wp:posOffset>
            </wp:positionH>
            <wp:positionV relativeFrom="page">
              <wp:posOffset>763905</wp:posOffset>
            </wp:positionV>
            <wp:extent cx="4114800" cy="416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416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 w:right="60" w:hanging="491"/>
        <w:spacing w:after="0" w:line="245"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Next-Gen Payments Platform. </w:t>
      </w:r>
      <w:r>
        <w:rPr>
          <w:rFonts w:ascii="Arial" w:cs="Arial" w:eastAsia="Arial" w:hAnsi="Arial"/>
          <w:sz w:val="20"/>
          <w:szCs w:val="20"/>
          <w:color w:val="auto"/>
        </w:rPr>
        <w:t>Our platform improves the legacy accounts receivable value chain by</w:t>
      </w:r>
      <w:r>
        <w:rPr>
          <w:rFonts w:ascii="Arial" w:cs="Arial" w:eastAsia="Arial" w:hAnsi="Arial"/>
          <w:sz w:val="20"/>
          <w:szCs w:val="20"/>
          <w:b w:val="1"/>
          <w:bCs w:val="1"/>
          <w:color w:val="auto"/>
        </w:rPr>
        <w:t xml:space="preserve"> </w:t>
      </w:r>
      <w:r>
        <w:rPr>
          <w:rFonts w:ascii="Arial" w:cs="Arial" w:eastAsia="Arial" w:hAnsi="Arial"/>
          <w:sz w:val="20"/>
          <w:szCs w:val="20"/>
          <w:color w:val="auto"/>
        </w:rPr>
        <w:t>facilitating global 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70" w:lineRule="exact"/>
        <w:rPr>
          <w:rFonts w:ascii="Arial" w:cs="Arial" w:eastAsia="Arial" w:hAnsi="Arial"/>
          <w:sz w:val="20"/>
          <w:szCs w:val="20"/>
          <w:color w:val="auto"/>
        </w:rPr>
      </w:pPr>
    </w:p>
    <w:p>
      <w:pPr>
        <w:ind w:left="500" w:hanging="491"/>
        <w:spacing w:after="0" w:line="245"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Proprietary Global Payment Network. </w:t>
      </w:r>
      <w:r>
        <w:rPr>
          <w:rFonts w:ascii="Arial" w:cs="Arial" w:eastAsia="Arial" w:hAnsi="Arial"/>
          <w:sz w:val="20"/>
          <w:szCs w:val="20"/>
          <w:color w:val="auto"/>
        </w:rPr>
        <w:t>At the core of our business is our network of global, regional and</w:t>
      </w:r>
      <w:r>
        <w:rPr>
          <w:rFonts w:ascii="Arial" w:cs="Arial" w:eastAsia="Arial" w:hAnsi="Arial"/>
          <w:sz w:val="20"/>
          <w:szCs w:val="20"/>
          <w:b w:val="1"/>
          <w:bCs w:val="1"/>
          <w:color w:val="auto"/>
        </w:rPr>
        <w:t xml:space="preserve"> </w:t>
      </w:r>
      <w:r>
        <w:rPr>
          <w:rFonts w:ascii="Arial" w:cs="Arial" w:eastAsia="Arial" w:hAnsi="Arial"/>
          <w:sz w:val="20"/>
          <w:szCs w:val="20"/>
          <w:color w:val="auto"/>
        </w:rPr>
        <w:t>local banking 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65" w:lineRule="exact"/>
        <w:rPr>
          <w:rFonts w:ascii="Arial" w:cs="Arial" w:eastAsia="Arial" w:hAnsi="Arial"/>
          <w:sz w:val="20"/>
          <w:szCs w:val="20"/>
          <w:color w:val="auto"/>
        </w:rPr>
      </w:pPr>
    </w:p>
    <w:p>
      <w:pPr>
        <w:ind w:left="500" w:right="40" w:hanging="491"/>
        <w:spacing w:after="0" w:line="261" w:lineRule="auto"/>
        <w:tabs>
          <w:tab w:leader="none" w:pos="50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Vertical-Specific Software Backed by Deep Industry Expertise</w:t>
      </w:r>
      <w:r>
        <w:rPr>
          <w:rFonts w:ascii="Arial" w:cs="Arial" w:eastAsia="Arial" w:hAnsi="Arial"/>
          <w:sz w:val="19"/>
          <w:szCs w:val="19"/>
          <w:color w:val="auto"/>
        </w:rPr>
        <w:t>. We go beyond payments by offering</w:t>
      </w:r>
      <w:r>
        <w:rPr>
          <w:rFonts w:ascii="Arial" w:cs="Arial" w:eastAsia="Arial" w:hAnsi="Arial"/>
          <w:sz w:val="19"/>
          <w:szCs w:val="19"/>
          <w:b w:val="1"/>
          <w:bCs w:val="1"/>
          <w:color w:val="auto"/>
        </w:rPr>
        <w:t xml:space="preserve"> </w:t>
      </w:r>
      <w:r>
        <w:rPr>
          <w:rFonts w:ascii="Arial" w:cs="Arial" w:eastAsia="Arial" w:hAnsi="Arial"/>
          <w:sz w:val="19"/>
          <w:szCs w:val="19"/>
          <w:color w:val="auto"/>
        </w:rPr>
        <w:t>seamless 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9,000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w:t>
      </w:r>
    </w:p>
    <w:p>
      <w:pPr>
        <w:spacing w:after="0" w:line="220"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10300"/>
          </w:cols>
          <w:pgMar w:left="1200" w:top="1440" w:right="740" w:bottom="175" w:gutter="0" w:footer="0" w:header="0"/>
        </w:sectPr>
      </w:pPr>
    </w:p>
    <w:bookmarkStart w:id="7" w:name="page8"/>
    <w:bookmarkEnd w:id="7"/>
    <w:p>
      <w:pPr>
        <w:ind w:left="980" w:right="40"/>
        <w:spacing w:after="0" w:line="282" w:lineRule="auto"/>
        <w:rPr>
          <w:sz w:val="20"/>
          <w:szCs w:val="20"/>
          <w:color w:val="auto"/>
        </w:rPr>
      </w:pPr>
      <w:r>
        <w:rPr>
          <w:rFonts w:ascii="Arial" w:cs="Arial" w:eastAsia="Arial" w:hAnsi="Arial"/>
          <w:sz w:val="20"/>
          <w:szCs w:val="20"/>
          <w:color w:val="auto"/>
        </w:rPr>
        <w:t>enables us to be a hub of omni-channel connectivity, augmenting the relationship between our clients and their customers.</w:t>
      </w:r>
    </w:p>
    <w:p>
      <w:pPr>
        <w:spacing w:after="0" w:line="120"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124460</wp:posOffset>
            </wp:positionV>
            <wp:extent cx="4851400" cy="4375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4851400" cy="437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benefits of our flywheel are visible in the significant scale we have achieved to date. As of December 31, 2023, we serve over 3,800 clients around the world. In education, we serve more than 2,800 institutions. In healthcare, we serve more than 90 healthcare systems, including four of the top 10 healthcare systems in the United States ranked by hospital size. In our newer payment verticals of travel and B2B, we have a growing portfolio of more than 900 clients.</w:t>
      </w:r>
    </w:p>
    <w:p>
      <w:pPr>
        <w:spacing w:after="0" w:line="146"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Our business model is designed to encourage rapid, widespread utilization of our solutions. We enable our clients to scale the use of Flywire to an unlimited number of customers with favorable unit economics. For the years ended December 31, 2023 and 2022, we enabled over $24.0 billion and approximately $18.1 billion, respectively, of total payment volume across more than 140 currencies.</w:t>
      </w:r>
    </w:p>
    <w:p>
      <w:pPr>
        <w:spacing w:after="0" w:line="146"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auto"/>
        </w:rPr>
        <w:t xml:space="preserve">The value of our </w:t>
      </w:r>
      <w:r>
        <w:rPr>
          <w:rFonts w:ascii="Arial" w:cs="Arial" w:eastAsia="Arial" w:hAnsi="Arial"/>
          <w:sz w:val="20"/>
          <w:szCs w:val="20"/>
          <w:i w:val="1"/>
          <w:iCs w:val="1"/>
          <w:color w:val="auto"/>
        </w:rPr>
        <w:t>Flywire Advantage</w:t>
      </w:r>
      <w:r>
        <w:rPr>
          <w:rFonts w:ascii="Arial" w:cs="Arial" w:eastAsia="Arial" w:hAnsi="Arial"/>
          <w:sz w:val="20"/>
          <w:szCs w:val="20"/>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10800"/>
          </w:cols>
          <w:pgMar w:left="720" w:top="1160" w:right="720" w:bottom="175" w:gutter="0" w:footer="0" w:header="0"/>
          <w:type w:val="continuous"/>
        </w:sectPr>
      </w:pPr>
    </w:p>
    <w:bookmarkStart w:id="8" w:name="page9"/>
    <w:bookmarkEnd w:id="8"/>
    <w:p>
      <w:pPr>
        <w:ind w:right="60"/>
        <w:spacing w:after="0" w:line="282" w:lineRule="auto"/>
        <w:rPr>
          <w:sz w:val="20"/>
          <w:szCs w:val="20"/>
          <w:color w:val="auto"/>
        </w:rPr>
      </w:pPr>
      <w:r>
        <w:rPr>
          <w:rFonts w:ascii="Arial" w:cs="Arial" w:eastAsia="Arial" w:hAnsi="Arial"/>
          <w:sz w:val="20"/>
          <w:szCs w:val="20"/>
          <w:color w:val="auto"/>
        </w:rPr>
        <w:t>healthcare. These partnerships promote organic referral and lead generation opportunities and enhance our indirect sales strategy.</w:t>
      </w:r>
    </w:p>
    <w:p>
      <w:pPr>
        <w:spacing w:after="0" w:line="120"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We also reach clients through our direct channel. Our domain-experienced sales and relationship management teams bring vertical expertise and regional and local reach that drives high dollar-based net retention. For the year ended December 31, 2023, our annual net dollar-based retention rate was approximately 125%. For the year ended December 31, 2022, our annual net dollar-based retention rate was approximately 124%. For the year ended December 31, 2021, our annual net dollar-based retention rate was approximately 140%. In addition, our client and customer service combines high-tech and high-touch functions backed by 24x7 multilingual customer support, resulting in high client and customer satisfaction. For the year ended December 31, 2022, we had a net promoter score (NPS) of 62, which exceeds the average NPS of traditional financial institutions.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have grown rapidly since our founding. We generated revenue of $403.1 million, $289.4 million and $201.1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million for the years ended December 31, 2023, 2022 and 2021, respectively, and incurred net losses of $8.6 million,</w:t>
      </w:r>
    </w:p>
    <w:p>
      <w:pPr>
        <w:spacing w:after="0"/>
        <w:rPr>
          <w:sz w:val="20"/>
          <w:szCs w:val="20"/>
          <w:color w:val="auto"/>
        </w:rPr>
      </w:pPr>
      <w:r>
        <w:rPr>
          <w:rFonts w:ascii="Arial" w:cs="Arial" w:eastAsia="Arial" w:hAnsi="Arial"/>
          <w:sz w:val="20"/>
          <w:szCs w:val="20"/>
          <w:color w:val="auto"/>
        </w:rPr>
        <w:t>$39.3 million and $28.1 million, respectively for those same years. In November 2023, we acquired Learning Information</w:t>
      </w:r>
    </w:p>
    <w:p>
      <w:pPr>
        <w:spacing w:after="0"/>
        <w:rPr>
          <w:sz w:val="20"/>
          <w:szCs w:val="20"/>
          <w:color w:val="auto"/>
        </w:rPr>
      </w:pPr>
      <w:r>
        <w:rPr>
          <w:rFonts w:ascii="Arial" w:cs="Arial" w:eastAsia="Arial" w:hAnsi="Arial"/>
          <w:sz w:val="20"/>
          <w:szCs w:val="20"/>
          <w:color w:val="auto"/>
        </w:rPr>
        <w:t>Systems Pty Ltd. (StudyLink), an Australian-based software as a service (SaaS) education company that provides</w:t>
      </w:r>
    </w:p>
    <w:p>
      <w:pPr>
        <w:spacing w:after="0"/>
        <w:rPr>
          <w:sz w:val="20"/>
          <w:szCs w:val="20"/>
          <w:color w:val="auto"/>
        </w:rPr>
      </w:pPr>
      <w:r>
        <w:rPr>
          <w:rFonts w:ascii="Arial" w:cs="Arial" w:eastAsia="Arial" w:hAnsi="Arial"/>
          <w:sz w:val="20"/>
          <w:szCs w:val="20"/>
          <w:color w:val="auto"/>
        </w:rPr>
        <w:t>platforms to education providers to support their student admissions systems and processes, including features such as</w:t>
      </w:r>
    </w:p>
    <w:p>
      <w:pPr>
        <w:spacing w:after="0"/>
        <w:rPr>
          <w:sz w:val="20"/>
          <w:szCs w:val="20"/>
          <w:color w:val="auto"/>
        </w:rPr>
      </w:pPr>
      <w:r>
        <w:rPr>
          <w:rFonts w:ascii="Arial" w:cs="Arial" w:eastAsia="Arial" w:hAnsi="Arial"/>
          <w:sz w:val="20"/>
          <w:szCs w:val="20"/>
          <w:color w:val="auto"/>
        </w:rPr>
        <w:t>eligibility assessment, offer generation, recruitment agent and commission management and acceptance processing. In</w:t>
      </w:r>
    </w:p>
    <w:p>
      <w:pPr>
        <w:spacing w:after="0"/>
        <w:rPr>
          <w:sz w:val="20"/>
          <w:szCs w:val="20"/>
          <w:color w:val="auto"/>
        </w:rPr>
      </w:pPr>
      <w:r>
        <w:rPr>
          <w:rFonts w:ascii="Arial" w:cs="Arial" w:eastAsia="Arial" w:hAnsi="Arial"/>
          <w:sz w:val="20"/>
          <w:szCs w:val="20"/>
          <w:color w:val="auto"/>
        </w:rPr>
        <w:t>July 2022, we acquired Cohort Solutions Pty Ltd. (Cohort Go), an Australian-based education payments provider that</w:t>
      </w:r>
    </w:p>
    <w:p>
      <w:pPr>
        <w:spacing w:after="0"/>
        <w:rPr>
          <w:sz w:val="20"/>
          <w:szCs w:val="20"/>
          <w:color w:val="auto"/>
        </w:rPr>
      </w:pPr>
      <w:r>
        <w:rPr>
          <w:rFonts w:ascii="Arial" w:cs="Arial" w:eastAsia="Arial" w:hAnsi="Arial"/>
          <w:sz w:val="20"/>
          <w:szCs w:val="20"/>
          <w:color w:val="auto"/>
        </w:rPr>
        <w:t>simplifies the student recruitment process by bringing together students, agents and essential student services such as</w:t>
      </w:r>
    </w:p>
    <w:p>
      <w:pPr>
        <w:spacing w:after="0"/>
        <w:rPr>
          <w:sz w:val="20"/>
          <w:szCs w:val="20"/>
          <w:color w:val="auto"/>
        </w:rPr>
      </w:pPr>
      <w:r>
        <w:rPr>
          <w:rFonts w:ascii="Arial" w:cs="Arial" w:eastAsia="Arial" w:hAnsi="Arial"/>
          <w:sz w:val="20"/>
          <w:szCs w:val="20"/>
          <w:color w:val="auto"/>
        </w:rPr>
        <w:t>health insurance into one platform. In December 2021, we acquired WPM Group Ltd. (WPM), a leading software provider</w:t>
      </w:r>
    </w:p>
    <w:p>
      <w:pPr>
        <w:spacing w:after="0"/>
        <w:rPr>
          <w:sz w:val="20"/>
          <w:szCs w:val="20"/>
          <w:color w:val="auto"/>
        </w:rPr>
      </w:pPr>
      <w:r>
        <w:rPr>
          <w:rFonts w:ascii="Arial" w:cs="Arial" w:eastAsia="Arial" w:hAnsi="Arial"/>
          <w:sz w:val="20"/>
          <w:szCs w:val="20"/>
          <w:color w:val="auto"/>
        </w:rPr>
        <w:t>that enables seamless and secure payment experiences for universities and colleges across the U.K.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Benefits of the Flywire Advantage to Our Clients and Their Customers</w:t>
      </w:r>
    </w:p>
    <w:p>
      <w:pPr>
        <w:spacing w:after="0" w:line="204"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Benefits of the Flywire Advantage to Our Clients</w:t>
      </w:r>
    </w:p>
    <w:p>
      <w:pPr>
        <w:spacing w:after="0" w:line="196" w:lineRule="exact"/>
        <w:rPr>
          <w:sz w:val="20"/>
          <w:szCs w:val="20"/>
          <w:color w:val="auto"/>
        </w:rPr>
      </w:pPr>
    </w:p>
    <w:p>
      <w:pPr>
        <w:ind w:right="180" w:firstLine="490"/>
        <w:spacing w:after="0" w:line="261" w:lineRule="auto"/>
        <w:rPr>
          <w:sz w:val="20"/>
          <w:szCs w:val="20"/>
          <w:color w:val="auto"/>
        </w:rPr>
      </w:pPr>
      <w:r>
        <w:rPr>
          <w:rFonts w:ascii="Arial" w:cs="Arial" w:eastAsia="Arial" w:hAnsi="Arial"/>
          <w:sz w:val="20"/>
          <w:szCs w:val="20"/>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49" w:lineRule="exact"/>
        <w:rPr>
          <w:sz w:val="20"/>
          <w:szCs w:val="20"/>
          <w:color w:val="auto"/>
        </w:rPr>
      </w:pPr>
    </w:p>
    <w:p>
      <w:pPr>
        <w:ind w:left="860" w:right="20" w:hanging="255"/>
        <w:spacing w:after="0" w:line="249" w:lineRule="auto"/>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Modern customer-focused payment experience. </w:t>
      </w:r>
      <w:r>
        <w:rPr>
          <w:rFonts w:ascii="Arial" w:cs="Arial" w:eastAsia="Arial" w:hAnsi="Arial"/>
          <w:sz w:val="20"/>
          <w:szCs w:val="20"/>
          <w:color w:val="auto"/>
        </w:rPr>
        <w:t>We enable a convenient and secure online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experience which can 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61" w:lineRule="exact"/>
        <w:rPr>
          <w:rFonts w:ascii="Arial" w:cs="Arial" w:eastAsia="Arial" w:hAnsi="Arial"/>
          <w:sz w:val="20"/>
          <w:szCs w:val="20"/>
          <w:color w:val="auto"/>
        </w:rPr>
      </w:pPr>
    </w:p>
    <w:p>
      <w:pPr>
        <w:ind w:left="860" w:right="20" w:hanging="255"/>
        <w:spacing w:after="0" w:line="251" w:lineRule="auto"/>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Simplify payments complexity. </w:t>
      </w:r>
      <w:r>
        <w:rPr>
          <w:rFonts w:ascii="Arial" w:cs="Arial" w:eastAsia="Arial" w:hAnsi="Arial"/>
          <w:sz w:val="20"/>
          <w:szCs w:val="20"/>
          <w:color w:val="auto"/>
        </w:rPr>
        <w:t>We address complexity in payments by providing our clients with a “one-stop</w:t>
      </w:r>
      <w:r>
        <w:rPr>
          <w:rFonts w:ascii="Arial" w:cs="Arial" w:eastAsia="Arial" w:hAnsi="Arial"/>
          <w:sz w:val="20"/>
          <w:szCs w:val="20"/>
          <w:b w:val="1"/>
          <w:bCs w:val="1"/>
          <w:color w:val="auto"/>
        </w:rPr>
        <w:t xml:space="preserve"> </w:t>
      </w:r>
      <w:r>
        <w:rPr>
          <w:rFonts w:ascii="Arial" w:cs="Arial" w:eastAsia="Arial" w:hAnsi="Arial"/>
          <w:sz w:val="20"/>
          <w:szCs w:val="20"/>
          <w:color w:val="auto"/>
        </w:rPr>
        <w:t>shop” 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60" w:lineRule="exact"/>
        <w:rPr>
          <w:rFonts w:ascii="Arial" w:cs="Arial" w:eastAsia="Arial" w:hAnsi="Arial"/>
          <w:sz w:val="20"/>
          <w:szCs w:val="20"/>
          <w:color w:val="auto"/>
        </w:rPr>
      </w:pPr>
    </w:p>
    <w:p>
      <w:pPr>
        <w:ind w:left="860" w:right="60" w:hanging="255"/>
        <w:spacing w:after="0" w:line="249" w:lineRule="auto"/>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Processing cost savings and enhanced payments yield. </w:t>
      </w:r>
      <w:r>
        <w:rPr>
          <w:rFonts w:ascii="Arial" w:cs="Arial" w:eastAsia="Arial" w:hAnsi="Arial"/>
          <w:sz w:val="20"/>
          <w:szCs w:val="20"/>
          <w:color w:val="auto"/>
        </w:rPr>
        <w:t>We leverage our significant global volume and in-house 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61" w:lineRule="exact"/>
        <w:rPr>
          <w:rFonts w:ascii="Arial" w:cs="Arial" w:eastAsia="Arial" w:hAnsi="Arial"/>
          <w:sz w:val="20"/>
          <w:szCs w:val="20"/>
          <w:color w:val="auto"/>
        </w:rPr>
      </w:pPr>
    </w:p>
    <w:p>
      <w:pPr>
        <w:ind w:left="860" w:right="100" w:hanging="255"/>
        <w:spacing w:after="0" w:line="255" w:lineRule="auto"/>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Ease of integration. </w:t>
      </w:r>
      <w:r>
        <w:rPr>
          <w:rFonts w:ascii="Arial" w:cs="Arial" w:eastAsia="Arial" w:hAnsi="Arial"/>
          <w:sz w:val="20"/>
          <w:szCs w:val="20"/>
          <w:color w:val="auto"/>
        </w:rPr>
        <w:t>Built on open architecture, Flywire integrates with existing systems and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allowing clients to 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ectPr>
          <w:pgSz w:w="12240" w:h="15840" w:orient="portrait"/>
          <w:cols w:equalWidth="0" w:num="1">
            <w:col w:w="10800"/>
          </w:cols>
          <w:pgMar w:left="720" w:top="1160" w:right="720" w:bottom="175"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10800"/>
          </w:cols>
          <w:pgMar w:left="720" w:top="1160" w:right="720" w:bottom="175" w:gutter="0" w:footer="0" w:header="0"/>
          <w:type w:val="continuous"/>
        </w:sectPr>
      </w:pPr>
    </w:p>
    <w:bookmarkStart w:id="9" w:name="page10"/>
    <w:bookmarkEnd w:id="9"/>
    <w:p>
      <w:pPr>
        <w:ind w:left="860" w:right="20" w:hanging="255"/>
        <w:spacing w:after="0" w:line="247" w:lineRule="auto"/>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Trusted expertise and a trusted brand. </w:t>
      </w:r>
      <w:r>
        <w:rPr>
          <w:rFonts w:ascii="Arial" w:cs="Arial" w:eastAsia="Arial" w:hAnsi="Arial"/>
          <w:sz w:val="20"/>
          <w:szCs w:val="20"/>
          <w:color w:val="auto"/>
        </w:rPr>
        <w:t>Our clients and their customers view Flywire as a trusted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partner. With 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Benefits of the Flywire Advantage to Our Clients’ Customers</w:t>
      </w:r>
    </w:p>
    <w:p>
      <w:pPr>
        <w:spacing w:after="0" w:line="196" w:lineRule="exact"/>
        <w:rPr>
          <w:sz w:val="20"/>
          <w:szCs w:val="20"/>
          <w:color w:val="auto"/>
        </w:rPr>
      </w:pPr>
    </w:p>
    <w:p>
      <w:pPr>
        <w:ind w:right="460" w:firstLine="490"/>
        <w:spacing w:after="0" w:line="282" w:lineRule="auto"/>
        <w:rPr>
          <w:sz w:val="20"/>
          <w:szCs w:val="20"/>
          <w:color w:val="auto"/>
        </w:rPr>
      </w:pPr>
      <w:r>
        <w:rPr>
          <w:rFonts w:ascii="Arial" w:cs="Arial" w:eastAsia="Arial" w:hAnsi="Arial"/>
          <w:sz w:val="20"/>
          <w:szCs w:val="20"/>
          <w:color w:val="auto"/>
        </w:rPr>
        <w:t>Our digital-first customer experience is designed to make the process of paying invoices simple. For our clients’ customers, key benefits of our solutions include:</w:t>
      </w:r>
    </w:p>
    <w:p>
      <w:pPr>
        <w:spacing w:after="0" w:line="129" w:lineRule="exact"/>
        <w:rPr>
          <w:sz w:val="20"/>
          <w:szCs w:val="20"/>
          <w:color w:val="auto"/>
        </w:rPr>
      </w:pPr>
    </w:p>
    <w:p>
      <w:pPr>
        <w:ind w:left="860" w:right="20" w:hanging="255"/>
        <w:spacing w:after="0" w:line="249"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Superior and simple payment experiences. </w:t>
      </w:r>
      <w:r>
        <w:rPr>
          <w:rFonts w:ascii="Arial" w:cs="Arial" w:eastAsia="Arial" w:hAnsi="Arial"/>
          <w:sz w:val="20"/>
          <w:szCs w:val="20"/>
          <w:color w:val="auto"/>
        </w:rPr>
        <w:t>Our customer value proposition is simple: we provide a fast and</w:t>
      </w:r>
      <w:r>
        <w:rPr>
          <w:rFonts w:ascii="Arial" w:cs="Arial" w:eastAsia="Arial" w:hAnsi="Arial"/>
          <w:sz w:val="20"/>
          <w:szCs w:val="20"/>
          <w:b w:val="1"/>
          <w:bCs w:val="1"/>
          <w:color w:val="auto"/>
        </w:rPr>
        <w:t xml:space="preserve"> </w:t>
      </w:r>
      <w:r>
        <w:rPr>
          <w:rFonts w:ascii="Arial" w:cs="Arial" w:eastAsia="Arial" w:hAnsi="Arial"/>
          <w:sz w:val="20"/>
          <w:szCs w:val="20"/>
          <w:color w:val="auto"/>
        </w:rPr>
        <w:t>nearly 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61" w:lineRule="exact"/>
        <w:rPr>
          <w:rFonts w:ascii="Arial" w:cs="Arial" w:eastAsia="Arial" w:hAnsi="Arial"/>
          <w:sz w:val="20"/>
          <w:szCs w:val="20"/>
          <w:color w:val="auto"/>
        </w:rPr>
      </w:pPr>
    </w:p>
    <w:p>
      <w:pPr>
        <w:ind w:left="860" w:right="160" w:hanging="255"/>
        <w:spacing w:after="0" w:line="273" w:lineRule="auto"/>
        <w:tabs>
          <w:tab w:leader="none" w:pos="86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Customer preference. </w:t>
      </w:r>
      <w:r>
        <w:rPr>
          <w:rFonts w:ascii="Arial" w:cs="Arial" w:eastAsia="Arial" w:hAnsi="Arial"/>
          <w:sz w:val="19"/>
          <w:szCs w:val="19"/>
          <w:color w:val="auto"/>
        </w:rPr>
        <w:t>Using Flywire, our clients’ customers can choose their preferred payment method,</w:t>
      </w:r>
      <w:r>
        <w:rPr>
          <w:rFonts w:ascii="Arial" w:cs="Arial" w:eastAsia="Arial" w:hAnsi="Arial"/>
          <w:sz w:val="19"/>
          <w:szCs w:val="19"/>
          <w:b w:val="1"/>
          <w:bCs w:val="1"/>
          <w:color w:val="auto"/>
        </w:rPr>
        <w:t xml:space="preserve"> </w:t>
      </w:r>
      <w:r>
        <w:rPr>
          <w:rFonts w:ascii="Arial" w:cs="Arial" w:eastAsia="Arial" w:hAnsi="Arial"/>
          <w:sz w:val="19"/>
          <w:szCs w:val="19"/>
          <w:color w:val="auto"/>
        </w:rPr>
        <w:t>currency, and 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w:t>
      </w:r>
    </w:p>
    <w:p>
      <w:pPr>
        <w:spacing w:after="0" w:line="139" w:lineRule="exact"/>
        <w:rPr>
          <w:rFonts w:ascii="Arial" w:cs="Arial" w:eastAsia="Arial" w:hAnsi="Arial"/>
          <w:sz w:val="19"/>
          <w:szCs w:val="19"/>
          <w:color w:val="auto"/>
        </w:rPr>
      </w:pPr>
    </w:p>
    <w:p>
      <w:pPr>
        <w:ind w:left="860" w:hanging="255"/>
        <w:spacing w:after="0" w:line="251"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Flexible on-demand payment options. </w:t>
      </w:r>
      <w:r>
        <w:rPr>
          <w:rFonts w:ascii="Arial" w:cs="Arial" w:eastAsia="Arial" w:hAnsi="Arial"/>
          <w:sz w:val="20"/>
          <w:szCs w:val="20"/>
          <w:color w:val="auto"/>
        </w:rPr>
        <w:t>We believe we provide favorable and transparent payment plans that</w:t>
      </w:r>
      <w:r>
        <w:rPr>
          <w:rFonts w:ascii="Arial" w:cs="Arial" w:eastAsia="Arial" w:hAnsi="Arial"/>
          <w:sz w:val="20"/>
          <w:szCs w:val="20"/>
          <w:b w:val="1"/>
          <w:bCs w:val="1"/>
          <w:color w:val="auto"/>
        </w:rPr>
        <w:t xml:space="preserve"> </w:t>
      </w:r>
      <w:r>
        <w:rPr>
          <w:rFonts w:ascii="Arial" w:cs="Arial" w:eastAsia="Arial" w:hAnsi="Arial"/>
          <w:sz w:val="20"/>
          <w:szCs w:val="20"/>
          <w:color w:val="auto"/>
        </w:rPr>
        <w:t>can lead to 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60" w:lineRule="exact"/>
        <w:rPr>
          <w:rFonts w:ascii="Arial" w:cs="Arial" w:eastAsia="Arial" w:hAnsi="Arial"/>
          <w:sz w:val="20"/>
          <w:szCs w:val="20"/>
          <w:color w:val="auto"/>
        </w:rPr>
      </w:pPr>
    </w:p>
    <w:p>
      <w:pPr>
        <w:ind w:left="860" w:right="100" w:hanging="255"/>
        <w:spacing w:after="0" w:line="255"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Customer confidence. </w:t>
      </w:r>
      <w:r>
        <w:rPr>
          <w:rFonts w:ascii="Arial" w:cs="Arial" w:eastAsia="Arial" w:hAnsi="Arial"/>
          <w:sz w:val="20"/>
          <w:szCs w:val="20"/>
          <w:color w:val="auto"/>
        </w:rPr>
        <w:t>Navigating the world of complex cross-border payments can be overwhelming for our</w:t>
      </w:r>
      <w:r>
        <w:rPr>
          <w:rFonts w:ascii="Arial" w:cs="Arial" w:eastAsia="Arial" w:hAnsi="Arial"/>
          <w:sz w:val="20"/>
          <w:szCs w:val="20"/>
          <w:b w:val="1"/>
          <w:bCs w:val="1"/>
          <w:color w:val="auto"/>
        </w:rPr>
        <w:t xml:space="preserve"> </w:t>
      </w:r>
      <w:r>
        <w:rPr>
          <w:rFonts w:ascii="Arial" w:cs="Arial" w:eastAsia="Arial" w:hAnsi="Arial"/>
          <w:sz w:val="20"/>
          <w:szCs w:val="20"/>
          <w:color w:val="auto"/>
        </w:rPr>
        <w:t>clients’ customers. With our superior customer experience including around the clock multilingual support, we believe that we give customers the confidence that their payments are delivered securely, accurately, and on time.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Our Flywire Advantage Works</w:t>
      </w:r>
    </w:p>
    <w:p>
      <w:pPr>
        <w:spacing w:after="0" w:line="204" w:lineRule="exact"/>
        <w:rPr>
          <w:sz w:val="20"/>
          <w:szCs w:val="20"/>
          <w:color w:val="auto"/>
        </w:rPr>
      </w:pPr>
    </w:p>
    <w:p>
      <w:pPr>
        <w:ind w:right="160" w:firstLine="490"/>
        <w:spacing w:after="0" w:line="254" w:lineRule="auto"/>
        <w:rPr>
          <w:sz w:val="20"/>
          <w:szCs w:val="20"/>
          <w:color w:val="auto"/>
        </w:rPr>
      </w:pPr>
      <w:r>
        <w:rPr>
          <w:rFonts w:ascii="Arial" w:cs="Arial" w:eastAsia="Arial" w:hAnsi="Arial"/>
          <w:sz w:val="20"/>
          <w:szCs w:val="20"/>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46" w:lineRule="exact"/>
        <w:rPr>
          <w:sz w:val="20"/>
          <w:szCs w:val="20"/>
          <w:color w:val="auto"/>
        </w:rPr>
      </w:pPr>
    </w:p>
    <w:p>
      <w:pPr>
        <w:ind w:right="20" w:firstLine="490"/>
        <w:spacing w:after="0" w:line="310" w:lineRule="auto"/>
        <w:rPr>
          <w:sz w:val="20"/>
          <w:szCs w:val="20"/>
          <w:color w:val="auto"/>
        </w:rPr>
      </w:pPr>
      <w:r>
        <w:rPr>
          <w:rFonts w:ascii="Arial" w:cs="Arial" w:eastAsia="Arial" w:hAnsi="Arial"/>
          <w:sz w:val="19"/>
          <w:szCs w:val="19"/>
          <w:color w:val="auto"/>
        </w:rPr>
        <w:t xml:space="preserve">To achieve this, we leverage our </w:t>
      </w:r>
      <w:r>
        <w:rPr>
          <w:rFonts w:ascii="Arial" w:cs="Arial" w:eastAsia="Arial" w:hAnsi="Arial"/>
          <w:sz w:val="19"/>
          <w:szCs w:val="19"/>
          <w:i w:val="1"/>
          <w:iCs w:val="1"/>
          <w:color w:val="auto"/>
        </w:rPr>
        <w:t>Flywire Advantage</w:t>
      </w:r>
      <w:r>
        <w:rPr>
          <w:rFonts w:ascii="Arial" w:cs="Arial" w:eastAsia="Arial" w:hAnsi="Arial"/>
          <w:sz w:val="19"/>
          <w:szCs w:val="19"/>
          <w:color w:val="auto"/>
        </w:rPr>
        <w:t xml:space="preserve"> and its three core elements: (i) our next-gen payments platform; (ii) our proprietary global payment network; and (iii) our vertical-specific software backed by our deep industry expertise.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Next-Gen Payments Platform</w:t>
      </w:r>
    </w:p>
    <w:p>
      <w:pPr>
        <w:spacing w:after="0" w:line="196"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6"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auto"/>
        </w:rPr>
        <w:t>For the years ended December 31, 2023 and 2022, we enabled over $24.0 billion and approximately $18.1 billion, respectively, in total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ectPr>
          <w:pgSz w:w="12240" w:h="15840" w:orient="portrait"/>
          <w:cols w:equalWidth="0" w:num="1">
            <w:col w:w="10780"/>
          </w:cols>
          <w:pgMar w:left="720" w:top="117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10780"/>
          </w:cols>
          <w:pgMar w:left="720" w:top="1170" w:right="740" w:bottom="175" w:gutter="0" w:footer="0" w:header="0"/>
          <w:type w:val="continuous"/>
        </w:sectPr>
      </w:pPr>
    </w:p>
    <w:bookmarkStart w:id="10" w:name="page11"/>
    <w:bookmarkEnd w:id="10"/>
    <w:p>
      <w:pPr>
        <w:ind w:left="500"/>
        <w:spacing w:after="0"/>
        <w:rPr>
          <w:sz w:val="20"/>
          <w:szCs w:val="20"/>
          <w:color w:val="auto"/>
        </w:rPr>
      </w:pPr>
      <w:r>
        <w:rPr>
          <w:rFonts w:ascii="Arial" w:cs="Arial" w:eastAsia="Arial" w:hAnsi="Arial"/>
          <w:sz w:val="20"/>
          <w:szCs w:val="20"/>
          <w:color w:val="auto"/>
        </w:rPr>
        <w:t>We designed our next-gen payments platform to be:</w:t>
      </w:r>
    </w:p>
    <w:p>
      <w:pPr>
        <w:spacing w:after="0" w:line="209" w:lineRule="exact"/>
        <w:rPr>
          <w:sz w:val="20"/>
          <w:szCs w:val="20"/>
          <w:color w:val="auto"/>
        </w:rPr>
      </w:pPr>
    </w:p>
    <w:p>
      <w:pPr>
        <w:ind w:left="860" w:right="340" w:hanging="255"/>
        <w:spacing w:after="0" w:line="286" w:lineRule="auto"/>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Integrated</w:t>
      </w:r>
      <w:r>
        <w:rPr>
          <w:rFonts w:ascii="Arial" w:cs="Arial" w:eastAsia="Arial" w:hAnsi="Arial"/>
          <w:sz w:val="20"/>
          <w:szCs w:val="20"/>
          <w:color w:val="auto"/>
        </w:rPr>
        <w:t>. Fully unified and seamlessly connected to a broad range of core operating systems, facilitating</w:t>
      </w:r>
      <w:r>
        <w:rPr>
          <w:rFonts w:ascii="Arial" w:cs="Arial" w:eastAsia="Arial" w:hAnsi="Arial"/>
          <w:sz w:val="20"/>
          <w:szCs w:val="20"/>
          <w:b w:val="1"/>
          <w:bCs w:val="1"/>
          <w:color w:val="auto"/>
        </w:rPr>
        <w:t xml:space="preserve"> </w:t>
      </w:r>
      <w:r>
        <w:rPr>
          <w:rFonts w:ascii="Arial" w:cs="Arial" w:eastAsia="Arial" w:hAnsi="Arial"/>
          <w:sz w:val="20"/>
          <w:szCs w:val="20"/>
          <w:color w:val="auto"/>
        </w:rPr>
        <w:t>easy data capture and compatibility across a broad range of solutions;</w:t>
      </w:r>
    </w:p>
    <w:p>
      <w:pPr>
        <w:spacing w:after="0" w:line="125" w:lineRule="exact"/>
        <w:rPr>
          <w:rFonts w:ascii="Arial" w:cs="Arial" w:eastAsia="Arial" w:hAnsi="Arial"/>
          <w:sz w:val="20"/>
          <w:szCs w:val="20"/>
          <w:color w:val="auto"/>
        </w:rPr>
      </w:pPr>
    </w:p>
    <w:p>
      <w:pPr>
        <w:ind w:left="860" w:right="520" w:hanging="255"/>
        <w:spacing w:after="0" w:line="286" w:lineRule="auto"/>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Flexible</w:t>
      </w:r>
      <w:r>
        <w:rPr>
          <w:rFonts w:ascii="Arial" w:cs="Arial" w:eastAsia="Arial" w:hAnsi="Arial"/>
          <w:sz w:val="20"/>
          <w:szCs w:val="20"/>
          <w:color w:val="auto"/>
        </w:rPr>
        <w:t>. Supports complex workflows and payment experiences for both in-country domestic and cross-border payments; and</w:t>
      </w:r>
    </w:p>
    <w:p>
      <w:pPr>
        <w:spacing w:after="0" w:line="125" w:lineRule="exact"/>
        <w:rPr>
          <w:rFonts w:ascii="Arial" w:cs="Arial" w:eastAsia="Arial" w:hAnsi="Arial"/>
          <w:sz w:val="20"/>
          <w:szCs w:val="20"/>
          <w:color w:val="auto"/>
        </w:rPr>
      </w:pPr>
    </w:p>
    <w:p>
      <w:pPr>
        <w:ind w:left="860" w:right="80" w:hanging="255"/>
        <w:spacing w:after="0" w:line="286" w:lineRule="auto"/>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Secure</w:t>
      </w:r>
      <w:r>
        <w:rPr>
          <w:rFonts w:ascii="Arial" w:cs="Arial" w:eastAsia="Arial" w:hAnsi="Arial"/>
          <w:sz w:val="20"/>
          <w:szCs w:val="20"/>
          <w:color w:val="auto"/>
        </w:rPr>
        <w:t>. Leverages Payment Card Industry-validated Point-to-Point Encryption tokenization and other best-in-class and regulatory-compliant security measures.</w:t>
      </w:r>
    </w:p>
    <w:p>
      <w:pPr>
        <w:spacing w:after="0" w:line="116"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auto"/>
        </w:rPr>
        <w:t>By utilizing predictive analytics, ML and AI, we handle the complexities of money movement across borders while providing fast, compliant, and transparent receipt of payments. Our AI and ML enabled fraud detection risk engine has trained against millions of automated clearing house (ACH), check, card, and wire transactions. As a result, the enhanced power of our risk engine enables us to mitigate fraud.</w:t>
      </w:r>
    </w:p>
    <w:p>
      <w:pPr>
        <w:spacing w:after="0" w:line="146" w:lineRule="exact"/>
        <w:rPr>
          <w:sz w:val="20"/>
          <w:szCs w:val="20"/>
          <w:color w:val="auto"/>
        </w:rPr>
      </w:pPr>
    </w:p>
    <w:p>
      <w:pPr>
        <w:ind w:right="560" w:firstLine="490"/>
        <w:spacing w:after="0" w:line="261" w:lineRule="auto"/>
        <w:rPr>
          <w:sz w:val="20"/>
          <w:szCs w:val="20"/>
          <w:color w:val="auto"/>
        </w:rPr>
      </w:pPr>
      <w:r>
        <w:rPr>
          <w:rFonts w:ascii="Arial" w:cs="Arial" w:eastAsia="Arial" w:hAnsi="Arial"/>
          <w:sz w:val="20"/>
          <w:szCs w:val="20"/>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153" w:lineRule="exact"/>
        <w:rPr>
          <w:sz w:val="20"/>
          <w:szCs w:val="20"/>
          <w:color w:val="auto"/>
        </w:rPr>
      </w:pPr>
    </w:p>
    <w:p>
      <w:pPr>
        <w:ind w:left="860" w:right="280" w:hanging="255"/>
        <w:spacing w:after="0" w:line="282"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enhanced invoicing, settlement and reconciliation tools that simplify billing and customer payments and better manage cash flow and revenue;</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end-to-end processing, from authorization to clearing to settlement and reconciliation;</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turnkey solution for enhanced and secure single sign-on and checkout;</w:t>
      </w:r>
    </w:p>
    <w:p>
      <w:pPr>
        <w:spacing w:after="0" w:line="213" w:lineRule="exact"/>
        <w:rPr>
          <w:rFonts w:ascii="Arial" w:cs="Arial" w:eastAsia="Arial" w:hAnsi="Arial"/>
          <w:sz w:val="20"/>
          <w:szCs w:val="20"/>
          <w:color w:val="auto"/>
        </w:rPr>
      </w:pPr>
    </w:p>
    <w:p>
      <w:pPr>
        <w:ind w:left="860" w:right="540" w:hanging="255"/>
        <w:spacing w:after="0" w:line="282"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recurring, split and flexible payment options, including robust payment plan logic that can be tailored in our vertical-specific implementations; and</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unified reporting and analytics tools through direct integrations to client back-end infrastructure.</w:t>
      </w:r>
    </w:p>
    <w:p>
      <w:pPr>
        <w:spacing w:after="0" w:line="200" w:lineRule="exact"/>
        <w:rPr>
          <w:sz w:val="20"/>
          <w:szCs w:val="20"/>
          <w:color w:val="auto"/>
        </w:rPr>
      </w:pPr>
    </w:p>
    <w:p>
      <w:pPr>
        <w:ind w:firstLine="490"/>
        <w:spacing w:after="0" w:line="271" w:lineRule="auto"/>
        <w:rPr>
          <w:sz w:val="20"/>
          <w:szCs w:val="20"/>
          <w:color w:val="auto"/>
        </w:rPr>
      </w:pPr>
      <w:r>
        <w:rPr>
          <w:rFonts w:ascii="Arial" w:cs="Arial" w:eastAsia="Arial" w:hAnsi="Arial"/>
          <w:sz w:val="19"/>
          <w:szCs w:val="19"/>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111125</wp:posOffset>
            </wp:positionV>
            <wp:extent cx="6349365" cy="333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6349365" cy="3331845"/>
                    </a:xfrm>
                    <a:prstGeom prst="rect">
                      <a:avLst/>
                    </a:prstGeom>
                    <a:noFill/>
                  </pic:spPr>
                </pic:pic>
              </a:graphicData>
            </a:graphic>
          </wp:anchor>
        </w:drawing>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10780"/>
          </w:cols>
          <w:pgMar w:left="720" w:top="1160" w:right="740" w:bottom="175" w:gutter="0" w:footer="0" w:header="0"/>
          <w:type w:val="continuous"/>
        </w:sectPr>
      </w:pPr>
    </w:p>
    <w:bookmarkStart w:id="11" w:name="page12"/>
    <w:bookmarkEnd w:id="11"/>
    <w:p>
      <w:pPr>
        <w:ind w:firstLine="490"/>
        <w:spacing w:after="0" w:line="247" w:lineRule="auto"/>
        <w:rPr>
          <w:sz w:val="20"/>
          <w:szCs w:val="20"/>
          <w:color w:val="auto"/>
        </w:rPr>
      </w:pPr>
      <w:r>
        <w:rPr>
          <w:rFonts w:ascii="Arial" w:cs="Arial" w:eastAsia="Arial" w:hAnsi="Arial"/>
          <w:sz w:val="20"/>
          <w:szCs w:val="20"/>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Proprietary Global Payment Network</w:t>
      </w:r>
    </w:p>
    <w:p>
      <w:pPr>
        <w:spacing w:after="0" w:line="196"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52" w:lineRule="exact"/>
        <w:rPr>
          <w:sz w:val="20"/>
          <w:szCs w:val="20"/>
          <w:color w:val="auto"/>
        </w:rPr>
      </w:pPr>
    </w:p>
    <w:p>
      <w:pPr>
        <w:jc w:val="both"/>
        <w:ind w:right="40" w:firstLine="490"/>
        <w:spacing w:after="0" w:line="261" w:lineRule="auto"/>
        <w:rPr>
          <w:sz w:val="20"/>
          <w:szCs w:val="20"/>
          <w:color w:val="auto"/>
        </w:rPr>
      </w:pPr>
      <w:r>
        <w:rPr>
          <w:rFonts w:ascii="Arial" w:cs="Arial" w:eastAsia="Arial" w:hAnsi="Arial"/>
          <w:sz w:val="20"/>
          <w:szCs w:val="20"/>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40" w:lineRule="exact"/>
        <w:rPr>
          <w:sz w:val="20"/>
          <w:szCs w:val="20"/>
          <w:color w:val="auto"/>
        </w:rPr>
      </w:pPr>
    </w:p>
    <w:p>
      <w:pPr>
        <w:ind w:right="200" w:firstLine="490"/>
        <w:spacing w:after="0" w:line="254" w:lineRule="auto"/>
        <w:rPr>
          <w:sz w:val="20"/>
          <w:szCs w:val="20"/>
          <w:color w:val="auto"/>
        </w:rPr>
      </w:pPr>
      <w:r>
        <w:rPr>
          <w:rFonts w:ascii="Arial" w:cs="Arial" w:eastAsia="Arial" w:hAnsi="Arial"/>
          <w:sz w:val="20"/>
          <w:szCs w:val="20"/>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globe—across approximately 4,500 geographic corridors for 2023 representing transaction flows between payers and payees.</w:t>
      </w:r>
    </w:p>
    <w:p>
      <w:pPr>
        <w:spacing w:after="0" w:line="146" w:lineRule="exact"/>
        <w:rPr>
          <w:sz w:val="20"/>
          <w:szCs w:val="20"/>
          <w:color w:val="auto"/>
        </w:rPr>
      </w:pPr>
    </w:p>
    <w:p>
      <w:pPr>
        <w:ind w:right="360" w:firstLine="490"/>
        <w:spacing w:after="0" w:line="282" w:lineRule="auto"/>
        <w:rPr>
          <w:sz w:val="20"/>
          <w:szCs w:val="20"/>
          <w:color w:val="auto"/>
        </w:rPr>
      </w:pPr>
      <w:r>
        <w:rPr>
          <w:rFonts w:ascii="Arial" w:cs="Arial" w:eastAsia="Arial" w:hAnsi="Arial"/>
          <w:sz w:val="20"/>
          <w:szCs w:val="20"/>
          <w:color w:val="auto"/>
        </w:rPr>
        <w:t>Once our clients are connected to our global payment network, they can leverage an extended range of services and capabilities, including:</w:t>
      </w:r>
    </w:p>
    <w:p>
      <w:pPr>
        <w:spacing w:after="0" w:line="129" w:lineRule="exact"/>
        <w:rPr>
          <w:sz w:val="20"/>
          <w:szCs w:val="20"/>
          <w:color w:val="auto"/>
        </w:rPr>
      </w:pPr>
    </w:p>
    <w:p>
      <w:pPr>
        <w:ind w:left="860" w:right="120" w:hanging="255"/>
        <w:spacing w:after="0" w:line="251"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Transaction routing optimized for cost, risk and compliance management</w:t>
      </w:r>
      <w:r>
        <w:rPr>
          <w:rFonts w:ascii="Arial" w:cs="Arial" w:eastAsia="Arial" w:hAnsi="Arial"/>
          <w:sz w:val="20"/>
          <w:szCs w:val="20"/>
          <w:color w:val="auto"/>
        </w:rPr>
        <w:t>. We leverage the “plug and</w:t>
      </w:r>
      <w:r>
        <w:rPr>
          <w:rFonts w:ascii="Arial" w:cs="Arial" w:eastAsia="Arial" w:hAnsi="Arial"/>
          <w:sz w:val="20"/>
          <w:szCs w:val="20"/>
          <w:b w:val="1"/>
          <w:bCs w:val="1"/>
          <w:color w:val="auto"/>
        </w:rPr>
        <w:t xml:space="preserve"> </w:t>
      </w:r>
      <w:r>
        <w:rPr>
          <w:rFonts w:ascii="Arial" w:cs="Arial" w:eastAsia="Arial" w:hAnsi="Arial"/>
          <w:sz w:val="20"/>
          <w:szCs w:val="20"/>
          <w:color w:val="auto"/>
        </w:rPr>
        <w:t>play” configuration 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60" w:lineRule="exact"/>
        <w:rPr>
          <w:rFonts w:ascii="Arial" w:cs="Arial" w:eastAsia="Arial" w:hAnsi="Arial"/>
          <w:sz w:val="20"/>
          <w:szCs w:val="20"/>
          <w:color w:val="auto"/>
        </w:rPr>
      </w:pPr>
    </w:p>
    <w:p>
      <w:pPr>
        <w:ind w:left="860" w:right="20" w:hanging="255"/>
        <w:spacing w:after="0" w:line="251"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Local clearing capabilities</w:t>
      </w:r>
      <w:r>
        <w:rPr>
          <w:rFonts w:ascii="Arial" w:cs="Arial" w:eastAsia="Arial" w:hAnsi="Arial"/>
          <w:sz w:val="20"/>
          <w:szCs w:val="20"/>
          <w:color w:val="auto"/>
        </w:rPr>
        <w:t>. Our clients’ customers have the ability to authorize and clear transactions in over</w:t>
      </w:r>
      <w:r>
        <w:rPr>
          <w:rFonts w:ascii="Arial" w:cs="Arial" w:eastAsia="Arial" w:hAnsi="Arial"/>
          <w:sz w:val="20"/>
          <w:szCs w:val="20"/>
          <w:b w:val="1"/>
          <w:bCs w:val="1"/>
          <w:color w:val="auto"/>
        </w:rPr>
        <w:t xml:space="preserve"> </w:t>
      </w:r>
      <w:r>
        <w:rPr>
          <w:rFonts w:ascii="Arial" w:cs="Arial" w:eastAsia="Arial" w:hAnsi="Arial"/>
          <w:sz w:val="20"/>
          <w:szCs w:val="20"/>
          <w:color w:val="auto"/>
        </w:rPr>
        <w:t>240 countries 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60" w:lineRule="exact"/>
        <w:rPr>
          <w:rFonts w:ascii="Arial" w:cs="Arial" w:eastAsia="Arial" w:hAnsi="Arial"/>
          <w:sz w:val="20"/>
          <w:szCs w:val="20"/>
          <w:color w:val="auto"/>
        </w:rPr>
      </w:pPr>
    </w:p>
    <w:p>
      <w:pPr>
        <w:ind w:left="860" w:right="140" w:hanging="255"/>
        <w:spacing w:after="0" w:line="255"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Ecosystem of alternative payment methods</w:t>
      </w:r>
      <w:r>
        <w:rPr>
          <w:rFonts w:ascii="Arial" w:cs="Arial" w:eastAsia="Arial" w:hAnsi="Arial"/>
          <w:sz w:val="20"/>
          <w:szCs w:val="20"/>
          <w:color w:val="auto"/>
        </w:rPr>
        <w:t>. We offer a myriad of alternative payment methods, such as</w:t>
      </w:r>
      <w:r>
        <w:rPr>
          <w:rFonts w:ascii="Arial" w:cs="Arial" w:eastAsia="Arial" w:hAnsi="Arial"/>
          <w:sz w:val="20"/>
          <w:szCs w:val="20"/>
          <w:b w:val="1"/>
          <w:bCs w:val="1"/>
          <w:color w:val="auto"/>
        </w:rPr>
        <w:t xml:space="preserve"> </w:t>
      </w:r>
      <w:r>
        <w:rPr>
          <w:rFonts w:ascii="Arial" w:cs="Arial" w:eastAsia="Arial" w:hAnsi="Arial"/>
          <w:sz w:val="20"/>
          <w:szCs w:val="20"/>
          <w:color w:val="auto"/>
        </w:rPr>
        <w:t>Alipay, Boleto, PayPal / Venmo, and Trustly, to allow customers to choose how they pay. We believe this helps promote greater adoption of our payments platform, higher levels of engagement and satisfaction, and increased value across our ecosystem.</w:t>
      </w:r>
    </w:p>
    <w:p>
      <w:pPr>
        <w:spacing w:after="0" w:line="155" w:lineRule="exact"/>
        <w:rPr>
          <w:rFonts w:ascii="Arial" w:cs="Arial" w:eastAsia="Arial" w:hAnsi="Arial"/>
          <w:sz w:val="20"/>
          <w:szCs w:val="20"/>
          <w:color w:val="auto"/>
        </w:rPr>
      </w:pPr>
    </w:p>
    <w:p>
      <w:pPr>
        <w:ind w:left="860" w:right="180" w:hanging="255"/>
        <w:spacing w:after="0" w:line="263"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Global pay-out</w:t>
      </w:r>
      <w:r>
        <w:rPr>
          <w:rFonts w:ascii="Arial" w:cs="Arial" w:eastAsia="Arial" w:hAnsi="Arial"/>
          <w:sz w:val="20"/>
          <w:szCs w:val="20"/>
          <w:color w:val="auto"/>
        </w:rPr>
        <w:t>. We enable our clients to automate disbursements and seamlessly settle in over 140</w:t>
      </w:r>
      <w:r>
        <w:rPr>
          <w:rFonts w:ascii="Arial" w:cs="Arial" w:eastAsia="Arial" w:hAnsi="Arial"/>
          <w:sz w:val="20"/>
          <w:szCs w:val="20"/>
          <w:b w:val="1"/>
          <w:bCs w:val="1"/>
          <w:color w:val="auto"/>
        </w:rPr>
        <w:t xml:space="preserve"> </w:t>
      </w:r>
      <w:r>
        <w:rPr>
          <w:rFonts w:ascii="Arial" w:cs="Arial" w:eastAsia="Arial" w:hAnsi="Arial"/>
          <w:sz w:val="20"/>
          <w:szCs w:val="20"/>
          <w:color w:val="auto"/>
        </w:rPr>
        <w:t>currencies via pay-out options including local currency bank deposits. We believe we are able to settle pay-out more quickly given our end-to-end control and visibility of the transaction process.</w:t>
      </w:r>
    </w:p>
    <w:p>
      <w:pPr>
        <w:spacing w:after="0" w:line="147" w:lineRule="exact"/>
        <w:rPr>
          <w:rFonts w:ascii="Arial" w:cs="Arial" w:eastAsia="Arial" w:hAnsi="Arial"/>
          <w:sz w:val="20"/>
          <w:szCs w:val="20"/>
          <w:color w:val="auto"/>
        </w:rPr>
      </w:pPr>
    </w:p>
    <w:p>
      <w:pPr>
        <w:ind w:left="860" w:hanging="255"/>
        <w:spacing w:after="0" w:line="249"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Tailored and scalable regulatory and compliance infrastructure</w:t>
      </w:r>
      <w:r>
        <w:rPr>
          <w:rFonts w:ascii="Arial" w:cs="Arial" w:eastAsia="Arial" w:hAnsi="Arial"/>
          <w:sz w:val="20"/>
          <w:szCs w:val="20"/>
          <w:color w:val="auto"/>
        </w:rPr>
        <w:t>. This foundational element underpins our</w:t>
      </w:r>
      <w:r>
        <w:rPr>
          <w:rFonts w:ascii="Arial" w:cs="Arial" w:eastAsia="Arial" w:hAnsi="Arial"/>
          <w:sz w:val="20"/>
          <w:szCs w:val="20"/>
          <w:b w:val="1"/>
          <w:bCs w:val="1"/>
          <w:color w:val="auto"/>
        </w:rPr>
        <w:t xml:space="preserve"> </w:t>
      </w:r>
      <w:r>
        <w:rPr>
          <w:rFonts w:ascii="Arial" w:cs="Arial" w:eastAsia="Arial" w:hAnsi="Arial"/>
          <w:sz w:val="20"/>
          <w:szCs w:val="20"/>
          <w:color w:val="auto"/>
        </w:rPr>
        <w:t>global payment 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10780"/>
          </w:cols>
          <w:pgMar w:left="720" w:top="1160" w:right="740" w:bottom="175"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Vertical-Specific Software Backed by Deep Industry Expertise</w:t>
      </w:r>
    </w:p>
    <w:p>
      <w:pPr>
        <w:spacing w:after="0" w:line="196" w:lineRule="exact"/>
        <w:rPr>
          <w:sz w:val="20"/>
          <w:szCs w:val="20"/>
          <w:color w:val="auto"/>
        </w:rPr>
      </w:pPr>
    </w:p>
    <w:p>
      <w:pPr>
        <w:jc w:val="both"/>
        <w:ind w:right="420" w:firstLine="490"/>
        <w:spacing w:after="0" w:line="261" w:lineRule="auto"/>
        <w:rPr>
          <w:sz w:val="20"/>
          <w:szCs w:val="20"/>
          <w:color w:val="auto"/>
        </w:rPr>
      </w:pPr>
      <w:r>
        <w:rPr>
          <w:rFonts w:ascii="Arial" w:cs="Arial" w:eastAsia="Arial" w:hAnsi="Arial"/>
          <w:sz w:val="20"/>
          <w:szCs w:val="20"/>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40"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Specific features of our vertical-specific software include:</w:t>
      </w:r>
    </w:p>
    <w:p>
      <w:pPr>
        <w:spacing w:after="0" w:line="209" w:lineRule="exact"/>
        <w:rPr>
          <w:sz w:val="20"/>
          <w:szCs w:val="20"/>
          <w:color w:val="auto"/>
        </w:rPr>
      </w:pPr>
    </w:p>
    <w:p>
      <w:pPr>
        <w:ind w:left="860" w:right="40" w:hanging="255"/>
        <w:spacing w:after="0" w:line="247" w:lineRule="auto"/>
        <w:tabs>
          <w:tab w:leader="none" w:pos="86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Vertical-specific digital workflows</w:t>
      </w:r>
      <w:r>
        <w:rPr>
          <w:rFonts w:ascii="Arial" w:cs="Arial" w:eastAsia="Arial" w:hAnsi="Arial"/>
          <w:sz w:val="20"/>
          <w:szCs w:val="20"/>
          <w:color w:val="auto"/>
        </w:rPr>
        <w:t>. We help our clients automate the accounts receivable process from</w:t>
      </w:r>
      <w:r>
        <w:rPr>
          <w:rFonts w:ascii="Arial" w:cs="Arial" w:eastAsia="Arial" w:hAnsi="Arial"/>
          <w:sz w:val="20"/>
          <w:szCs w:val="20"/>
          <w:b w:val="1"/>
          <w:bCs w:val="1"/>
          <w:color w:val="auto"/>
        </w:rPr>
        <w:t xml:space="preserve"> </w:t>
      </w:r>
      <w:r>
        <w:rPr>
          <w:rFonts w:ascii="Arial" w:cs="Arial" w:eastAsia="Arial" w:hAnsi="Arial"/>
          <w:sz w:val="20"/>
          <w:szCs w:val="20"/>
          <w:color w:val="auto"/>
        </w:rPr>
        <w:t>creation of an 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166" w:lineRule="exact"/>
        <w:rPr>
          <w:rFonts w:ascii="Arial" w:cs="Arial" w:eastAsia="Arial" w:hAnsi="Arial"/>
          <w:sz w:val="20"/>
          <w:szCs w:val="20"/>
          <w:color w:val="auto"/>
        </w:rPr>
      </w:pPr>
    </w:p>
    <w:p>
      <w:pPr>
        <w:ind w:left="860" w:hanging="255"/>
        <w:spacing w:after="0" w:line="255" w:lineRule="auto"/>
        <w:tabs>
          <w:tab w:leader="none" w:pos="86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Integration and synchronization to core and industry specific systems</w:t>
      </w:r>
      <w:r>
        <w:rPr>
          <w:rFonts w:ascii="Arial" w:cs="Arial" w:eastAsia="Arial" w:hAnsi="Arial"/>
          <w:sz w:val="20"/>
          <w:szCs w:val="20"/>
          <w:color w:val="auto"/>
        </w:rPr>
        <w:t>. Our software is designed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automate accounts receivable reconciliation by synchronizing customer transactions with our client’s accounting and ERP systems. Our synchronization capabilities substantially reduce double data-entry and increase efficiency.</w:t>
      </w:r>
    </w:p>
    <w:p>
      <w:pPr>
        <w:spacing w:after="0" w:line="155" w:lineRule="exact"/>
        <w:rPr>
          <w:rFonts w:ascii="Arial" w:cs="Arial" w:eastAsia="Arial" w:hAnsi="Arial"/>
          <w:sz w:val="20"/>
          <w:szCs w:val="20"/>
          <w:color w:val="auto"/>
        </w:rPr>
      </w:pPr>
    </w:p>
    <w:p>
      <w:pPr>
        <w:ind w:left="860" w:right="340" w:hanging="255"/>
        <w:spacing w:after="0" w:line="314" w:lineRule="auto"/>
        <w:tabs>
          <w:tab w:leader="none" w:pos="860"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Real-time access</w:t>
      </w:r>
      <w:r>
        <w:rPr>
          <w:rFonts w:ascii="Arial" w:cs="Arial" w:eastAsia="Arial" w:hAnsi="Arial"/>
          <w:sz w:val="19"/>
          <w:szCs w:val="19"/>
          <w:color w:val="auto"/>
        </w:rPr>
        <w:t>. By leveraging our data, our clients can access real-time invoice and payment status</w:t>
      </w:r>
      <w:r>
        <w:rPr>
          <w:rFonts w:ascii="Arial" w:cs="Arial" w:eastAsia="Arial" w:hAnsi="Arial"/>
          <w:sz w:val="19"/>
          <w:szCs w:val="19"/>
          <w:b w:val="1"/>
          <w:bCs w:val="1"/>
          <w:color w:val="auto"/>
        </w:rPr>
        <w:t xml:space="preserve"> </w:t>
      </w:r>
      <w:r>
        <w:rPr>
          <w:rFonts w:ascii="Arial" w:cs="Arial" w:eastAsia="Arial" w:hAnsi="Arial"/>
          <w:sz w:val="19"/>
          <w:szCs w:val="19"/>
          <w:color w:val="auto"/>
        </w:rPr>
        <w:t>updates, facilitate seamless communication with customers and easily track payments from their customers.</w:t>
      </w:r>
    </w:p>
    <w:p>
      <w:pPr>
        <w:spacing w:after="0" w:line="101" w:lineRule="exact"/>
        <w:rPr>
          <w:rFonts w:ascii="Arial" w:cs="Arial" w:eastAsia="Arial" w:hAnsi="Arial"/>
          <w:sz w:val="19"/>
          <w:szCs w:val="19"/>
          <w:color w:val="auto"/>
        </w:rPr>
      </w:pPr>
    </w:p>
    <w:p>
      <w:pPr>
        <w:ind w:left="860" w:right="60" w:hanging="255"/>
        <w:spacing w:after="0" w:line="251" w:lineRule="auto"/>
        <w:tabs>
          <w:tab w:leader="none" w:pos="86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Predictive analytics</w:t>
      </w:r>
      <w:r>
        <w:rPr>
          <w:rFonts w:ascii="Arial" w:cs="Arial" w:eastAsia="Arial" w:hAnsi="Arial"/>
          <w:sz w:val="20"/>
          <w:szCs w:val="20"/>
          <w:color w:val="auto"/>
        </w:rPr>
        <w:t>. We have robust predictive analytics capabilities to assess payment transactions across</w:t>
      </w:r>
      <w:r>
        <w:rPr>
          <w:rFonts w:ascii="Arial" w:cs="Arial" w:eastAsia="Arial" w:hAnsi="Arial"/>
          <w:sz w:val="20"/>
          <w:szCs w:val="20"/>
          <w:b w:val="1"/>
          <w:bCs w:val="1"/>
          <w:color w:val="auto"/>
        </w:rPr>
        <w:t xml:space="preserve"> </w:t>
      </w:r>
      <w:r>
        <w:rPr>
          <w:rFonts w:ascii="Arial" w:cs="Arial" w:eastAsia="Arial" w:hAnsi="Arial"/>
          <w:sz w:val="20"/>
          <w:szCs w:val="20"/>
          <w:color w:val="auto"/>
        </w:rPr>
        <w:t>our client base 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51" w:lineRule="exact"/>
        <w:rPr>
          <w:sz w:val="20"/>
          <w:szCs w:val="20"/>
          <w:color w:val="auto"/>
        </w:rPr>
      </w:pPr>
    </w:p>
    <w:p>
      <w:pPr>
        <w:ind w:firstLine="546"/>
        <w:spacing w:after="0" w:line="248" w:lineRule="auto"/>
        <w:rPr>
          <w:sz w:val="20"/>
          <w:szCs w:val="20"/>
          <w:color w:val="auto"/>
        </w:rPr>
      </w:pPr>
      <w:r>
        <w:rPr>
          <w:rFonts w:ascii="Arial" w:cs="Arial" w:eastAsia="Arial" w:hAnsi="Arial"/>
          <w:sz w:val="20"/>
          <w:szCs w:val="20"/>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ectPr>
          <w:pgSz w:w="12240" w:h="15840" w:orient="portrait"/>
          <w:cols w:equalWidth="0" w:num="1">
            <w:col w:w="10740"/>
          </w:cols>
          <w:pgMar w:left="720" w:top="1164"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10740"/>
          </w:cols>
          <w:pgMar w:left="720" w:top="1164" w:right="780" w:bottom="175"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749300</wp:posOffset>
            </wp:positionV>
            <wp:extent cx="6858000" cy="398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98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Industry</w:t>
      </w:r>
    </w:p>
    <w:p>
      <w:pPr>
        <w:spacing w:after="0" w:line="204" w:lineRule="exact"/>
        <w:rPr>
          <w:sz w:val="20"/>
          <w:szCs w:val="20"/>
          <w:color w:val="auto"/>
        </w:rPr>
      </w:pPr>
    </w:p>
    <w:p>
      <w:pPr>
        <w:ind w:right="480" w:firstLine="490"/>
        <w:spacing w:after="0" w:line="254" w:lineRule="auto"/>
        <w:rPr>
          <w:sz w:val="20"/>
          <w:szCs w:val="20"/>
          <w:color w:val="auto"/>
        </w:rPr>
      </w:pPr>
      <w:r>
        <w:rPr>
          <w:rFonts w:ascii="Arial" w:cs="Arial" w:eastAsia="Arial" w:hAnsi="Arial"/>
          <w:sz w:val="20"/>
          <w:szCs w:val="20"/>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50" w:lineRule="exact"/>
        <w:rPr>
          <w:sz w:val="20"/>
          <w:szCs w:val="20"/>
          <w:color w:val="auto"/>
        </w:rPr>
      </w:pPr>
    </w:p>
    <w:p>
      <w:pPr>
        <w:ind w:right="380"/>
        <w:spacing w:after="0" w:line="289" w:lineRule="auto"/>
        <w:rPr>
          <w:sz w:val="20"/>
          <w:szCs w:val="20"/>
          <w:color w:val="auto"/>
        </w:rPr>
      </w:pPr>
      <w:r>
        <w:rPr>
          <w:rFonts w:ascii="Arial" w:cs="Arial" w:eastAsia="Arial" w:hAnsi="Arial"/>
          <w:sz w:val="20"/>
          <w:szCs w:val="20"/>
          <w:b w:val="1"/>
          <w:bCs w:val="1"/>
          <w:i w:val="1"/>
          <w:iCs w:val="1"/>
          <w:color w:val="auto"/>
        </w:rPr>
        <w:t>Globalization—and the rise of a “borderless” economy—requires global, cross-border and local payment and regulatory expertise</w:t>
      </w:r>
    </w:p>
    <w:p>
      <w:pPr>
        <w:spacing w:after="0" w:line="102"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54"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ectPr>
          <w:pgSz w:w="12240" w:h="15840" w:orient="portrait"/>
          <w:cols w:equalWidth="0" w:num="1">
            <w:col w:w="10780"/>
          </w:cols>
          <w:pgMar w:left="720" w:top="144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10780"/>
          </w:cols>
          <w:pgMar w:left="720" w:top="1440" w:right="740" w:bottom="175"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i w:val="1"/>
          <w:iCs w:val="1"/>
          <w:color w:val="auto"/>
        </w:rPr>
        <w:t>The shift to software-integrated digital payments is accelerating</w:t>
      </w:r>
    </w:p>
    <w:p>
      <w:pPr>
        <w:spacing w:after="0" w:line="19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57" w:lineRule="exact"/>
        <w:rPr>
          <w:sz w:val="20"/>
          <w:szCs w:val="20"/>
          <w:color w:val="auto"/>
        </w:rPr>
      </w:pPr>
    </w:p>
    <w:p>
      <w:pPr>
        <w:ind w:right="300"/>
        <w:spacing w:after="0" w:line="289" w:lineRule="auto"/>
        <w:rPr>
          <w:sz w:val="20"/>
          <w:szCs w:val="20"/>
          <w:color w:val="auto"/>
        </w:rPr>
      </w:pPr>
      <w:r>
        <w:rPr>
          <w:rFonts w:ascii="Arial" w:cs="Arial" w:eastAsia="Arial" w:hAnsi="Arial"/>
          <w:sz w:val="20"/>
          <w:szCs w:val="20"/>
          <w:b w:val="1"/>
          <w:bCs w:val="1"/>
          <w:i w:val="1"/>
          <w:iCs w:val="1"/>
          <w:color w:val="auto"/>
        </w:rPr>
        <w:t>Legacy payment and accounts receivable management infrastructure has significant limitations and is ripe for innovation</w:t>
      </w:r>
    </w:p>
    <w:p>
      <w:pPr>
        <w:spacing w:after="0" w:line="102" w:lineRule="exact"/>
        <w:rPr>
          <w:sz w:val="20"/>
          <w:szCs w:val="20"/>
          <w:color w:val="auto"/>
        </w:rPr>
      </w:pPr>
    </w:p>
    <w:p>
      <w:pPr>
        <w:ind w:right="220" w:firstLine="490"/>
        <w:spacing w:after="0" w:line="261" w:lineRule="auto"/>
        <w:rPr>
          <w:sz w:val="20"/>
          <w:szCs w:val="20"/>
          <w:color w:val="auto"/>
        </w:rPr>
      </w:pPr>
      <w:r>
        <w:rPr>
          <w:rFonts w:ascii="Arial" w:cs="Arial" w:eastAsia="Arial" w:hAnsi="Arial"/>
          <w:sz w:val="20"/>
          <w:szCs w:val="20"/>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49" w:lineRule="exact"/>
        <w:rPr>
          <w:sz w:val="20"/>
          <w:szCs w:val="20"/>
          <w:color w:val="auto"/>
        </w:rPr>
      </w:pPr>
    </w:p>
    <w:p>
      <w:pPr>
        <w:ind w:left="860" w:hanging="255"/>
        <w:spacing w:after="0" w:line="247" w:lineRule="auto"/>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Paper-based. </w:t>
      </w:r>
      <w:r>
        <w:rPr>
          <w:rFonts w:ascii="Arial" w:cs="Arial" w:eastAsia="Arial" w:hAnsi="Arial"/>
          <w:sz w:val="20"/>
          <w:szCs w:val="20"/>
          <w:color w:val="auto"/>
        </w:rPr>
        <w:t>The accounts receivable process, from creation of an invoice to delivery to the customer, is</w:t>
      </w:r>
      <w:r>
        <w:rPr>
          <w:rFonts w:ascii="Arial" w:cs="Arial" w:eastAsia="Arial" w:hAnsi="Arial"/>
          <w:sz w:val="20"/>
          <w:szCs w:val="20"/>
          <w:b w:val="1"/>
          <w:bCs w:val="1"/>
          <w:color w:val="auto"/>
        </w:rPr>
        <w:t xml:space="preserve"> </w:t>
      </w:r>
      <w:r>
        <w:rPr>
          <w:rFonts w:ascii="Arial" w:cs="Arial" w:eastAsia="Arial" w:hAnsi="Arial"/>
          <w:sz w:val="20"/>
          <w:szCs w:val="20"/>
          <w:color w:val="auto"/>
        </w:rPr>
        <w:t>most often still 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66" w:lineRule="exact"/>
        <w:rPr>
          <w:rFonts w:ascii="Arial" w:cs="Arial" w:eastAsia="Arial" w:hAnsi="Arial"/>
          <w:sz w:val="20"/>
          <w:szCs w:val="20"/>
          <w:color w:val="auto"/>
        </w:rPr>
      </w:pPr>
    </w:p>
    <w:p>
      <w:pPr>
        <w:ind w:left="860" w:right="20" w:hanging="255"/>
        <w:spacing w:after="0" w:line="247" w:lineRule="auto"/>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Manual. </w:t>
      </w:r>
      <w:r>
        <w:rPr>
          <w:rFonts w:ascii="Arial" w:cs="Arial" w:eastAsia="Arial" w:hAnsi="Arial"/>
          <w:sz w:val="20"/>
          <w:szCs w:val="20"/>
          <w:color w:val="auto"/>
        </w:rPr>
        <w:t>Legacy workflows require manual input of employees at every stage of the accounts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process: from opening 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66" w:lineRule="exact"/>
        <w:rPr>
          <w:rFonts w:ascii="Arial" w:cs="Arial" w:eastAsia="Arial" w:hAnsi="Arial"/>
          <w:sz w:val="20"/>
          <w:szCs w:val="20"/>
          <w:color w:val="auto"/>
        </w:rPr>
      </w:pPr>
    </w:p>
    <w:p>
      <w:pPr>
        <w:ind w:left="860" w:hanging="255"/>
        <w:spacing w:after="0" w:line="249" w:lineRule="auto"/>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Disparate. </w:t>
      </w:r>
      <w:r>
        <w:rPr>
          <w:rFonts w:ascii="Arial" w:cs="Arial" w:eastAsia="Arial" w:hAnsi="Arial"/>
          <w:sz w:val="20"/>
          <w:szCs w:val="20"/>
          <w:color w:val="auto"/>
        </w:rPr>
        <w:t>Many businesses deal with multiple accounting and reconciliation systems to process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flow. 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61" w:lineRule="exact"/>
        <w:rPr>
          <w:rFonts w:ascii="Arial" w:cs="Arial" w:eastAsia="Arial" w:hAnsi="Arial"/>
          <w:sz w:val="20"/>
          <w:szCs w:val="20"/>
          <w:color w:val="auto"/>
        </w:rPr>
      </w:pPr>
    </w:p>
    <w:p>
      <w:pPr>
        <w:ind w:left="860" w:right="60" w:hanging="255"/>
        <w:spacing w:after="0" w:line="246" w:lineRule="auto"/>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Lacking functionality and capabilities that drive value. </w:t>
      </w:r>
      <w:r>
        <w:rPr>
          <w:rFonts w:ascii="Arial" w:cs="Arial" w:eastAsia="Arial" w:hAnsi="Arial"/>
          <w:sz w:val="20"/>
          <w:szCs w:val="20"/>
          <w:color w:val="auto"/>
        </w:rPr>
        <w:t>A large number of businesses attempt to use their</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Accelerating digitization of B2B payments</w:t>
      </w:r>
    </w:p>
    <w:p>
      <w:pPr>
        <w:spacing w:after="0" w:line="196" w:lineRule="exact"/>
        <w:rPr>
          <w:sz w:val="20"/>
          <w:szCs w:val="20"/>
          <w:color w:val="auto"/>
        </w:rPr>
      </w:pPr>
    </w:p>
    <w:p>
      <w:pPr>
        <w:ind w:right="200" w:firstLine="490"/>
        <w:spacing w:after="0" w:line="247" w:lineRule="auto"/>
        <w:rPr>
          <w:sz w:val="20"/>
          <w:szCs w:val="20"/>
          <w:color w:val="auto"/>
        </w:rPr>
      </w:pPr>
      <w:r>
        <w:rPr>
          <w:rFonts w:ascii="Arial" w:cs="Arial" w:eastAsia="Arial" w:hAnsi="Arial"/>
          <w:sz w:val="20"/>
          <w:szCs w:val="20"/>
          <w:color w:val="auto"/>
        </w:rPr>
        <w:t>We believe the B2B payments market remains one of the largest untapped opportunities in the payments industry.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Market Opportunity</w:t>
      </w:r>
    </w:p>
    <w:p>
      <w:pPr>
        <w:sectPr>
          <w:pgSz w:w="12240" w:h="15840" w:orient="portrait"/>
          <w:cols w:equalWidth="0" w:num="1">
            <w:col w:w="10780"/>
          </w:cols>
          <w:pgMar w:left="720" w:top="1164" w:right="740" w:bottom="175"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10780"/>
          </w:cols>
          <w:pgMar w:left="720" w:top="1164" w:right="740" w:bottom="175" w:gutter="0" w:footer="0" w:header="0"/>
          <w:type w:val="continuous"/>
        </w:sectPr>
      </w:pPr>
    </w:p>
    <w:bookmarkStart w:id="15" w:name="page16"/>
    <w:bookmarkEnd w:id="15"/>
    <w:p>
      <w:pPr>
        <w:ind w:right="440" w:firstLine="490"/>
        <w:spacing w:after="0" w:line="254" w:lineRule="auto"/>
        <w:rPr>
          <w:sz w:val="20"/>
          <w:szCs w:val="20"/>
          <w:color w:val="auto"/>
        </w:rPr>
      </w:pPr>
      <w:r>
        <w:rPr>
          <w:rFonts w:ascii="Arial" w:cs="Arial" w:eastAsia="Arial" w:hAnsi="Arial"/>
          <w:sz w:val="20"/>
          <w:szCs w:val="20"/>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46" w:lineRule="exact"/>
        <w:rPr>
          <w:sz w:val="20"/>
          <w:szCs w:val="20"/>
          <w:color w:val="auto"/>
        </w:rPr>
      </w:pPr>
    </w:p>
    <w:p>
      <w:pPr>
        <w:ind w:right="180" w:firstLine="490"/>
        <w:spacing w:after="0" w:line="281" w:lineRule="auto"/>
        <w:rPr>
          <w:sz w:val="20"/>
          <w:szCs w:val="20"/>
          <w:color w:val="auto"/>
        </w:rPr>
      </w:pPr>
      <w:r>
        <w:rPr>
          <w:rFonts w:ascii="Arial" w:cs="Arial" w:eastAsia="Arial" w:hAnsi="Arial"/>
          <w:sz w:val="19"/>
          <w:szCs w:val="19"/>
          <w:color w:val="auto"/>
        </w:rPr>
        <w:t>Many industries still lack the digital payments infrastructure that is necessary to meet customer demand and solve operational inefficiencies. For example, the majority of healthcare payments are still made by check. Likewise, in education, budget shortfalls, along with rising tuition costs, have added financial strain and created collections problems.</w:t>
      </w:r>
    </w:p>
    <w:p>
      <w:pPr>
        <w:spacing w:after="0" w:line="123"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These inefficiencies are costly. According to a study by Deloitte, middle-market businesses incur $3.3 trillion in operational costs when reconciling invoices as a result of inadequate legacy solutions, such as disparate file formats and lack of back-office support for automated remittances.</w:t>
      </w:r>
    </w:p>
    <w:p>
      <w:pPr>
        <w:spacing w:after="0" w:line="140" w:lineRule="exact"/>
        <w:rPr>
          <w:sz w:val="20"/>
          <w:szCs w:val="20"/>
          <w:color w:val="auto"/>
        </w:rPr>
      </w:pPr>
    </w:p>
    <w:p>
      <w:pPr>
        <w:ind w:right="200" w:firstLine="490"/>
        <w:spacing w:after="0" w:line="254" w:lineRule="auto"/>
        <w:rPr>
          <w:sz w:val="20"/>
          <w:szCs w:val="20"/>
          <w:color w:val="auto"/>
        </w:rPr>
      </w:pPr>
      <w:r>
        <w:rPr>
          <w:rFonts w:ascii="Arial" w:cs="Arial" w:eastAsia="Arial" w:hAnsi="Arial"/>
          <w:sz w:val="20"/>
          <w:szCs w:val="20"/>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11"/>
          <w:szCs w:val="11"/>
          <w:color w:val="auto"/>
        </w:rPr>
        <w:t>(1)</w:t>
      </w:r>
      <w:r>
        <w:rPr>
          <w:rFonts w:ascii="Arial" w:cs="Arial" w:eastAsia="Arial" w:hAnsi="Arial"/>
          <w:sz w:val="20"/>
          <w:szCs w:val="20"/>
          <w:color w:val="auto"/>
        </w:rPr>
        <w:t>, healthcare ($500 billion)</w:t>
      </w:r>
      <w:r>
        <w:rPr>
          <w:rFonts w:ascii="Arial" w:cs="Arial" w:eastAsia="Arial" w:hAnsi="Arial"/>
          <w:sz w:val="11"/>
          <w:szCs w:val="11"/>
          <w:color w:val="auto"/>
        </w:rPr>
        <w:t>(2)</w:t>
      </w:r>
      <w:r>
        <w:rPr>
          <w:rFonts w:ascii="Arial" w:cs="Arial" w:eastAsia="Arial" w:hAnsi="Arial"/>
          <w:sz w:val="20"/>
          <w:szCs w:val="20"/>
          <w:color w:val="auto"/>
        </w:rPr>
        <w:t xml:space="preserve"> and travel (approximately $530 billion).</w:t>
      </w:r>
      <w:r>
        <w:rPr>
          <w:rFonts w:ascii="Arial" w:cs="Arial" w:eastAsia="Arial" w:hAnsi="Arial"/>
          <w:sz w:val="11"/>
          <w:szCs w:val="11"/>
          <w:color w:val="auto"/>
        </w:rPr>
        <w:t>(3)</w:t>
      </w:r>
    </w:p>
    <w:p>
      <w:pPr>
        <w:spacing w:after="0" w:line="146"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Additionally, our B2B payments offering expands the addressable market for our solutions, which we estimate to be over $10 trillion in addressable B2B payment volume</w:t>
      </w:r>
      <w:r>
        <w:rPr>
          <w:rFonts w:ascii="Arial" w:cs="Arial" w:eastAsia="Arial" w:hAnsi="Arial"/>
          <w:sz w:val="11"/>
          <w:szCs w:val="11"/>
          <w:color w:val="auto"/>
        </w:rPr>
        <w:t>(4)</w:t>
      </w:r>
      <w:r>
        <w:rPr>
          <w:rFonts w:ascii="Arial" w:cs="Arial" w:eastAsia="Arial" w:hAnsi="Arial"/>
          <w:sz w:val="20"/>
          <w:szCs w:val="20"/>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Growth Strategy</w:t>
      </w:r>
    </w:p>
    <w:p>
      <w:pPr>
        <w:spacing w:after="0" w:line="204"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We believe we have a significant opportunity to build on our success and momentum to date. The key elements of our growth strategy include: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Expand Our Client Reach</w:t>
      </w:r>
    </w:p>
    <w:p>
      <w:pPr>
        <w:spacing w:after="0" w:line="205" w:lineRule="exact"/>
        <w:rPr>
          <w:sz w:val="20"/>
          <w:szCs w:val="20"/>
          <w:color w:val="auto"/>
        </w:rPr>
      </w:pPr>
    </w:p>
    <w:p>
      <w:pPr>
        <w:ind w:left="860" w:right="200" w:hanging="255"/>
        <w:spacing w:after="0" w:line="249" w:lineRule="auto"/>
        <w:tabs>
          <w:tab w:leader="none" w:pos="860"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Grow with existing clients. </w:t>
      </w:r>
      <w:r>
        <w:rPr>
          <w:rFonts w:ascii="Arial" w:cs="Arial" w:eastAsia="Arial" w:hAnsi="Arial"/>
          <w:sz w:val="20"/>
          <w:szCs w:val="20"/>
          <w:color w:val="auto"/>
        </w:rPr>
        <w:t>We intend to continue to become a more integral part of our clients’ businesses</w:t>
      </w:r>
      <w:r>
        <w:rPr>
          <w:rFonts w:ascii="Arial" w:cs="Arial" w:eastAsia="Arial" w:hAnsi="Arial"/>
          <w:sz w:val="20"/>
          <w:szCs w:val="20"/>
          <w:b w:val="1"/>
          <w:bCs w:val="1"/>
          <w:color w:val="auto"/>
        </w:rPr>
        <w:t xml:space="preserve"> </w:t>
      </w:r>
      <w:r>
        <w:rPr>
          <w:rFonts w:ascii="Arial" w:cs="Arial" w:eastAsia="Arial" w:hAnsi="Arial"/>
          <w:sz w:val="20"/>
          <w:szCs w:val="20"/>
          <w:color w:val="auto"/>
        </w:rPr>
        <w:t>as the number of our clients’ customers who utilize our solutions increases. Our track record of organic growth with our clients is demonstrated by our three-year average annual net dollar-based retention rate, which was approximately 130% for the years ended December 31, 2021 through December 31, 2023. As our clients transform and digitize their operational workflows, we plan to encourage them to add additional solutions, such as tailored invoicing, payment plans, and eStore marketplace.</w:t>
      </w:r>
    </w:p>
    <w:p>
      <w:pPr>
        <w:spacing w:after="0" w:line="161" w:lineRule="exact"/>
        <w:rPr>
          <w:rFonts w:ascii="Arial" w:cs="Arial" w:eastAsia="Arial" w:hAnsi="Arial"/>
          <w:sz w:val="20"/>
          <w:szCs w:val="20"/>
          <w:color w:val="auto"/>
        </w:rPr>
      </w:pPr>
    </w:p>
    <w:p>
      <w:pPr>
        <w:ind w:left="860" w:right="180" w:hanging="255"/>
        <w:spacing w:after="0" w:line="263" w:lineRule="auto"/>
        <w:tabs>
          <w:tab w:leader="none" w:pos="860"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Continue to win new clients. </w:t>
      </w:r>
      <w:r>
        <w:rPr>
          <w:rFonts w:ascii="Arial" w:cs="Arial" w:eastAsia="Arial" w:hAnsi="Arial"/>
          <w:sz w:val="20"/>
          <w:szCs w:val="20"/>
          <w:color w:val="auto"/>
        </w:rPr>
        <w:t>We plan to expand our sales and marketing efforts to increase brand</w:t>
      </w:r>
      <w:r>
        <w:rPr>
          <w:rFonts w:ascii="Arial" w:cs="Arial" w:eastAsia="Arial" w:hAnsi="Arial"/>
          <w:sz w:val="20"/>
          <w:szCs w:val="20"/>
          <w:b w:val="1"/>
          <w:bCs w:val="1"/>
          <w:color w:val="auto"/>
        </w:rPr>
        <w:t xml:space="preserve"> </w:t>
      </w:r>
      <w:r>
        <w:rPr>
          <w:rFonts w:ascii="Arial" w:cs="Arial" w:eastAsia="Arial" w:hAnsi="Arial"/>
          <w:sz w:val="20"/>
          <w:szCs w:val="20"/>
          <w:color w:val="auto"/>
        </w:rPr>
        <w:t>awareness and highlight the value of our solutions. We believe this will attract new clients to Flywire and as we add more clients, we can accelerate the effects of our flywheel.</w:t>
      </w:r>
    </w:p>
    <w:p>
      <w:pPr>
        <w:spacing w:after="0" w:line="147" w:lineRule="exact"/>
        <w:rPr>
          <w:rFonts w:ascii="Arial" w:cs="Arial" w:eastAsia="Arial" w:hAnsi="Arial"/>
          <w:sz w:val="20"/>
          <w:szCs w:val="20"/>
          <w:color w:val="auto"/>
        </w:rPr>
      </w:pPr>
    </w:p>
    <w:p>
      <w:pPr>
        <w:ind w:left="860" w:right="240" w:hanging="255"/>
        <w:spacing w:after="0" w:line="255" w:lineRule="auto"/>
        <w:tabs>
          <w:tab w:leader="none" w:pos="860"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Increase payments platform monetization. </w:t>
      </w:r>
      <w:r>
        <w:rPr>
          <w:rFonts w:ascii="Arial" w:cs="Arial" w:eastAsia="Arial" w:hAnsi="Arial"/>
          <w:sz w:val="20"/>
          <w:szCs w:val="20"/>
          <w:color w:val="auto"/>
        </w:rPr>
        <w:t>We have the opportunity to offer additional complementary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payment services to our clients’ customers in support of our clients’ business goals. We intend to leverage our </w:t>
      </w:r>
      <w:r>
        <w:rPr>
          <w:rFonts w:ascii="Arial" w:cs="Arial" w:eastAsia="Arial" w:hAnsi="Arial"/>
          <w:sz w:val="20"/>
          <w:szCs w:val="20"/>
          <w:i w:val="1"/>
          <w:iCs w:val="1"/>
          <w:color w:val="auto"/>
        </w:rPr>
        <w:t xml:space="preserve">Flywire Advantage </w:t>
      </w:r>
      <w:r>
        <w:rPr>
          <w:rFonts w:ascii="Arial" w:cs="Arial" w:eastAsia="Arial" w:hAnsi="Arial"/>
          <w:sz w:val="20"/>
          <w:szCs w:val="20"/>
          <w:color w:val="auto"/>
        </w:rPr>
        <w:t>by expanding the number of use cases we can address such as handling payables in</w:t>
      </w:r>
      <w:r>
        <w:rPr>
          <w:rFonts w:ascii="Arial" w:cs="Arial" w:eastAsia="Arial" w:hAnsi="Arial"/>
          <w:sz w:val="20"/>
          <w:szCs w:val="20"/>
          <w:i w:val="1"/>
          <w:iCs w:val="1"/>
          <w:color w:val="auto"/>
        </w:rPr>
        <w:t xml:space="preserve"> </w:t>
      </w:r>
      <w:r>
        <w:rPr>
          <w:rFonts w:ascii="Arial" w:cs="Arial" w:eastAsia="Arial" w:hAnsi="Arial"/>
          <w:sz w:val="20"/>
          <w:szCs w:val="20"/>
          <w:color w:val="auto"/>
        </w:rPr>
        <w:t>education, business invoices in hospitals, and commissions in travel.</w:t>
      </w:r>
    </w:p>
    <w:p>
      <w:pPr>
        <w:spacing w:after="0" w:line="155" w:lineRule="exact"/>
        <w:rPr>
          <w:rFonts w:ascii="Arial" w:cs="Arial" w:eastAsia="Arial" w:hAnsi="Arial"/>
          <w:sz w:val="20"/>
          <w:szCs w:val="20"/>
          <w:color w:val="auto"/>
        </w:rPr>
      </w:pPr>
    </w:p>
    <w:p>
      <w:pPr>
        <w:ind w:left="860" w:right="400" w:hanging="255"/>
        <w:spacing w:after="0" w:line="286" w:lineRule="auto"/>
        <w:tabs>
          <w:tab w:leader="none" w:pos="860"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Expand our solution portfolio. </w:t>
      </w:r>
      <w:r>
        <w:rPr>
          <w:rFonts w:ascii="Arial" w:cs="Arial" w:eastAsia="Arial" w:hAnsi="Arial"/>
          <w:sz w:val="20"/>
          <w:szCs w:val="20"/>
          <w:color w:val="auto"/>
        </w:rPr>
        <w:t>We expect to continue investing in our solution portfolio by expanding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breadth and depth of our payments and software capabilities.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5" w:lineRule="exact"/>
        <w:rPr>
          <w:rFonts w:ascii="Arial" w:cs="Arial" w:eastAsia="Arial" w:hAnsi="Arial"/>
          <w:sz w:val="20"/>
          <w:szCs w:val="20"/>
          <w:color w:val="auto"/>
        </w:rPr>
      </w:pPr>
    </w:p>
    <w:p>
      <w:pPr>
        <w:ind w:left="500" w:right="660" w:hanging="370"/>
        <w:spacing w:after="0" w:line="269" w:lineRule="auto"/>
        <w:tabs>
          <w:tab w:leader="none" w:pos="500" w:val="left"/>
        </w:tabs>
        <w:numPr>
          <w:ilvl w:val="0"/>
          <w:numId w:val="14"/>
        </w:numPr>
        <w:rPr>
          <w:rFonts w:ascii="Arial" w:cs="Arial" w:eastAsia="Arial" w:hAnsi="Arial"/>
          <w:sz w:val="9"/>
          <w:szCs w:val="9"/>
          <w:color w:val="auto"/>
        </w:rPr>
      </w:pPr>
      <w:r>
        <w:rPr>
          <w:rFonts w:ascii="Arial" w:cs="Arial" w:eastAsia="Arial" w:hAnsi="Arial"/>
          <w:sz w:val="15"/>
          <w:szCs w:val="15"/>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9"/>
          <w:szCs w:val="9"/>
          <w:color w:val="auto"/>
        </w:rPr>
      </w:pPr>
    </w:p>
    <w:p>
      <w:pPr>
        <w:ind w:left="500" w:hanging="370"/>
        <w:spacing w:after="0" w:line="239" w:lineRule="auto"/>
        <w:tabs>
          <w:tab w:leader="none" w:pos="500" w:val="left"/>
        </w:tabs>
        <w:numPr>
          <w:ilvl w:val="0"/>
          <w:numId w:val="14"/>
        </w:numPr>
        <w:rPr>
          <w:rFonts w:ascii="Arial" w:cs="Arial" w:eastAsia="Arial" w:hAnsi="Arial"/>
          <w:sz w:val="9"/>
          <w:szCs w:val="9"/>
          <w:color w:val="auto"/>
        </w:rPr>
      </w:pPr>
      <w:r>
        <w:rPr>
          <w:rFonts w:ascii="Arial" w:cs="Arial" w:eastAsia="Arial" w:hAnsi="Arial"/>
          <w:sz w:val="16"/>
          <w:szCs w:val="16"/>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9"/>
          <w:szCs w:val="9"/>
          <w:color w:val="auto"/>
        </w:rPr>
      </w:pPr>
    </w:p>
    <w:p>
      <w:pPr>
        <w:ind w:left="500" w:right="580" w:hanging="370"/>
        <w:spacing w:after="0" w:line="239" w:lineRule="auto"/>
        <w:tabs>
          <w:tab w:leader="none" w:pos="500" w:val="left"/>
        </w:tabs>
        <w:numPr>
          <w:ilvl w:val="0"/>
          <w:numId w:val="14"/>
        </w:numPr>
        <w:rPr>
          <w:rFonts w:ascii="Arial" w:cs="Arial" w:eastAsia="Arial" w:hAnsi="Arial"/>
          <w:sz w:val="9"/>
          <w:szCs w:val="9"/>
          <w:color w:val="auto"/>
        </w:rPr>
      </w:pPr>
      <w:r>
        <w:rPr>
          <w:rFonts w:ascii="Arial" w:cs="Arial" w:eastAsia="Arial" w:hAnsi="Arial"/>
          <w:sz w:val="16"/>
          <w:szCs w:val="16"/>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9"/>
          <w:szCs w:val="9"/>
          <w:color w:val="auto"/>
        </w:rPr>
      </w:pPr>
    </w:p>
    <w:p>
      <w:pPr>
        <w:ind w:left="500" w:right="240" w:hanging="370"/>
        <w:spacing w:after="0" w:line="254" w:lineRule="auto"/>
        <w:tabs>
          <w:tab w:leader="none" w:pos="500" w:val="left"/>
        </w:tabs>
        <w:numPr>
          <w:ilvl w:val="0"/>
          <w:numId w:val="14"/>
        </w:numPr>
        <w:rPr>
          <w:rFonts w:ascii="Arial" w:cs="Arial" w:eastAsia="Arial" w:hAnsi="Arial"/>
          <w:sz w:val="9"/>
          <w:szCs w:val="9"/>
          <w:color w:val="auto"/>
        </w:rPr>
      </w:pPr>
      <w:r>
        <w:rPr>
          <w:rFonts w:ascii="Arial" w:cs="Arial" w:eastAsia="Arial" w:hAnsi="Arial"/>
          <w:sz w:val="16"/>
          <w:szCs w:val="16"/>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-994410</wp:posOffset>
                </wp:positionV>
                <wp:extent cx="232283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8.2999pt" to="181.45pt,-78.2999pt" o:allowincell="f" strokecolor="#000000" strokeweight="0.75pt"/>
            </w:pict>
          </mc:Fallback>
        </mc:AlternateContent>
      </w:r>
    </w:p>
    <w:p>
      <w:pPr>
        <w:sectPr>
          <w:pgSz w:w="12240" w:h="15840" w:orient="portrait"/>
          <w:cols w:equalWidth="0" w:num="1">
            <w:col w:w="10800"/>
          </w:cols>
          <w:pgMar w:left="720" w:top="1160" w:right="720" w:bottom="175"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10800"/>
          </w:cols>
          <w:pgMar w:left="720" w:top="1160" w:right="720" w:bottom="175"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t>Expand Our Ecosystem Through Channel Partnerships</w:t>
      </w:r>
    </w:p>
    <w:p>
      <w:pPr>
        <w:spacing w:after="0" w:line="196"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Expand to New Verticals and Geographies</w:t>
      </w:r>
    </w:p>
    <w:p>
      <w:pPr>
        <w:spacing w:after="0" w:line="196"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 xml:space="preserve">We leverage our </w:t>
      </w:r>
      <w:r>
        <w:rPr>
          <w:rFonts w:ascii="Arial" w:cs="Arial" w:eastAsia="Arial" w:hAnsi="Arial"/>
          <w:sz w:val="20"/>
          <w:szCs w:val="20"/>
          <w:i w:val="1"/>
          <w:iCs w:val="1"/>
          <w:color w:val="auto"/>
        </w:rPr>
        <w:t>Flywire Advantage</w:t>
      </w:r>
      <w:r>
        <w:rPr>
          <w:rFonts w:ascii="Arial" w:cs="Arial" w:eastAsia="Arial" w:hAnsi="Arial"/>
          <w:sz w:val="20"/>
          <w:szCs w:val="20"/>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Pursue Strategic and Value-Enhancing Acquisitions</w:t>
      </w:r>
    </w:p>
    <w:p>
      <w:pPr>
        <w:spacing w:after="0" w:line="196"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WPM, Cohort Go and StudyLink acquisitions. We believe our approach and breadth of experience in integrating culturally-aligned businesses position us to maximize the value we derive from future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Flywire Culture and Team</w:t>
      </w:r>
    </w:p>
    <w:p>
      <w:pPr>
        <w:spacing w:after="0" w:line="204"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As an organization, our culture is founded on our shared experiences, unique and diverse backgrounds, and belief in our mission to deliver on the most important and complex payments. As a collective team of approximately 1,200 full-time employees and contractors, who we call FlyMates, we strive for excellence as one team, guided by our core values, including:</w:t>
      </w:r>
    </w:p>
    <w:p>
      <w:pPr>
        <w:spacing w:after="0" w:line="156" w:lineRule="exact"/>
        <w:rPr>
          <w:sz w:val="20"/>
          <w:szCs w:val="20"/>
          <w:color w:val="auto"/>
        </w:rPr>
      </w:pPr>
    </w:p>
    <w:p>
      <w:pPr>
        <w:ind w:left="860" w:hanging="255"/>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Global collaboration. </w:t>
      </w:r>
      <w:r>
        <w:rPr>
          <w:rFonts w:ascii="Arial" w:cs="Arial" w:eastAsia="Arial" w:hAnsi="Arial"/>
          <w:sz w:val="20"/>
          <w:szCs w:val="20"/>
          <w:color w:val="auto"/>
        </w:rPr>
        <w:t>We believe in teamwork.</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Authenticity. </w:t>
      </w:r>
      <w:r>
        <w:rPr>
          <w:rFonts w:ascii="Arial" w:cs="Arial" w:eastAsia="Arial" w:hAnsi="Arial"/>
          <w:sz w:val="20"/>
          <w:szCs w:val="20"/>
          <w:color w:val="auto"/>
        </w:rPr>
        <w:t>We never compromise on integrity, honesty, and kindness.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Fulfillment. </w:t>
      </w:r>
      <w:r>
        <w:rPr>
          <w:rFonts w:ascii="Arial" w:cs="Arial" w:eastAsia="Arial" w:hAnsi="Arial"/>
          <w:sz w:val="20"/>
          <w:szCs w:val="20"/>
          <w:color w:val="auto"/>
        </w:rPr>
        <w:t>We strive for personal and professional satisfaction.</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Execution. </w:t>
      </w:r>
      <w:r>
        <w:rPr>
          <w:rFonts w:ascii="Arial" w:cs="Arial" w:eastAsia="Arial" w:hAnsi="Arial"/>
          <w:sz w:val="20"/>
          <w:szCs w:val="20"/>
          <w:color w:val="auto"/>
        </w:rPr>
        <w:t>We accomplish our goals through collective support and accountability.</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Ambitious innovation. </w:t>
      </w:r>
      <w:r>
        <w:rPr>
          <w:rFonts w:ascii="Arial" w:cs="Arial" w:eastAsia="Arial" w:hAnsi="Arial"/>
          <w:sz w:val="20"/>
          <w:szCs w:val="20"/>
          <w:color w:val="auto"/>
        </w:rPr>
        <w:t>We continuously look to deliver more and new value to all our constituents.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Evolved learning. </w:t>
      </w:r>
      <w:r>
        <w:rPr>
          <w:rFonts w:ascii="Arial" w:cs="Arial" w:eastAsia="Arial" w:hAnsi="Arial"/>
          <w:sz w:val="20"/>
          <w:szCs w:val="20"/>
          <w:color w:val="auto"/>
        </w:rPr>
        <w:t>We believe in new challenges and constant growth.</w:t>
      </w:r>
    </w:p>
    <w:p>
      <w:pPr>
        <w:spacing w:after="0" w:line="204"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Our leadership team defines our culture and strategy and collectively has decades of experience leading companies through rapid growth at scale. Representing approximately 40 nationalities and spoken languages, our diverse team of FlyMates deliver critical domain expertise and regionally tailored skill sets to our clients 24x7. We believe our team’s relentless client focus and adherence to our shared values are evident in our NPS of 62 for the year ended December 31, 2022, and will continue to define our future success.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 Model</w:t>
      </w:r>
    </w:p>
    <w:p>
      <w:pPr>
        <w:spacing w:after="0" w:line="204"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We derive revenue from transactions and platform and usage-based fees. Each new student tuition bill, patient visit, travel journey and business invoice is an opportunity for us to generate fees.</w:t>
      </w:r>
    </w:p>
    <w:p>
      <w:pPr>
        <w:spacing w:after="0" w:line="120"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ectPr>
          <w:pgSz w:w="12240" w:h="15840" w:orient="portrait"/>
          <w:cols w:equalWidth="0" w:num="1">
            <w:col w:w="10800"/>
          </w:cols>
          <w:pgMar w:left="720" w:top="1164" w:right="720" w:bottom="175"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10800"/>
          </w:cols>
          <w:pgMar w:left="720" w:top="1164" w:right="720" w:bottom="175"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An Illustration of Our Solution</w:t>
      </w:r>
    </w:p>
    <w:p>
      <w:pPr>
        <w:spacing w:after="0" w:line="204"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52"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b w:val="1"/>
          <w:bCs w:val="1"/>
          <w:i w:val="1"/>
          <w:iCs w:val="1"/>
          <w:color w:val="auto"/>
        </w:rPr>
        <w:t>International Payment Example</w:t>
      </w:r>
      <w:r>
        <w:rPr>
          <w:rFonts w:ascii="Arial" w:cs="Arial" w:eastAsia="Arial" w:hAnsi="Arial"/>
          <w:sz w:val="20"/>
          <w:szCs w:val="20"/>
          <w:color w:val="auto"/>
        </w:rPr>
        <w:t>: In the first example below, a Chinese student paying their tuition to a Canadian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university 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109855</wp:posOffset>
            </wp:positionV>
            <wp:extent cx="4610100" cy="3422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4610100" cy="3422650"/>
                    </a:xfrm>
                    <a:prstGeom prst="rect">
                      <a:avLst/>
                    </a:prstGeom>
                    <a:noFill/>
                  </pic:spPr>
                </pic:pic>
              </a:graphicData>
            </a:graphic>
          </wp:anchor>
        </w:drawing>
      </w:r>
    </w:p>
    <w:p>
      <w:pPr>
        <w:sectPr>
          <w:pgSz w:w="12240" w:h="15840" w:orient="portrait"/>
          <w:cols w:equalWidth="0" w:num="1">
            <w:col w:w="10700"/>
          </w:cols>
          <w:pgMar w:left="720" w:top="1156" w:right="8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10700"/>
          </w:cols>
          <w:pgMar w:left="720" w:top="1156" w:right="820" w:bottom="175" w:gutter="0" w:footer="0" w:header="0"/>
          <w:type w:val="continuous"/>
        </w:sectPr>
      </w:pPr>
    </w:p>
    <w:bookmarkStart w:id="18" w:name="page19"/>
    <w:bookmarkEnd w:id="18"/>
    <w:p>
      <w:pPr>
        <w:ind w:right="200" w:firstLine="490"/>
        <w:spacing w:after="0" w:line="282" w:lineRule="auto"/>
        <w:rPr>
          <w:sz w:val="20"/>
          <w:szCs w:val="20"/>
          <w:color w:val="auto"/>
        </w:rPr>
      </w:pPr>
      <w:r>
        <w:rPr>
          <w:rFonts w:ascii="Arial" w:cs="Arial" w:eastAsia="Arial" w:hAnsi="Arial"/>
          <w:sz w:val="20"/>
          <w:szCs w:val="20"/>
          <w:b w:val="1"/>
          <w:bCs w:val="1"/>
          <w:i w:val="1"/>
          <w:iCs w:val="1"/>
          <w:color w:val="auto"/>
        </w:rPr>
        <w:t>Domestic Payment Example</w:t>
      </w:r>
      <w:r>
        <w:rPr>
          <w:rFonts w:ascii="Arial" w:cs="Arial" w:eastAsia="Arial" w:hAnsi="Arial"/>
          <w:sz w:val="20"/>
          <w:szCs w:val="20"/>
          <w:color w:val="auto"/>
        </w:rPr>
        <w:t>: The example below illustrates the process of offering payment plans to domestic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students, which can 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102870</wp:posOffset>
            </wp:positionV>
            <wp:extent cx="4591050" cy="3016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4591050" cy="301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40" w:firstLine="490"/>
        <w:spacing w:after="0" w:line="261" w:lineRule="auto"/>
        <w:rPr>
          <w:sz w:val="20"/>
          <w:szCs w:val="20"/>
          <w:color w:val="auto"/>
        </w:rPr>
      </w:pPr>
      <w:r>
        <w:rPr>
          <w:rFonts w:ascii="Arial" w:cs="Arial" w:eastAsia="Arial" w:hAnsi="Arial"/>
          <w:sz w:val="20"/>
          <w:szCs w:val="20"/>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Go-To-Market Strategy</w:t>
      </w:r>
    </w:p>
    <w:p>
      <w:pPr>
        <w:spacing w:after="0" w:line="204"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54" w:lineRule="exact"/>
        <w:rPr>
          <w:sz w:val="20"/>
          <w:szCs w:val="20"/>
          <w:color w:val="auto"/>
        </w:rPr>
      </w:pPr>
    </w:p>
    <w:p>
      <w:pPr>
        <w:ind w:right="240" w:firstLine="490"/>
        <w:spacing w:after="0" w:line="254" w:lineRule="auto"/>
        <w:rPr>
          <w:sz w:val="20"/>
          <w:szCs w:val="20"/>
          <w:color w:val="auto"/>
        </w:rPr>
      </w:pPr>
      <w:r>
        <w:rPr>
          <w:rFonts w:ascii="Arial" w:cs="Arial" w:eastAsia="Arial" w:hAnsi="Arial"/>
          <w:sz w:val="20"/>
          <w:szCs w:val="20"/>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46"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54"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and Cerner Corporation. Additionally, Flywire has integrations with leading accounting and ERP systems, such as Oracle Corporation, Ellucian Company, L.P., Epic Systems Corporation and Rezdy Pty Ltd.</w:t>
      </w:r>
    </w:p>
    <w:p>
      <w:pPr>
        <w:sectPr>
          <w:pgSz w:w="12240" w:h="15840" w:orient="portrait"/>
          <w:cols w:equalWidth="0" w:num="1">
            <w:col w:w="10740"/>
          </w:cols>
          <w:pgMar w:left="720" w:top="1160"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10740"/>
          </w:cols>
          <w:pgMar w:left="720" w:top="1160" w:right="780" w:bottom="175"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Our Technology and Architecture</w:t>
      </w:r>
    </w:p>
    <w:p>
      <w:pPr>
        <w:spacing w:after="0" w:line="204" w:lineRule="exact"/>
        <w:rPr>
          <w:sz w:val="20"/>
          <w:szCs w:val="20"/>
          <w:color w:val="auto"/>
        </w:rPr>
      </w:pPr>
    </w:p>
    <w:p>
      <w:pPr>
        <w:ind w:right="280" w:firstLine="490"/>
        <w:spacing w:after="0" w:line="254" w:lineRule="auto"/>
        <w:rPr>
          <w:sz w:val="20"/>
          <w:szCs w:val="20"/>
          <w:color w:val="auto"/>
        </w:rPr>
      </w:pPr>
      <w:r>
        <w:rPr>
          <w:rFonts w:ascii="Arial" w:cs="Arial" w:eastAsia="Arial" w:hAnsi="Arial"/>
          <w:sz w:val="20"/>
          <w:szCs w:val="20"/>
          <w:color w:val="auto"/>
        </w:rPr>
        <w:t xml:space="preserve">Our unified technology is at the core of our </w:t>
      </w:r>
      <w:r>
        <w:rPr>
          <w:rFonts w:ascii="Arial" w:cs="Arial" w:eastAsia="Arial" w:hAnsi="Arial"/>
          <w:sz w:val="20"/>
          <w:szCs w:val="20"/>
          <w:i w:val="1"/>
          <w:iCs w:val="1"/>
          <w:color w:val="auto"/>
        </w:rPr>
        <w:t>Flywire Advantage</w:t>
      </w:r>
      <w:r>
        <w:rPr>
          <w:rFonts w:ascii="Arial" w:cs="Arial" w:eastAsia="Arial" w:hAnsi="Arial"/>
          <w:sz w:val="20"/>
          <w:szCs w:val="20"/>
          <w:color w:val="auto"/>
        </w:rPr>
        <w:t xml:space="preserve"> .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46"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858000" cy="3514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685800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Payments-as-a-Service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Our next-gen payments platform includes the infrastructure required to support more than just simple money flows:</w:t>
      </w:r>
    </w:p>
    <w:p>
      <w:pPr>
        <w:spacing w:after="0" w:line="209" w:lineRule="exact"/>
        <w:rPr>
          <w:sz w:val="20"/>
          <w:szCs w:val="20"/>
          <w:color w:val="auto"/>
        </w:rPr>
      </w:pPr>
    </w:p>
    <w:p>
      <w:pPr>
        <w:ind w:left="860" w:hanging="255"/>
        <w:spacing w:after="0"/>
        <w:tabs>
          <w:tab w:leader="none" w:pos="86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Payment services</w:t>
      </w:r>
      <w:r>
        <w:rPr>
          <w:rFonts w:ascii="Arial" w:cs="Arial" w:eastAsia="Arial" w:hAnsi="Arial"/>
          <w:sz w:val="20"/>
          <w:szCs w:val="20"/>
          <w:color w:val="auto"/>
        </w:rPr>
        <w:t>.  Our technology to capture the payment from our clients’ customers.</w:t>
      </w:r>
    </w:p>
    <w:p>
      <w:pPr>
        <w:spacing w:after="0" w:line="213" w:lineRule="exact"/>
        <w:rPr>
          <w:rFonts w:ascii="Arial" w:cs="Arial" w:eastAsia="Arial" w:hAnsi="Arial"/>
          <w:sz w:val="20"/>
          <w:szCs w:val="20"/>
          <w:color w:val="auto"/>
        </w:rPr>
      </w:pPr>
    </w:p>
    <w:p>
      <w:pPr>
        <w:ind w:left="860" w:right="20" w:hanging="255"/>
        <w:spacing w:after="0" w:line="286" w:lineRule="auto"/>
        <w:tabs>
          <w:tab w:leader="none" w:pos="86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Enabling services</w:t>
      </w:r>
      <w:r>
        <w:rPr>
          <w:rFonts w:ascii="Arial" w:cs="Arial" w:eastAsia="Arial" w:hAnsi="Arial"/>
          <w:sz w:val="20"/>
          <w:szCs w:val="20"/>
          <w:color w:val="auto"/>
        </w:rPr>
        <w:t>. Our proprietary pricing engine, foreign currency exchange hedging infrastructure, and ML</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to manage fraud and AML risk.</w:t>
      </w:r>
    </w:p>
    <w:p>
      <w:pPr>
        <w:spacing w:after="0" w:line="125" w:lineRule="exact"/>
        <w:rPr>
          <w:rFonts w:ascii="Arial" w:cs="Arial" w:eastAsia="Arial" w:hAnsi="Arial"/>
          <w:sz w:val="20"/>
          <w:szCs w:val="20"/>
          <w:color w:val="auto"/>
        </w:rPr>
      </w:pPr>
    </w:p>
    <w:p>
      <w:pPr>
        <w:ind w:left="860" w:right="180" w:hanging="255"/>
        <w:spacing w:after="0" w:line="286" w:lineRule="auto"/>
        <w:tabs>
          <w:tab w:leader="none" w:pos="86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Transaction processing services</w:t>
      </w:r>
      <w:r>
        <w:rPr>
          <w:rFonts w:ascii="Arial" w:cs="Arial" w:eastAsia="Arial" w:hAnsi="Arial"/>
          <w:sz w:val="20"/>
          <w:szCs w:val="20"/>
          <w:color w:val="auto"/>
        </w:rPr>
        <w:t>. Our routing capabilities enabled by our automated technology to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on-time payments to the appropriate destination.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Software-as-a-Service</w:t>
      </w:r>
    </w:p>
    <w:p>
      <w:pPr>
        <w:spacing w:after="0" w:line="196"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ectPr>
          <w:pgSz w:w="12240" w:h="15840" w:orient="portrait"/>
          <w:cols w:equalWidth="0" w:num="1">
            <w:col w:w="10740"/>
          </w:cols>
          <w:pgMar w:left="720" w:top="115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10740"/>
          </w:cols>
          <w:pgMar w:left="720" w:top="1156" w:right="780" w:bottom="175"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Public Application Programming Interface (API)</w:t>
      </w:r>
    </w:p>
    <w:p>
      <w:pPr>
        <w:spacing w:after="0" w:line="196" w:lineRule="exact"/>
        <w:rPr>
          <w:sz w:val="20"/>
          <w:szCs w:val="20"/>
          <w:color w:val="auto"/>
        </w:rPr>
      </w:pPr>
    </w:p>
    <w:p>
      <w:pPr>
        <w:ind w:right="300" w:firstLine="490"/>
        <w:spacing w:after="0" w:line="254" w:lineRule="auto"/>
        <w:rPr>
          <w:sz w:val="20"/>
          <w:szCs w:val="20"/>
          <w:color w:val="auto"/>
        </w:rPr>
      </w:pPr>
      <w:r>
        <w:rPr>
          <w:rFonts w:ascii="Arial" w:cs="Arial" w:eastAsia="Arial" w:hAnsi="Arial"/>
          <w:sz w:val="20"/>
          <w:szCs w:val="20"/>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4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 our cloud redundancy, and tools such as Site24x7, Pingdom, Cloudflare, and PagerDuty for an uninterrupted experience for our clients.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Compliance and Risk Management Foundation</w:t>
      </w:r>
    </w:p>
    <w:p>
      <w:pPr>
        <w:spacing w:after="0" w:line="204" w:lineRule="exact"/>
        <w:rPr>
          <w:sz w:val="20"/>
          <w:szCs w:val="20"/>
          <w:color w:val="auto"/>
        </w:rPr>
      </w:pPr>
    </w:p>
    <w:p>
      <w:pPr>
        <w:ind w:firstLine="490"/>
        <w:spacing w:after="0" w:line="257" w:lineRule="auto"/>
        <w:rPr>
          <w:sz w:val="20"/>
          <w:szCs w:val="20"/>
          <w:color w:val="auto"/>
        </w:rPr>
      </w:pPr>
      <w:r>
        <w:rPr>
          <w:rFonts w:ascii="Arial" w:cs="Arial" w:eastAsia="Arial" w:hAnsi="Arial"/>
          <w:sz w:val="19"/>
          <w:szCs w:val="19"/>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(both SOC 1, Type II and SOC 2, Type II), Payment Card Industry Data Security Standard (PCI DSS), and Americans with Disabilities Act (ADA) compliance, as well as systems and processes designed to ensure compliance with the General Data Protection Regulation (GDPR) in Europe, the Data Security Law (DSL) and Personal Information Protection Law (PIPL) in China, the California Consumer Protection Act (CCPA), the Personal Information Protection and Electronic Documents Act in Canada, Family Educational Rights and Privacy Act (FERPA), and Health Insurance Portability and Accountability Act (HIPAA), among others.</w:t>
      </w:r>
    </w:p>
    <w:p>
      <w:pPr>
        <w:spacing w:after="0" w:line="148" w:lineRule="exact"/>
        <w:rPr>
          <w:sz w:val="20"/>
          <w:szCs w:val="20"/>
          <w:color w:val="auto"/>
        </w:rPr>
      </w:pPr>
    </w:p>
    <w:p>
      <w:pPr>
        <w:ind w:right="100" w:firstLine="490"/>
        <w:spacing w:after="0" w:line="282" w:lineRule="auto"/>
        <w:rPr>
          <w:sz w:val="20"/>
          <w:szCs w:val="20"/>
          <w:color w:val="auto"/>
        </w:rPr>
      </w:pPr>
      <w:r>
        <w:rPr>
          <w:rFonts w:ascii="Arial" w:cs="Arial" w:eastAsia="Arial" w:hAnsi="Arial"/>
          <w:sz w:val="20"/>
          <w:szCs w:val="20"/>
          <w:color w:val="auto"/>
        </w:rPr>
        <w:t>Our experienced team, coupled with our advanced technology and software tools, helps us navigate the challenges of global payments in a compliant manner:</w:t>
      </w:r>
    </w:p>
    <w:p>
      <w:pPr>
        <w:spacing w:after="0" w:line="133" w:lineRule="exact"/>
        <w:rPr>
          <w:sz w:val="20"/>
          <w:szCs w:val="20"/>
          <w:color w:val="auto"/>
        </w:rPr>
      </w:pPr>
    </w:p>
    <w:p>
      <w:pPr>
        <w:ind w:left="860" w:right="180" w:hanging="255"/>
        <w:spacing w:after="0" w:line="282" w:lineRule="auto"/>
        <w:tabs>
          <w:tab w:leader="none" w:pos="860" w:val="left"/>
        </w:tabs>
        <w:numPr>
          <w:ilvl w:val="0"/>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Local and global regulatory regimes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believe we are able to react nimbly to global and local regulatory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changes that affect our business.</w:t>
      </w:r>
    </w:p>
    <w:p>
      <w:pPr>
        <w:spacing w:after="0" w:line="119" w:lineRule="exact"/>
        <w:rPr>
          <w:rFonts w:ascii="Arial" w:cs="Arial" w:eastAsia="Arial" w:hAnsi="Arial"/>
          <w:sz w:val="20"/>
          <w:szCs w:val="20"/>
          <w:color w:val="auto"/>
        </w:rPr>
      </w:pPr>
    </w:p>
    <w:p>
      <w:pPr>
        <w:ind w:left="860" w:right="60"/>
        <w:spacing w:after="0" w:line="250" w:lineRule="auto"/>
        <w:rPr>
          <w:rFonts w:ascii="Arial" w:cs="Arial" w:eastAsia="Arial" w:hAnsi="Arial"/>
          <w:sz w:val="20"/>
          <w:szCs w:val="20"/>
          <w:color w:val="auto"/>
        </w:rPr>
      </w:pPr>
      <w:r>
        <w:rPr>
          <w:rFonts w:ascii="Arial" w:cs="Arial" w:eastAsia="Arial" w:hAnsi="Arial"/>
          <w:sz w:val="20"/>
          <w:szCs w:val="20"/>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65" w:lineRule="exact"/>
        <w:rPr>
          <w:rFonts w:ascii="Arial" w:cs="Arial" w:eastAsia="Arial" w:hAnsi="Arial"/>
          <w:sz w:val="20"/>
          <w:szCs w:val="20"/>
          <w:color w:val="auto"/>
        </w:rPr>
      </w:pPr>
    </w:p>
    <w:p>
      <w:pPr>
        <w:ind w:left="860" w:hanging="255"/>
        <w:spacing w:after="0" w:line="254" w:lineRule="auto"/>
        <w:tabs>
          <w:tab w:leader="none" w:pos="860" w:val="left"/>
        </w:tabs>
        <w:numPr>
          <w:ilvl w:val="0"/>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Currency controls and exemptions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have developed robust controls to comply with the requirements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handling cross-border payments. For example, in certain jurisdictions where it is required, we are able to help track and prove purpose-driven payments through digital document collection and verification integrated with our clients’ systems.</w:t>
      </w:r>
    </w:p>
    <w:p>
      <w:pPr>
        <w:spacing w:after="0" w:line="159" w:lineRule="exact"/>
        <w:rPr>
          <w:rFonts w:ascii="Arial" w:cs="Arial" w:eastAsia="Arial" w:hAnsi="Arial"/>
          <w:sz w:val="20"/>
          <w:szCs w:val="20"/>
          <w:color w:val="auto"/>
        </w:rPr>
      </w:pPr>
    </w:p>
    <w:p>
      <w:pPr>
        <w:ind w:left="860" w:right="40" w:hanging="255"/>
        <w:spacing w:after="0" w:line="248" w:lineRule="auto"/>
        <w:tabs>
          <w:tab w:leader="none" w:pos="860" w:val="left"/>
        </w:tabs>
        <w:numPr>
          <w:ilvl w:val="0"/>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Transaction-level risks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payments platform subjects payments to a series of controls, to mitigate the risk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facilitating 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71" w:lineRule="exact"/>
        <w:rPr>
          <w:rFonts w:ascii="Arial" w:cs="Arial" w:eastAsia="Arial" w:hAnsi="Arial"/>
          <w:sz w:val="20"/>
          <w:szCs w:val="20"/>
          <w:color w:val="auto"/>
        </w:rPr>
      </w:pPr>
    </w:p>
    <w:p>
      <w:pPr>
        <w:ind w:left="860" w:right="180" w:hanging="255"/>
        <w:spacing w:after="0" w:line="252" w:lineRule="auto"/>
        <w:tabs>
          <w:tab w:leader="none" w:pos="860" w:val="left"/>
        </w:tabs>
        <w:numPr>
          <w:ilvl w:val="0"/>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Dedicated, experienced and globally dispersed risk, information/physical security and internal audit function</w:t>
      </w:r>
      <w:r>
        <w:rPr>
          <w:rFonts w:ascii="Arial" w:cs="Arial" w:eastAsia="Arial" w:hAnsi="Arial"/>
          <w:sz w:val="20"/>
          <w:szCs w:val="20"/>
          <w:color w:val="auto"/>
        </w:rPr>
        <w:t>. We have consistently maintained a dedicated risk and security team – led by our Chief Information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Security Officer – that is global in nature and devises and supports Flywire’s strategy of risk reduction and business process and information protection excellence by assuring confidentiality, integrity and availability of</w:t>
      </w:r>
    </w:p>
    <w:p>
      <w:pPr>
        <w:sectPr>
          <w:pgSz w:w="12240" w:h="15840" w:orient="portrait"/>
          <w:cols w:equalWidth="0" w:num="1">
            <w:col w:w="10780"/>
          </w:cols>
          <w:pgMar w:left="720" w:top="1164" w:right="740" w:bottom="175"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10780"/>
          </w:cols>
          <w:pgMar w:left="720" w:top="1164" w:right="740" w:bottom="175" w:gutter="0" w:footer="0" w:header="0"/>
          <w:type w:val="continuous"/>
        </w:sectPr>
      </w:pPr>
    </w:p>
    <w:bookmarkStart w:id="21" w:name="page22"/>
    <w:bookmarkEnd w:id="21"/>
    <w:p>
      <w:pPr>
        <w:ind w:left="860"/>
        <w:spacing w:after="0" w:line="261" w:lineRule="auto"/>
        <w:rPr>
          <w:sz w:val="20"/>
          <w:szCs w:val="20"/>
          <w:color w:val="auto"/>
        </w:rPr>
      </w:pPr>
      <w:r>
        <w:rPr>
          <w:rFonts w:ascii="Arial" w:cs="Arial" w:eastAsia="Arial" w:hAnsi="Arial"/>
          <w:sz w:val="20"/>
          <w:szCs w:val="20"/>
          <w:color w:val="auto"/>
        </w:rPr>
        <w:t>electronic information. We have also developed an internal audit program utilizing internal and external auditors focused on policies and processes, testing our controls, and reporting on a regular basis to our Audit Committee. Among the focal points are the risk and security program areas:</w:t>
      </w:r>
    </w:p>
    <w:p>
      <w:pPr>
        <w:spacing w:after="0" w:line="73" w:lineRule="exact"/>
        <w:rPr>
          <w:sz w:val="20"/>
          <w:szCs w:val="20"/>
          <w:color w:val="auto"/>
        </w:rPr>
      </w:pPr>
    </w:p>
    <w:p>
      <w:pPr>
        <w:ind w:left="1460" w:right="600" w:hanging="481"/>
        <w:spacing w:after="0" w:line="282"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risk mitigation through outreach, awareness, assessment, policy development and adoption of best practices;</w:t>
      </w:r>
    </w:p>
    <w:p>
      <w:pPr>
        <w:spacing w:after="0" w:line="52" w:lineRule="exact"/>
        <w:rPr>
          <w:rFonts w:ascii="Arial" w:cs="Arial" w:eastAsia="Arial" w:hAnsi="Arial"/>
          <w:sz w:val="20"/>
          <w:szCs w:val="20"/>
          <w:color w:val="auto"/>
        </w:rPr>
      </w:pPr>
    </w:p>
    <w:p>
      <w:pPr>
        <w:ind w:left="1460" w:hanging="481"/>
        <w:spacing w:after="0"/>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building and maintaining secure access protocols and network architecture;</w:t>
      </w:r>
    </w:p>
    <w:p>
      <w:pPr>
        <w:spacing w:after="0" w:line="133" w:lineRule="exact"/>
        <w:rPr>
          <w:rFonts w:ascii="Arial" w:cs="Arial" w:eastAsia="Arial" w:hAnsi="Arial"/>
          <w:sz w:val="20"/>
          <w:szCs w:val="20"/>
          <w:color w:val="auto"/>
        </w:rPr>
      </w:pPr>
    </w:p>
    <w:p>
      <w:pPr>
        <w:ind w:left="1460" w:right="20" w:hanging="481"/>
        <w:spacing w:after="0" w:line="282"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monitoring of networks and systems to protect against, detect and eradicate malicious activity and ensure regulatory compliance;</w:t>
      </w:r>
    </w:p>
    <w:p>
      <w:pPr>
        <w:spacing w:after="0" w:line="52" w:lineRule="exact"/>
        <w:rPr>
          <w:rFonts w:ascii="Arial" w:cs="Arial" w:eastAsia="Arial" w:hAnsi="Arial"/>
          <w:sz w:val="20"/>
          <w:szCs w:val="20"/>
          <w:color w:val="auto"/>
        </w:rPr>
      </w:pPr>
    </w:p>
    <w:p>
      <w:pPr>
        <w:ind w:left="1460" w:hanging="481"/>
        <w:spacing w:after="0"/>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managing continuity of operations planning for critical information systems;</w:t>
      </w:r>
    </w:p>
    <w:p>
      <w:pPr>
        <w:spacing w:after="0" w:line="133" w:lineRule="exact"/>
        <w:rPr>
          <w:rFonts w:ascii="Arial" w:cs="Arial" w:eastAsia="Arial" w:hAnsi="Arial"/>
          <w:sz w:val="20"/>
          <w:szCs w:val="20"/>
          <w:color w:val="auto"/>
        </w:rPr>
      </w:pPr>
    </w:p>
    <w:p>
      <w:pPr>
        <w:ind w:left="1460" w:hanging="481"/>
        <w:spacing w:after="0"/>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responding to security breaches to contain incidents and improve protocols;</w:t>
      </w:r>
    </w:p>
    <w:p>
      <w:pPr>
        <w:spacing w:after="0" w:line="133" w:lineRule="exact"/>
        <w:rPr>
          <w:rFonts w:ascii="Arial" w:cs="Arial" w:eastAsia="Arial" w:hAnsi="Arial"/>
          <w:sz w:val="20"/>
          <w:szCs w:val="20"/>
          <w:color w:val="auto"/>
        </w:rPr>
      </w:pPr>
    </w:p>
    <w:p>
      <w:pPr>
        <w:ind w:left="1460" w:hanging="481"/>
        <w:spacing w:after="0" w:line="282"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regulatory “horizon scanning” and managing and enforcing compliance with global regulations (Sarbanes-Oxley, FERPA, HIPAA, GDPR, ADA and others);</w:t>
      </w:r>
    </w:p>
    <w:p>
      <w:pPr>
        <w:spacing w:after="0" w:line="52" w:lineRule="exact"/>
        <w:rPr>
          <w:rFonts w:ascii="Arial" w:cs="Arial" w:eastAsia="Arial" w:hAnsi="Arial"/>
          <w:sz w:val="20"/>
          <w:szCs w:val="20"/>
          <w:color w:val="auto"/>
        </w:rPr>
      </w:pPr>
    </w:p>
    <w:p>
      <w:pPr>
        <w:ind w:left="1460" w:hanging="481"/>
        <w:spacing w:after="0"/>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managing physical security, health and safety (office, business travel and FlyMates);</w:t>
      </w:r>
    </w:p>
    <w:p>
      <w:pPr>
        <w:spacing w:after="0" w:line="133" w:lineRule="exact"/>
        <w:rPr>
          <w:rFonts w:ascii="Arial" w:cs="Arial" w:eastAsia="Arial" w:hAnsi="Arial"/>
          <w:sz w:val="20"/>
          <w:szCs w:val="20"/>
          <w:color w:val="auto"/>
        </w:rPr>
      </w:pPr>
    </w:p>
    <w:p>
      <w:pPr>
        <w:ind w:left="1460" w:hanging="481"/>
        <w:spacing w:after="0"/>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developing and enforcing our vendor due diligence program; and</w:t>
      </w:r>
    </w:p>
    <w:p>
      <w:pPr>
        <w:spacing w:after="0" w:line="133" w:lineRule="exact"/>
        <w:rPr>
          <w:rFonts w:ascii="Arial" w:cs="Arial" w:eastAsia="Arial" w:hAnsi="Arial"/>
          <w:sz w:val="20"/>
          <w:szCs w:val="20"/>
          <w:color w:val="auto"/>
        </w:rPr>
      </w:pPr>
    </w:p>
    <w:p>
      <w:pPr>
        <w:ind w:left="1460" w:right="480" w:hanging="481"/>
        <w:spacing w:after="0" w:line="282"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responding to external audits and law enforcement enquiries, conducting internal investigations, and maintaining audit-tested risk and security certifications.</w:t>
      </w:r>
    </w:p>
    <w:p>
      <w:pPr>
        <w:spacing w:after="0" w:line="120" w:lineRule="exact"/>
        <w:rPr>
          <w:sz w:val="20"/>
          <w:szCs w:val="20"/>
          <w:color w:val="auto"/>
        </w:rPr>
      </w:pPr>
    </w:p>
    <w:p>
      <w:pPr>
        <w:ind w:right="260" w:firstLine="490"/>
        <w:spacing w:after="0" w:line="250" w:lineRule="auto"/>
        <w:rPr>
          <w:sz w:val="20"/>
          <w:szCs w:val="20"/>
          <w:color w:val="auto"/>
        </w:rPr>
      </w:pPr>
      <w:r>
        <w:rPr>
          <w:rFonts w:ascii="Arial" w:cs="Arial" w:eastAsia="Arial" w:hAnsi="Arial"/>
          <w:sz w:val="20"/>
          <w:szCs w:val="20"/>
          <w:color w:val="auto"/>
        </w:rPr>
        <w:t>To support these areas of focus, our risk and security team has developed a foundation resting on an appropriate governance and policy structure, robust and scalable security architecture and solutions, and an expansive and continuous cyber security and incident response framework. In addition, we have FlyMates in the compliance and risk management function located around the world where we have operations to address the needs of the business in real-time.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04"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46" w:lineRule="exact"/>
        <w:rPr>
          <w:sz w:val="20"/>
          <w:szCs w:val="20"/>
          <w:color w:val="auto"/>
        </w:rPr>
      </w:pPr>
    </w:p>
    <w:p>
      <w:pPr>
        <w:ind w:right="120" w:firstLine="490"/>
        <w:spacing w:after="0" w:line="254" w:lineRule="auto"/>
        <w:rPr>
          <w:sz w:val="20"/>
          <w:szCs w:val="20"/>
          <w:color w:val="auto"/>
        </w:rPr>
      </w:pPr>
      <w:r>
        <w:rPr>
          <w:rFonts w:ascii="Arial" w:cs="Arial" w:eastAsia="Arial" w:hAnsi="Arial"/>
          <w:sz w:val="20"/>
          <w:szCs w:val="20"/>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160" w:lineRule="exact"/>
        <w:rPr>
          <w:sz w:val="20"/>
          <w:szCs w:val="20"/>
          <w:color w:val="auto"/>
        </w:rPr>
      </w:pPr>
    </w:p>
    <w:p>
      <w:pPr>
        <w:ind w:left="860" w:hanging="255"/>
        <w:spacing w:after="0"/>
        <w:tabs>
          <w:tab w:leader="none" w:pos="8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friction in client and customer experiences;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lack of a scaled global network;</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limited software and payments offerings;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inability to adapt to new technology; and</w:t>
      </w:r>
    </w:p>
    <w:p>
      <w:pPr>
        <w:spacing w:after="0" w:line="213" w:lineRule="exact"/>
        <w:rPr>
          <w:rFonts w:ascii="Arial" w:cs="Arial" w:eastAsia="Arial" w:hAnsi="Arial"/>
          <w:sz w:val="20"/>
          <w:szCs w:val="20"/>
          <w:color w:val="auto"/>
        </w:rPr>
      </w:pPr>
    </w:p>
    <w:p>
      <w:pPr>
        <w:ind w:left="500" w:right="4320" w:firstLine="105"/>
        <w:spacing w:after="0" w:line="470"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unsophisticated fraud prevention and risk management tools. We believe that we compete favorably on the basis of these factors.</w:t>
      </w:r>
    </w:p>
    <w:p>
      <w:pPr>
        <w:spacing w:after="0"/>
        <w:rPr>
          <w:sz w:val="20"/>
          <w:szCs w:val="20"/>
          <w:color w:val="auto"/>
        </w:rPr>
      </w:pPr>
      <w:r>
        <w:rPr>
          <w:rFonts w:ascii="Arial" w:cs="Arial" w:eastAsia="Arial" w:hAnsi="Arial"/>
          <w:sz w:val="20"/>
          <w:szCs w:val="20"/>
          <w:b w:val="1"/>
          <w:bCs w:val="1"/>
          <w:color w:val="auto"/>
        </w:rPr>
        <w:t>Intellectual Property</w:t>
      </w:r>
    </w:p>
    <w:p>
      <w:pPr>
        <w:spacing w:after="0" w:line="204"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FlyMates, consultants and contractors and with parties with whom we do business in order to acquire intellectual property rights developed as a result of service to Flywire, as well as to limit access to and disclosure of our proprietary information.</w:t>
      </w:r>
    </w:p>
    <w:p>
      <w:pPr>
        <w:sectPr>
          <w:pgSz w:w="12240" w:h="15840" w:orient="portrait"/>
          <w:cols w:equalWidth="0" w:num="1">
            <w:col w:w="10800"/>
          </w:cols>
          <w:pgMar w:left="720" w:top="1160" w:right="720" w:bottom="175"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10800"/>
          </w:cols>
          <w:pgMar w:left="720" w:top="1160" w:right="720" w:bottom="175" w:gutter="0" w:footer="0" w:header="0"/>
          <w:type w:val="continuous"/>
        </w:sectPr>
      </w:pPr>
    </w:p>
    <w:bookmarkStart w:id="22" w:name="page23"/>
    <w:bookmarkEnd w:id="22"/>
    <w:p>
      <w:pPr>
        <w:jc w:val="both"/>
        <w:ind w:right="500" w:firstLine="490"/>
        <w:spacing w:after="0" w:line="261" w:lineRule="auto"/>
        <w:rPr>
          <w:sz w:val="20"/>
          <w:szCs w:val="20"/>
          <w:color w:val="auto"/>
        </w:rPr>
      </w:pPr>
      <w:r>
        <w:rPr>
          <w:rFonts w:ascii="Arial" w:cs="Arial" w:eastAsia="Arial" w:hAnsi="Arial"/>
          <w:sz w:val="20"/>
          <w:szCs w:val="20"/>
          <w:color w:val="auto"/>
        </w:rPr>
        <w:t>We actively pursue registration of our trademarks, logos, service marks, trade dress, and domain names in the United States and in other jurisdictions. As of December 31, 2023, we had 118 registered trademarks and trademark applications, and were the registered holder of a variety of U.S. and international domain names.</w:t>
      </w:r>
    </w:p>
    <w:p>
      <w:pPr>
        <w:spacing w:after="0" w:line="140"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140" w:lineRule="exact"/>
        <w:rPr>
          <w:sz w:val="20"/>
          <w:szCs w:val="20"/>
          <w:color w:val="auto"/>
        </w:rPr>
      </w:pPr>
    </w:p>
    <w:p>
      <w:pPr>
        <w:jc w:val="both"/>
        <w:ind w:right="80" w:firstLine="490"/>
        <w:spacing w:after="0" w:line="261" w:lineRule="auto"/>
        <w:rPr>
          <w:sz w:val="20"/>
          <w:szCs w:val="20"/>
          <w:color w:val="auto"/>
        </w:rPr>
      </w:pPr>
      <w:r>
        <w:rPr>
          <w:rFonts w:ascii="Arial" w:cs="Arial" w:eastAsia="Arial" w:hAnsi="Arial"/>
          <w:sz w:val="20"/>
          <w:szCs w:val="20"/>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and Industry Standards</w:t>
      </w:r>
    </w:p>
    <w:p>
      <w:pPr>
        <w:spacing w:after="0" w:line="204"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52"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46" w:lineRule="exact"/>
        <w:rPr>
          <w:sz w:val="20"/>
          <w:szCs w:val="20"/>
          <w:color w:val="auto"/>
        </w:rPr>
      </w:pPr>
    </w:p>
    <w:p>
      <w:pPr>
        <w:ind w:right="100" w:firstLine="490"/>
        <w:spacing w:after="0" w:line="243" w:lineRule="auto"/>
        <w:rPr>
          <w:sz w:val="20"/>
          <w:szCs w:val="20"/>
          <w:color w:val="auto"/>
        </w:rPr>
      </w:pPr>
      <w:r>
        <w:rPr>
          <w:rFonts w:ascii="Arial" w:cs="Arial" w:eastAsia="Arial" w:hAnsi="Arial"/>
          <w:sz w:val="20"/>
          <w:szCs w:val="20"/>
          <w:color w:val="auto"/>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6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 In 2023, in the course of 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to report the potential violations. Although the internal investigation completed to date suggests that any loss incurred as a result of this matter would not be material to our business, if OFAC ultimately concludes a violation has occurred, it could result in penalties, fines, costs, and restrictions on our ability to do business, which could also harm our operating results.</w:t>
      </w:r>
    </w:p>
    <w:p>
      <w:pPr>
        <w:spacing w:after="0" w:line="162"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Most states in the United States require a license to offer money transmission services. We are in the process of procuring money transmitter licenses (or the statutory equivalent) in those U.S. jurisdictions that require them in order to be able to offer additional business lines in the future. We have procured and maintain money transmitter licenses in 42 U.S. jurisdictions, and actively work to comply with new license requirements as they arise.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w:t>
      </w:r>
    </w:p>
    <w:p>
      <w:pPr>
        <w:sectPr>
          <w:pgSz w:w="12240" w:h="15840" w:orient="portrait"/>
          <w:cols w:equalWidth="0" w:num="1">
            <w:col w:w="10780"/>
          </w:cols>
          <w:pgMar w:left="720" w:top="1160" w:right="740" w:bottom="175"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10780"/>
          </w:cols>
          <w:pgMar w:left="720" w:top="1160" w:right="740" w:bottom="175" w:gutter="0" w:footer="0" w:header="0"/>
          <w:type w:val="continuous"/>
        </w:sectPr>
      </w:pPr>
    </w:p>
    <w:bookmarkStart w:id="23" w:name="page24"/>
    <w:bookmarkEnd w:id="23"/>
    <w:p>
      <w:pPr>
        <w:ind w:right="100"/>
        <w:spacing w:after="0" w:line="247" w:lineRule="auto"/>
        <w:rPr>
          <w:sz w:val="20"/>
          <w:szCs w:val="20"/>
          <w:color w:val="auto"/>
        </w:rPr>
      </w:pPr>
      <w:r>
        <w:rPr>
          <w:rFonts w:ascii="Arial" w:cs="Arial" w:eastAsia="Arial" w:hAnsi="Arial"/>
          <w:sz w:val="20"/>
          <w:szCs w:val="20"/>
          <w:color w:val="auto"/>
        </w:rPr>
        <w:t>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spacing w:after="0" w:line="153"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With respect to the money transmission licenses we maintain in U.S. jurisdictions, we are subjected to, among other things,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5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 Securities &amp; Investments Commission (ASIC)). In addition, we have secured approval for a Major Payment Institution license from the Monetary Authority of Singapore (MAS), and in Canada we are registered as an MSB with the Financial Transactions and Reports Analysis Centre of Canada. We are also registered as a foreign Electronic System Organizer in Indonesia.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63" w:lineRule="exact"/>
        <w:rPr>
          <w:sz w:val="20"/>
          <w:szCs w:val="20"/>
          <w:color w:val="auto"/>
        </w:rPr>
      </w:pPr>
    </w:p>
    <w:p>
      <w:pPr>
        <w:ind w:right="240" w:firstLine="490"/>
        <w:spacing w:after="0" w:line="267" w:lineRule="auto"/>
        <w:rPr>
          <w:sz w:val="20"/>
          <w:szCs w:val="20"/>
          <w:color w:val="auto"/>
        </w:rPr>
      </w:pPr>
      <w:r>
        <w:rPr>
          <w:rFonts w:ascii="Arial" w:cs="Arial" w:eastAsia="Arial" w:hAnsi="Arial"/>
          <w:sz w:val="19"/>
          <w:szCs w:val="19"/>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35"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67" w:lineRule="exact"/>
        <w:rPr>
          <w:sz w:val="20"/>
          <w:szCs w:val="20"/>
          <w:color w:val="auto"/>
        </w:rPr>
      </w:pPr>
    </w:p>
    <w:p>
      <w:pPr>
        <w:ind w:right="60" w:firstLine="490"/>
        <w:spacing w:after="0" w:line="267" w:lineRule="auto"/>
        <w:rPr>
          <w:sz w:val="20"/>
          <w:szCs w:val="20"/>
          <w:color w:val="auto"/>
        </w:rPr>
      </w:pPr>
      <w:r>
        <w:rPr>
          <w:rFonts w:ascii="Arial" w:cs="Arial" w:eastAsia="Arial" w:hAnsi="Arial"/>
          <w:sz w:val="19"/>
          <w:szCs w:val="19"/>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10800"/>
          </w:cols>
          <w:pgMar w:left="720" w:top="1160" w:right="720" w:bottom="175" w:gutter="0" w:footer="0" w:header="0"/>
          <w:type w:val="continuous"/>
        </w:sectPr>
      </w:pPr>
    </w:p>
    <w:bookmarkStart w:id="24" w:name="page25"/>
    <w:bookmarkEnd w:id="24"/>
    <w:p>
      <w:pPr>
        <w:ind w:right="120"/>
        <w:spacing w:after="0" w:line="310" w:lineRule="auto"/>
        <w:rPr>
          <w:sz w:val="20"/>
          <w:szCs w:val="20"/>
          <w:color w:val="auto"/>
        </w:rPr>
      </w:pPr>
      <w:r>
        <w:rPr>
          <w:rFonts w:ascii="Arial" w:cs="Arial" w:eastAsia="Arial" w:hAnsi="Arial"/>
          <w:sz w:val="19"/>
          <w:szCs w:val="19"/>
          <w:color w:val="auto"/>
        </w:rPr>
        <w:t>subject to the restrictions imposed by these laws. Should our business or solutions change in a way that did subject us to the CFPB’s jurisdiction, we would be subject to increased scrutiny of our business and consumer compliance practices.</w:t>
      </w:r>
    </w:p>
    <w:p>
      <w:pPr>
        <w:spacing w:after="0" w:line="9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53" w:lineRule="exact"/>
        <w:rPr>
          <w:sz w:val="20"/>
          <w:szCs w:val="20"/>
          <w:color w:val="auto"/>
        </w:rPr>
      </w:pPr>
    </w:p>
    <w:p>
      <w:pPr>
        <w:jc w:val="both"/>
        <w:ind w:right="100" w:firstLine="490"/>
        <w:spacing w:after="0" w:line="254" w:lineRule="auto"/>
        <w:rPr>
          <w:sz w:val="20"/>
          <w:szCs w:val="20"/>
          <w:color w:val="auto"/>
        </w:rPr>
      </w:pPr>
      <w:r>
        <w:rPr>
          <w:rFonts w:ascii="Arial" w:cs="Arial" w:eastAsia="Arial" w:hAnsi="Arial"/>
          <w:sz w:val="20"/>
          <w:szCs w:val="20"/>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4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62"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54"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46"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52"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54"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w:t>
      </w:r>
    </w:p>
    <w:p>
      <w:pPr>
        <w:sectPr>
          <w:pgSz w:w="12240" w:h="15840" w:orient="portrait"/>
          <w:cols w:equalWidth="0" w:num="1">
            <w:col w:w="10800"/>
          </w:cols>
          <w:pgMar w:left="720" w:top="1160" w:right="720" w:bottom="175"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10800"/>
          </w:cols>
          <w:pgMar w:left="720" w:top="1160" w:right="720" w:bottom="175" w:gutter="0" w:footer="0" w:header="0"/>
          <w:type w:val="continuous"/>
        </w:sectPr>
      </w:pPr>
    </w:p>
    <w:bookmarkStart w:id="25" w:name="page26"/>
    <w:bookmarkEnd w:id="25"/>
    <w:p>
      <w:pPr>
        <w:ind w:right="440"/>
        <w:spacing w:after="0" w:line="282" w:lineRule="auto"/>
        <w:rPr>
          <w:sz w:val="20"/>
          <w:szCs w:val="20"/>
          <w:color w:val="auto"/>
        </w:rPr>
      </w:pPr>
      <w:r>
        <w:rPr>
          <w:rFonts w:ascii="Arial" w:cs="Arial" w:eastAsia="Arial" w:hAnsi="Arial"/>
          <w:sz w:val="20"/>
          <w:szCs w:val="20"/>
          <w:color w:val="auto"/>
        </w:rPr>
        <w:t>requirements, which could require costly remediation efforts and could prevent us from continuing to provide services through such partner financial institutions until we remediate issues to their satisfaction.</w:t>
      </w:r>
    </w:p>
    <w:p>
      <w:pPr>
        <w:spacing w:after="0" w:line="120"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5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Colorado, Virginia, Utah and Oregon have recently joined California in enacting privacy and data protection legislation that impose additional obligations on businesses related to the collection, storage and utilization of third 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63"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Many of the foreign jurisdictions where we or our customers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63" w:lineRule="exact"/>
        <w:rPr>
          <w:sz w:val="20"/>
          <w:szCs w:val="20"/>
          <w:color w:val="auto"/>
        </w:rPr>
      </w:pPr>
    </w:p>
    <w:p>
      <w:pPr>
        <w:ind w:right="120" w:firstLine="490"/>
        <w:spacing w:after="0" w:line="242" w:lineRule="auto"/>
        <w:rPr>
          <w:sz w:val="20"/>
          <w:szCs w:val="20"/>
          <w:color w:val="auto"/>
        </w:rPr>
      </w:pPr>
      <w:r>
        <w:rPr>
          <w:rFonts w:ascii="Arial" w:cs="Arial" w:eastAsia="Arial" w:hAnsi="Arial"/>
          <w:sz w:val="20"/>
          <w:szCs w:val="20"/>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Arial" w:cs="Arial" w:eastAsia="Arial" w:hAnsi="Arial"/>
          <w:sz w:val="20"/>
          <w:szCs w:val="20"/>
          <w:i w:val="1"/>
          <w:iCs w:val="1"/>
          <w:color w:val="auto"/>
        </w:rPr>
        <w:t>“Schrems II”</w:t>
      </w:r>
      <w:r>
        <w:rPr>
          <w:rFonts w:ascii="Arial" w:cs="Arial" w:eastAsia="Arial" w:hAnsi="Arial"/>
          <w:sz w:val="20"/>
          <w:szCs w:val="20"/>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20"/>
          <w:szCs w:val="20"/>
          <w:i w:val="1"/>
          <w:iCs w:val="1"/>
          <w:color w:val="auto"/>
        </w:rPr>
        <w:t>Schrems II</w:t>
      </w:r>
      <w:r>
        <w:rPr>
          <w:rFonts w:ascii="Arial" w:cs="Arial" w:eastAsia="Arial" w:hAnsi="Arial"/>
          <w:sz w:val="20"/>
          <w:szCs w:val="20"/>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20"/>
          <w:szCs w:val="20"/>
          <w:i w:val="1"/>
          <w:iCs w:val="1"/>
          <w:color w:val="auto"/>
        </w:rPr>
        <w:t>Schrems II</w:t>
      </w:r>
      <w:r>
        <w:rPr>
          <w:rFonts w:ascii="Arial" w:cs="Arial" w:eastAsia="Arial" w:hAnsi="Arial"/>
          <w:sz w:val="20"/>
          <w:szCs w:val="20"/>
          <w:color w:val="auto"/>
        </w:rPr>
        <w:t xml:space="preserve"> decision), and may be further challenged, suspended or invalidated for transfers to some or all countries. For example, guidance regarding </w:t>
      </w:r>
      <w:r>
        <w:rPr>
          <w:rFonts w:ascii="Arial" w:cs="Arial" w:eastAsia="Arial" w:hAnsi="Arial"/>
          <w:sz w:val="20"/>
          <w:szCs w:val="20"/>
          <w:i w:val="1"/>
          <w:iCs w:val="1"/>
          <w:color w:val="auto"/>
        </w:rPr>
        <w:t>Schrems II</w:t>
      </w:r>
      <w:r>
        <w:rPr>
          <w:rFonts w:ascii="Arial" w:cs="Arial" w:eastAsia="Arial" w:hAnsi="Arial"/>
          <w:sz w:val="20"/>
          <w:szCs w:val="20"/>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20"/>
          <w:szCs w:val="20"/>
          <w:i w:val="1"/>
          <w:iCs w:val="1"/>
          <w:color w:val="auto"/>
        </w:rPr>
        <w:t>Schrems II</w:t>
      </w:r>
      <w:r>
        <w:rPr>
          <w:rFonts w:ascii="Arial" w:cs="Arial" w:eastAsia="Arial" w:hAnsi="Arial"/>
          <w:sz w:val="20"/>
          <w:szCs w:val="20"/>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ectPr>
          <w:pgSz w:w="12240" w:h="15840" w:orient="portrait"/>
          <w:cols w:equalWidth="0" w:num="1">
            <w:col w:w="10780"/>
          </w:cols>
          <w:pgMar w:left="720" w:top="1160" w:right="740" w:bottom="175"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10780"/>
          </w:cols>
          <w:pgMar w:left="720" w:top="1160" w:right="740" w:bottom="175" w:gutter="0" w:footer="0" w:header="0"/>
          <w:type w:val="continuous"/>
        </w:sectPr>
      </w:pPr>
    </w:p>
    <w:bookmarkStart w:id="26" w:name="page27"/>
    <w:bookmarkEnd w:id="26"/>
    <w:p>
      <w:pPr>
        <w:ind w:right="20" w:firstLine="490"/>
        <w:spacing w:after="0" w:line="248" w:lineRule="auto"/>
        <w:rPr>
          <w:sz w:val="20"/>
          <w:szCs w:val="20"/>
          <w:color w:val="auto"/>
        </w:rPr>
      </w:pPr>
      <w:r>
        <w:rPr>
          <w:rFonts w:ascii="Arial" w:cs="Arial" w:eastAsia="Arial" w:hAnsi="Arial"/>
          <w:sz w:val="20"/>
          <w:szCs w:val="20"/>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spacing w:after="0" w:line="154"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China passed its DSL and its PIPL in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data security regime has an extraterritorial effect and imposes additional compliance obligations with respect to processing (in 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 party business partners.</w:t>
      </w:r>
    </w:p>
    <w:p>
      <w:pPr>
        <w:spacing w:after="0" w:line="154" w:lineRule="exact"/>
        <w:rPr>
          <w:sz w:val="20"/>
          <w:szCs w:val="20"/>
          <w:color w:val="auto"/>
        </w:rPr>
      </w:pPr>
    </w:p>
    <w:p>
      <w:pPr>
        <w:ind w:right="180" w:firstLine="490"/>
        <w:spacing w:after="0" w:line="246" w:lineRule="auto"/>
        <w:rPr>
          <w:sz w:val="20"/>
          <w:szCs w:val="20"/>
          <w:color w:val="auto"/>
        </w:rPr>
      </w:pPr>
      <w:r>
        <w:rPr>
          <w:rFonts w:ascii="Arial" w:cs="Arial" w:eastAsia="Arial" w:hAnsi="Arial"/>
          <w:sz w:val="20"/>
          <w:szCs w:val="20"/>
          <w:color w:val="auto"/>
        </w:rPr>
        <w:t>As a reaction to data security concerns, the Australian parliament, in 2022,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54"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We have taken steps to address compliance obligations that apply to us under the Amended APPI, the DSL, the PIPL and Australian data security laws but cannot assure you that such steps will be effective, and we may face the risk of increased costs, liability and loss of business.</w:t>
      </w:r>
    </w:p>
    <w:p>
      <w:pPr>
        <w:spacing w:after="0" w:line="140" w:lineRule="exact"/>
        <w:rPr>
          <w:sz w:val="20"/>
          <w:szCs w:val="20"/>
          <w:color w:val="auto"/>
        </w:rPr>
      </w:pPr>
    </w:p>
    <w:p>
      <w:pPr>
        <w:ind w:right="240" w:firstLine="490"/>
        <w:spacing w:after="0" w:line="245" w:lineRule="auto"/>
        <w:rPr>
          <w:sz w:val="20"/>
          <w:szCs w:val="20"/>
          <w:color w:val="auto"/>
        </w:rPr>
      </w:pPr>
      <w:r>
        <w:rPr>
          <w:rFonts w:ascii="Arial" w:cs="Arial" w:eastAsia="Arial" w:hAnsi="Arial"/>
          <w:sz w:val="20"/>
          <w:szCs w:val="20"/>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and Employees</w:t>
      </w:r>
    </w:p>
    <w:p>
      <w:pPr>
        <w:spacing w:after="0" w:line="204"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As of December 31, 2023, we had approximately 1,200 full-time FlyMates. We also engage part-time and temporary FlyMates, as well as consultants as needed to support our operations. As an organization, our culture is founded on our shared experiences, unique and diverse backgrounds, and belief in our mission to deliver on the most important and complex payments. Our leadership team defines our culture and strategy and collectively has decades of experience leading companies through rapid growth at scale.</w:t>
      </w:r>
    </w:p>
    <w:p>
      <w:pPr>
        <w:spacing w:after="0" w:line="152"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None of our FlyMates are represented by a labor union or covered by a collective bargaining agreement. We have not experienced any work stoppages and we consider our relations with our FlyMates to be good.</w:t>
      </w:r>
    </w:p>
    <w:p>
      <w:pPr>
        <w:spacing w:after="0" w:line="120"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additional FlyMates. The principal purposes of our equity incentive plans are to attract, retain and motivate selected FlyMates, consultants and directors through the granting of stock-based compensation awards and cash-based performance bonus awards.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Values</w:t>
      </w:r>
    </w:p>
    <w:p>
      <w:pPr>
        <w:spacing w:after="0" w:line="204" w:lineRule="exact"/>
        <w:rPr>
          <w:sz w:val="20"/>
          <w:szCs w:val="20"/>
          <w:color w:val="auto"/>
        </w:rPr>
      </w:pPr>
    </w:p>
    <w:p>
      <w:pPr>
        <w:ind w:right="180" w:firstLine="490"/>
        <w:spacing w:after="0" w:line="282" w:lineRule="auto"/>
        <w:rPr>
          <w:sz w:val="20"/>
          <w:szCs w:val="20"/>
          <w:color w:val="auto"/>
        </w:rPr>
      </w:pPr>
      <w:r>
        <w:rPr>
          <w:rFonts w:ascii="Arial" w:cs="Arial" w:eastAsia="Arial" w:hAnsi="Arial"/>
          <w:sz w:val="20"/>
          <w:szCs w:val="20"/>
          <w:color w:val="auto"/>
        </w:rPr>
        <w:t>At Flywire, we commit to encourage and reward behaviors that are consistent with our culture, which is founded on our shared experiences, unique and diverse backgrounds, and belief in our mission to deliver on the most important and</w:t>
      </w:r>
    </w:p>
    <w:p>
      <w:pPr>
        <w:sectPr>
          <w:pgSz w:w="12240" w:h="15840" w:orient="portrait"/>
          <w:cols w:equalWidth="0" w:num="1">
            <w:col w:w="10800"/>
          </w:cols>
          <w:pgMar w:left="720" w:top="1160" w:right="720" w:bottom="175"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10800"/>
          </w:cols>
          <w:pgMar w:left="720" w:top="1160" w:right="720" w:bottom="175" w:gutter="0" w:footer="0" w:header="0"/>
          <w:type w:val="continuous"/>
        </w:sectPr>
      </w:pPr>
    </w:p>
    <w:bookmarkStart w:id="27" w:name="page28"/>
    <w:bookmarkEnd w:id="27"/>
    <w:p>
      <w:pPr>
        <w:ind w:right="80"/>
        <w:spacing w:after="0" w:line="282" w:lineRule="auto"/>
        <w:rPr>
          <w:sz w:val="20"/>
          <w:szCs w:val="20"/>
          <w:color w:val="auto"/>
        </w:rPr>
      </w:pPr>
      <w:r>
        <w:rPr>
          <w:rFonts w:ascii="Arial" w:cs="Arial" w:eastAsia="Arial" w:hAnsi="Arial"/>
          <w:sz w:val="20"/>
          <w:szCs w:val="20"/>
          <w:color w:val="auto"/>
        </w:rPr>
        <w:t>complex payments. We seek to hold each other accountable when behaviors do not support the culture we aspire to. Our values include:</w:t>
      </w:r>
    </w:p>
    <w:p>
      <w:pPr>
        <w:spacing w:after="0" w:line="49" w:lineRule="exact"/>
        <w:rPr>
          <w:sz w:val="20"/>
          <w:szCs w:val="20"/>
          <w:color w:val="auto"/>
        </w:rPr>
      </w:pPr>
    </w:p>
    <w:p>
      <w:pPr>
        <w:ind w:left="980" w:right="100" w:hanging="491"/>
        <w:spacing w:after="0" w:line="255"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Global Collaboration. </w:t>
      </w:r>
      <w:r>
        <w:rPr>
          <w:rFonts w:ascii="Arial" w:cs="Arial" w:eastAsia="Arial" w:hAnsi="Arial"/>
          <w:sz w:val="20"/>
          <w:szCs w:val="20"/>
          <w:color w:val="auto"/>
        </w:rPr>
        <w:t>We believe in teamwork and that together we are greater than the sum of individual</w:t>
      </w:r>
      <w:r>
        <w:rPr>
          <w:rFonts w:ascii="Arial" w:cs="Arial" w:eastAsia="Arial" w:hAnsi="Arial"/>
          <w:sz w:val="20"/>
          <w:szCs w:val="20"/>
          <w:b w:val="1"/>
          <w:bCs w:val="1"/>
          <w:color w:val="auto"/>
        </w:rPr>
        <w:t xml:space="preserve"> </w:t>
      </w:r>
      <w:r>
        <w:rPr>
          <w:rFonts w:ascii="Arial" w:cs="Arial" w:eastAsia="Arial" w:hAnsi="Arial"/>
          <w:sz w:val="20"/>
          <w:szCs w:val="20"/>
          <w:color w:val="auto"/>
        </w:rPr>
        <w:t>FlyMates, across experience, location and position. We seek to understand and embrace everyone’s uniqueness, and leverage the power of our FlyMates and clients’ and their customers’ cultural differences and perspectives to create value.</w:t>
      </w:r>
    </w:p>
    <w:p>
      <w:pPr>
        <w:spacing w:after="0" w:line="75" w:lineRule="exact"/>
        <w:rPr>
          <w:rFonts w:ascii="Arial" w:cs="Arial" w:eastAsia="Arial" w:hAnsi="Arial"/>
          <w:sz w:val="20"/>
          <w:szCs w:val="20"/>
          <w:color w:val="auto"/>
        </w:rPr>
      </w:pPr>
    </w:p>
    <w:p>
      <w:pPr>
        <w:ind w:left="980" w:hanging="491"/>
        <w:spacing w:after="0" w:line="263"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Authenticity. </w:t>
      </w:r>
      <w:r>
        <w:rPr>
          <w:rFonts w:ascii="Arial" w:cs="Arial" w:eastAsia="Arial" w:hAnsi="Arial"/>
          <w:sz w:val="20"/>
          <w:szCs w:val="20"/>
          <w:color w:val="auto"/>
        </w:rPr>
        <w:t>We value integrity, honesty, and kindness. We believe in staying true to oneself, being</w:t>
      </w:r>
      <w:r>
        <w:rPr>
          <w:rFonts w:ascii="Arial" w:cs="Arial" w:eastAsia="Arial" w:hAnsi="Arial"/>
          <w:sz w:val="20"/>
          <w:szCs w:val="20"/>
          <w:b w:val="1"/>
          <w:bCs w:val="1"/>
          <w:color w:val="auto"/>
        </w:rPr>
        <w:t xml:space="preserve"> </w:t>
      </w:r>
      <w:r>
        <w:rPr>
          <w:rFonts w:ascii="Arial" w:cs="Arial" w:eastAsia="Arial" w:hAnsi="Arial"/>
          <w:sz w:val="20"/>
          <w:szCs w:val="20"/>
          <w:color w:val="auto"/>
        </w:rPr>
        <w:t>courageous enough to share your voice and humble enough to admit when you are wrong. Above all, we strive for sincerity and encourage both giving and receiving feedback.</w:t>
      </w:r>
    </w:p>
    <w:p>
      <w:pPr>
        <w:spacing w:after="0" w:line="67" w:lineRule="exact"/>
        <w:rPr>
          <w:rFonts w:ascii="Arial" w:cs="Arial" w:eastAsia="Arial" w:hAnsi="Arial"/>
          <w:sz w:val="20"/>
          <w:szCs w:val="20"/>
          <w:color w:val="auto"/>
        </w:rPr>
      </w:pPr>
    </w:p>
    <w:p>
      <w:pPr>
        <w:ind w:left="980" w:right="220" w:hanging="491"/>
        <w:spacing w:after="0" w:line="255"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Fulfillment. </w:t>
      </w:r>
      <w:r>
        <w:rPr>
          <w:rFonts w:ascii="Arial" w:cs="Arial" w:eastAsia="Arial" w:hAnsi="Arial"/>
          <w:sz w:val="20"/>
          <w:szCs w:val="20"/>
          <w:color w:val="auto"/>
        </w:rPr>
        <w:t>We recognize that fulfillment comes from personal and professional satisfaction, from bringing</w:t>
      </w:r>
      <w:r>
        <w:rPr>
          <w:rFonts w:ascii="Arial" w:cs="Arial" w:eastAsia="Arial" w:hAnsi="Arial"/>
          <w:sz w:val="20"/>
          <w:szCs w:val="20"/>
          <w:b w:val="1"/>
          <w:bCs w:val="1"/>
          <w:color w:val="auto"/>
        </w:rPr>
        <w:t xml:space="preserve"> </w:t>
      </w:r>
      <w:r>
        <w:rPr>
          <w:rFonts w:ascii="Arial" w:cs="Arial" w:eastAsia="Arial" w:hAnsi="Arial"/>
          <w:sz w:val="20"/>
          <w:szCs w:val="20"/>
          <w:color w:val="auto"/>
        </w:rPr>
        <w:t>our whole selves to work. It is understanding what ignites our individual passions and gets us excited, while being inclusive and knowing that this is different for everyone. We believe that by engaging with the wider community, giving back and contributing, our greater purpose is fulfilled.</w:t>
      </w:r>
    </w:p>
    <w:p>
      <w:pPr>
        <w:spacing w:after="0" w:line="75" w:lineRule="exact"/>
        <w:rPr>
          <w:rFonts w:ascii="Arial" w:cs="Arial" w:eastAsia="Arial" w:hAnsi="Arial"/>
          <w:sz w:val="20"/>
          <w:szCs w:val="20"/>
          <w:color w:val="auto"/>
        </w:rPr>
      </w:pPr>
    </w:p>
    <w:p>
      <w:pPr>
        <w:ind w:left="980" w:right="120" w:hanging="491"/>
        <w:spacing w:after="0" w:line="263"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Execution. </w:t>
      </w:r>
      <w:r>
        <w:rPr>
          <w:rFonts w:ascii="Arial" w:cs="Arial" w:eastAsia="Arial" w:hAnsi="Arial"/>
          <w:sz w:val="20"/>
          <w:szCs w:val="20"/>
          <w:color w:val="auto"/>
        </w:rPr>
        <w:t>We aim to take calculated, sensible risks and make smart decisions quickly to accomplish our</w:t>
      </w:r>
      <w:r>
        <w:rPr>
          <w:rFonts w:ascii="Arial" w:cs="Arial" w:eastAsia="Arial" w:hAnsi="Arial"/>
          <w:sz w:val="20"/>
          <w:szCs w:val="20"/>
          <w:b w:val="1"/>
          <w:bCs w:val="1"/>
          <w:color w:val="auto"/>
        </w:rPr>
        <w:t xml:space="preserve"> </w:t>
      </w:r>
      <w:r>
        <w:rPr>
          <w:rFonts w:ascii="Arial" w:cs="Arial" w:eastAsia="Arial" w:hAnsi="Arial"/>
          <w:sz w:val="20"/>
          <w:szCs w:val="20"/>
          <w:color w:val="auto"/>
        </w:rPr>
        <w:t>objectives. We are helpful and supportive of each other, yet we hold each other accountable to delivering with a sense of urgency in all that we do.</w:t>
      </w:r>
    </w:p>
    <w:p>
      <w:pPr>
        <w:spacing w:after="0" w:line="67" w:lineRule="exact"/>
        <w:rPr>
          <w:rFonts w:ascii="Arial" w:cs="Arial" w:eastAsia="Arial" w:hAnsi="Arial"/>
          <w:sz w:val="20"/>
          <w:szCs w:val="20"/>
          <w:color w:val="auto"/>
        </w:rPr>
      </w:pPr>
    </w:p>
    <w:p>
      <w:pPr>
        <w:ind w:left="980" w:right="40" w:hanging="491"/>
        <w:spacing w:after="0" w:line="263"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Ambitious Innovation. </w:t>
      </w:r>
      <w:r>
        <w:rPr>
          <w:rFonts w:ascii="Arial" w:cs="Arial" w:eastAsia="Arial" w:hAnsi="Arial"/>
          <w:sz w:val="20"/>
          <w:szCs w:val="20"/>
          <w:color w:val="auto"/>
        </w:rPr>
        <w:t>We continuously look for ways to deliver more and new value to our clients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customers, partners and people. We are leaders not followers, curious and open-minded, and we recognize there is always room for improvement and strive for excellence and welcome new ideas.</w:t>
      </w:r>
    </w:p>
    <w:p>
      <w:pPr>
        <w:spacing w:after="0" w:line="67" w:lineRule="exact"/>
        <w:rPr>
          <w:rFonts w:ascii="Arial" w:cs="Arial" w:eastAsia="Arial" w:hAnsi="Arial"/>
          <w:sz w:val="20"/>
          <w:szCs w:val="20"/>
          <w:color w:val="auto"/>
        </w:rPr>
      </w:pPr>
    </w:p>
    <w:p>
      <w:pPr>
        <w:ind w:left="980" w:right="20" w:hanging="491"/>
        <w:spacing w:after="0" w:line="263"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Evolved Learning. </w:t>
      </w:r>
      <w:r>
        <w:rPr>
          <w:rFonts w:ascii="Arial" w:cs="Arial" w:eastAsia="Arial" w:hAnsi="Arial"/>
          <w:sz w:val="20"/>
          <w:szCs w:val="20"/>
          <w:color w:val="auto"/>
        </w:rPr>
        <w:t>The importance of actively listening, questioning, challenging, and accepting is not lost</w:t>
      </w:r>
      <w:r>
        <w:rPr>
          <w:rFonts w:ascii="Arial" w:cs="Arial" w:eastAsia="Arial" w:hAnsi="Arial"/>
          <w:sz w:val="20"/>
          <w:szCs w:val="20"/>
          <w:b w:val="1"/>
          <w:bCs w:val="1"/>
          <w:color w:val="auto"/>
        </w:rPr>
        <w:t xml:space="preserve"> </w:t>
      </w:r>
      <w:r>
        <w:rPr>
          <w:rFonts w:ascii="Arial" w:cs="Arial" w:eastAsia="Arial" w:hAnsi="Arial"/>
          <w:sz w:val="20"/>
          <w:szCs w:val="20"/>
          <w:color w:val="auto"/>
        </w:rPr>
        <w:t>on us. We are a learning organization, eager to expand as individuals, as teams and as a company. We live by the knowledge that there is no endpoint to learning, that there is always room for growth.</w:t>
      </w:r>
    </w:p>
    <w:p>
      <w:pPr>
        <w:spacing w:after="0" w:line="138" w:lineRule="exact"/>
        <w:rPr>
          <w:sz w:val="20"/>
          <w:szCs w:val="20"/>
          <w:color w:val="auto"/>
        </w:rPr>
      </w:pPr>
    </w:p>
    <w:p>
      <w:pPr>
        <w:ind w:right="340" w:firstLine="490"/>
        <w:spacing w:after="0" w:line="282" w:lineRule="auto"/>
        <w:rPr>
          <w:sz w:val="20"/>
          <w:szCs w:val="20"/>
          <w:color w:val="auto"/>
        </w:rPr>
      </w:pPr>
      <w:r>
        <w:rPr>
          <w:rFonts w:ascii="Arial" w:cs="Arial" w:eastAsia="Arial" w:hAnsi="Arial"/>
          <w:sz w:val="20"/>
          <w:szCs w:val="20"/>
          <w:color w:val="auto"/>
        </w:rPr>
        <w:t>We define our values by the virtues and behaviors that shape them, as these values guide us in all that we do: in hiring, performance, and day-to-day interactions with both FlyMates and our clients and their customers.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(ESG) Report</w:t>
      </w:r>
    </w:p>
    <w:p>
      <w:pPr>
        <w:spacing w:after="0" w:line="204"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In December 2022, we released our inaugural ESG report, our first comprehensive summary of how we integrate social good initiatives into our business strategy. The report provides baseline metrics as well as a detailed overview of the core tenets of our ESG program, which are shaped by many defining principles - from social impact and community engagement, to diversity, equity and inclusion (DE&amp;I), and much more. Our ESG report is based on global best practices, and aligns with metrics set forth by the Sustainability Accounting Standards Boards (SASB) standards as well as the Global Reporting Initiative (GRI) standards.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ESG report details our investments across the following ESG disciplines, including:</w:t>
      </w:r>
    </w:p>
    <w:p>
      <w:pPr>
        <w:spacing w:after="0" w:line="209" w:lineRule="exact"/>
        <w:rPr>
          <w:sz w:val="20"/>
          <w:szCs w:val="20"/>
          <w:color w:val="auto"/>
        </w:rPr>
      </w:pPr>
    </w:p>
    <w:p>
      <w:pPr>
        <w:jc w:val="both"/>
        <w:ind w:left="980" w:right="640" w:hanging="491"/>
        <w:spacing w:after="0" w:line="26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Affordability and accessibility: </w:t>
      </w:r>
      <w:r>
        <w:rPr>
          <w:rFonts w:ascii="Arial" w:cs="Arial" w:eastAsia="Arial" w:hAnsi="Arial"/>
          <w:sz w:val="20"/>
          <w:szCs w:val="20"/>
          <w:color w:val="auto"/>
        </w:rPr>
        <w:t>Flywire’s payments technology and software enables payers to set up</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plans, helping to make high-value transactions like medical bills and education expenses more accessible and affordable.</w:t>
      </w:r>
    </w:p>
    <w:p>
      <w:pPr>
        <w:spacing w:after="0" w:line="67" w:lineRule="exact"/>
        <w:rPr>
          <w:rFonts w:ascii="Arial" w:cs="Arial" w:eastAsia="Arial" w:hAnsi="Arial"/>
          <w:sz w:val="20"/>
          <w:szCs w:val="20"/>
          <w:color w:val="auto"/>
        </w:rPr>
      </w:pPr>
    </w:p>
    <w:p>
      <w:pPr>
        <w:ind w:left="980" w:right="320" w:hanging="491"/>
        <w:spacing w:after="0" w:line="26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Diversity, equity and inclusion: </w:t>
      </w:r>
      <w:r>
        <w:rPr>
          <w:rFonts w:ascii="Arial" w:cs="Arial" w:eastAsia="Arial" w:hAnsi="Arial"/>
          <w:sz w:val="20"/>
          <w:szCs w:val="20"/>
          <w:color w:val="auto"/>
        </w:rPr>
        <w:t>Flywire employees represent 40 nationalities and spoken languages.</w:t>
      </w:r>
      <w:r>
        <w:rPr>
          <w:rFonts w:ascii="Arial" w:cs="Arial" w:eastAsia="Arial" w:hAnsi="Arial"/>
          <w:sz w:val="20"/>
          <w:szCs w:val="20"/>
          <w:b w:val="1"/>
          <w:bCs w:val="1"/>
          <w:color w:val="auto"/>
        </w:rPr>
        <w:t xml:space="preserve"> </w:t>
      </w:r>
      <w:r>
        <w:rPr>
          <w:rFonts w:ascii="Arial" w:cs="Arial" w:eastAsia="Arial" w:hAnsi="Arial"/>
          <w:sz w:val="20"/>
          <w:szCs w:val="20"/>
          <w:color w:val="auto"/>
        </w:rPr>
        <w:t>Multiple Flywire Employee Resource Groups are devoted to promoting FlyMate inclusivity and belonging as well as our overall DE&amp;I mission.</w:t>
      </w:r>
    </w:p>
    <w:p>
      <w:pPr>
        <w:spacing w:after="0" w:line="67" w:lineRule="exact"/>
        <w:rPr>
          <w:rFonts w:ascii="Arial" w:cs="Arial" w:eastAsia="Arial" w:hAnsi="Arial"/>
          <w:sz w:val="20"/>
          <w:szCs w:val="20"/>
          <w:color w:val="auto"/>
        </w:rPr>
      </w:pPr>
    </w:p>
    <w:p>
      <w:pPr>
        <w:jc w:val="both"/>
        <w:ind w:left="980" w:right="200" w:hanging="491"/>
        <w:spacing w:after="0" w:line="26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Career development and training: </w:t>
      </w:r>
      <w:r>
        <w:rPr>
          <w:rFonts w:ascii="Arial" w:cs="Arial" w:eastAsia="Arial" w:hAnsi="Arial"/>
          <w:sz w:val="20"/>
          <w:szCs w:val="20"/>
          <w:color w:val="auto"/>
        </w:rPr>
        <w:t>In 2023, FlyMates spent more than 2,900 hours on company-sponsored</w:t>
      </w:r>
      <w:r>
        <w:rPr>
          <w:rFonts w:ascii="Arial" w:cs="Arial" w:eastAsia="Arial" w:hAnsi="Arial"/>
          <w:sz w:val="20"/>
          <w:szCs w:val="20"/>
          <w:b w:val="1"/>
          <w:bCs w:val="1"/>
          <w:color w:val="auto"/>
        </w:rPr>
        <w:t xml:space="preserve"> </w:t>
      </w:r>
      <w:r>
        <w:rPr>
          <w:rFonts w:ascii="Arial" w:cs="Arial" w:eastAsia="Arial" w:hAnsi="Arial"/>
          <w:sz w:val="20"/>
          <w:szCs w:val="20"/>
          <w:color w:val="auto"/>
        </w:rPr>
        <w:t>career development and training programs. These initiatives are available to all FlyMates, including part-time and contract employees.</w:t>
      </w:r>
    </w:p>
    <w:p>
      <w:pPr>
        <w:spacing w:after="0" w:line="67" w:lineRule="exact"/>
        <w:rPr>
          <w:rFonts w:ascii="Arial" w:cs="Arial" w:eastAsia="Arial" w:hAnsi="Arial"/>
          <w:sz w:val="20"/>
          <w:szCs w:val="20"/>
          <w:color w:val="auto"/>
        </w:rPr>
      </w:pPr>
    </w:p>
    <w:p>
      <w:pPr>
        <w:ind w:left="980" w:right="40" w:hanging="491"/>
        <w:spacing w:after="0" w:line="26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Social impact and community engagement: </w:t>
      </w:r>
      <w:r>
        <w:rPr>
          <w:rFonts w:ascii="Arial" w:cs="Arial" w:eastAsia="Arial" w:hAnsi="Arial"/>
          <w:sz w:val="20"/>
          <w:szCs w:val="20"/>
          <w:color w:val="auto"/>
        </w:rPr>
        <w:t>A cornerstone of Flywire's social impact and community</w:t>
      </w:r>
      <w:r>
        <w:rPr>
          <w:rFonts w:ascii="Arial" w:cs="Arial" w:eastAsia="Arial" w:hAnsi="Arial"/>
          <w:sz w:val="20"/>
          <w:szCs w:val="20"/>
          <w:b w:val="1"/>
          <w:bCs w:val="1"/>
          <w:color w:val="auto"/>
        </w:rPr>
        <w:t xml:space="preserve"> </w:t>
      </w:r>
      <w:r>
        <w:rPr>
          <w:rFonts w:ascii="Arial" w:cs="Arial" w:eastAsia="Arial" w:hAnsi="Arial"/>
          <w:sz w:val="20"/>
          <w:szCs w:val="20"/>
          <w:color w:val="auto"/>
        </w:rPr>
        <w:t>engagement efforts is The Flywire Charitable Foundation, which improves equality, access and affordability for underrepresented individuals and communities.</w:t>
      </w:r>
    </w:p>
    <w:p>
      <w:pPr>
        <w:spacing w:after="0" w:line="67" w:lineRule="exact"/>
        <w:rPr>
          <w:rFonts w:ascii="Arial" w:cs="Arial" w:eastAsia="Arial" w:hAnsi="Arial"/>
          <w:sz w:val="20"/>
          <w:szCs w:val="20"/>
          <w:color w:val="auto"/>
        </w:rPr>
      </w:pPr>
    </w:p>
    <w:p>
      <w:pPr>
        <w:ind w:left="980" w:right="300" w:hanging="491"/>
        <w:spacing w:after="0" w:line="283"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Data privacy, security and compliance: </w:t>
      </w:r>
      <w:r>
        <w:rPr>
          <w:rFonts w:ascii="Arial" w:cs="Arial" w:eastAsia="Arial" w:hAnsi="Arial"/>
          <w:sz w:val="19"/>
          <w:szCs w:val="19"/>
          <w:color w:val="auto"/>
        </w:rPr>
        <w:t>Flywire’s dedicated compliance and risk management function,</w:t>
      </w:r>
      <w:r>
        <w:rPr>
          <w:rFonts w:ascii="Arial" w:cs="Arial" w:eastAsia="Arial" w:hAnsi="Arial"/>
          <w:sz w:val="19"/>
          <w:szCs w:val="19"/>
          <w:b w:val="1"/>
          <w:bCs w:val="1"/>
          <w:color w:val="auto"/>
        </w:rPr>
        <w:t xml:space="preserve"> </w:t>
      </w:r>
      <w:r>
        <w:rPr>
          <w:rFonts w:ascii="Arial" w:cs="Arial" w:eastAsia="Arial" w:hAnsi="Arial"/>
          <w:sz w:val="19"/>
          <w:szCs w:val="19"/>
          <w:color w:val="auto"/>
        </w:rPr>
        <w:t>overseen by our Chief Compliance Officer and Chief Information Security Officer with Board-level oversight, has been built over more than a decade, providing payers and clients confidence in our solutions.</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10780"/>
          </w:cols>
          <w:pgMar w:left="720" w:top="1160" w:right="740" w:bottom="175" w:gutter="0" w:footer="0" w:header="0"/>
          <w:type w:val="continuous"/>
        </w:sectPr>
      </w:pPr>
    </w:p>
    <w:bookmarkStart w:id="28" w:name="page29"/>
    <w:bookmarkEnd w:id="28"/>
    <w:p>
      <w:pPr>
        <w:ind w:left="980" w:right="20" w:hanging="491"/>
        <w:spacing w:after="0" w:line="255"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 xml:space="preserve">Governance and ethics: </w:t>
      </w:r>
      <w:r>
        <w:rPr>
          <w:rFonts w:ascii="Arial" w:cs="Arial" w:eastAsia="Arial" w:hAnsi="Arial"/>
          <w:sz w:val="20"/>
          <w:szCs w:val="20"/>
          <w:color w:val="auto"/>
        </w:rPr>
        <w:t>Flywire is committed to ethical and compliant business practices and good corporate</w:t>
      </w:r>
      <w:r>
        <w:rPr>
          <w:rFonts w:ascii="Arial" w:cs="Arial" w:eastAsia="Arial" w:hAnsi="Arial"/>
          <w:sz w:val="20"/>
          <w:szCs w:val="20"/>
          <w:b w:val="1"/>
          <w:bCs w:val="1"/>
          <w:color w:val="auto"/>
        </w:rPr>
        <w:t xml:space="preserve"> </w:t>
      </w:r>
      <w:r>
        <w:rPr>
          <w:rFonts w:ascii="Arial" w:cs="Arial" w:eastAsia="Arial" w:hAnsi="Arial"/>
          <w:sz w:val="20"/>
          <w:szCs w:val="20"/>
          <w:color w:val="auto"/>
        </w:rPr>
        <w:t>governance for the long-term success of our company and stakeholders. We have a Code of Conduct that is actively enforced and mandatory training across a spectrum of important topics, ranging from anti-money laundering to sexual harassment to information security best practices.</w:t>
      </w:r>
    </w:p>
    <w:p>
      <w:pPr>
        <w:spacing w:after="0" w:line="75" w:lineRule="exact"/>
        <w:rPr>
          <w:rFonts w:ascii="Arial" w:cs="Arial" w:eastAsia="Arial" w:hAnsi="Arial"/>
          <w:sz w:val="20"/>
          <w:szCs w:val="20"/>
          <w:color w:val="auto"/>
        </w:rPr>
      </w:pPr>
    </w:p>
    <w:p>
      <w:pPr>
        <w:ind w:left="980" w:right="40" w:hanging="491"/>
        <w:spacing w:after="0" w:line="251"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 xml:space="preserve">Environmental sustainability: </w:t>
      </w:r>
      <w:r>
        <w:rPr>
          <w:rFonts w:ascii="Arial" w:cs="Arial" w:eastAsia="Arial" w:hAnsi="Arial"/>
          <w:sz w:val="20"/>
          <w:szCs w:val="20"/>
          <w:color w:val="auto"/>
        </w:rPr>
        <w:t>Flywire conducted our first greenhouse gas emissions audit, over our own</w:t>
      </w:r>
      <w:r>
        <w:rPr>
          <w:rFonts w:ascii="Arial" w:cs="Arial" w:eastAsia="Arial" w:hAnsi="Arial"/>
          <w:sz w:val="20"/>
          <w:szCs w:val="20"/>
          <w:b w:val="1"/>
          <w:bCs w:val="1"/>
          <w:color w:val="auto"/>
        </w:rPr>
        <w:t xml:space="preserve"> </w:t>
      </w:r>
      <w:r>
        <w:rPr>
          <w:rFonts w:ascii="Arial" w:cs="Arial" w:eastAsia="Arial" w:hAnsi="Arial"/>
          <w:sz w:val="20"/>
          <w:szCs w:val="20"/>
          <w:color w:val="auto"/>
        </w:rPr>
        <w:t>operations and our most 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In the past year, we have reinforced our commitment to ESG by:</w:t>
      </w:r>
    </w:p>
    <w:p>
      <w:pPr>
        <w:spacing w:after="0" w:line="129" w:lineRule="exact"/>
        <w:rPr>
          <w:sz w:val="20"/>
          <w:szCs w:val="20"/>
          <w:color w:val="auto"/>
        </w:rPr>
      </w:pPr>
    </w:p>
    <w:p>
      <w:pPr>
        <w:ind w:left="980" w:right="280" w:hanging="491"/>
        <w:spacing w:after="0" w:line="255"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Codifying ESG as a strategic priority and establishing new management and oversight of ESG priorities. </w:t>
      </w:r>
      <w:r>
        <w:rPr>
          <w:rFonts w:ascii="Arial" w:cs="Arial" w:eastAsia="Arial" w:hAnsi="Arial"/>
          <w:sz w:val="20"/>
          <w:szCs w:val="20"/>
          <w:color w:val="auto"/>
        </w:rPr>
        <w:t>The Nominating and Corporate Governance Committee of Flywire’s Board of Directors is</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the oversight of company ESG initiatives, supported by Co-Executive Sponsors and a cross-functional task force of employees that comprise the ESG disclosure committee.</w:t>
      </w:r>
    </w:p>
    <w:p>
      <w:pPr>
        <w:spacing w:after="0" w:line="75" w:lineRule="exact"/>
        <w:rPr>
          <w:rFonts w:ascii="Arial" w:cs="Arial" w:eastAsia="Arial" w:hAnsi="Arial"/>
          <w:sz w:val="20"/>
          <w:szCs w:val="20"/>
          <w:color w:val="auto"/>
        </w:rPr>
      </w:pPr>
    </w:p>
    <w:p>
      <w:pPr>
        <w:ind w:left="980" w:right="240" w:hanging="491"/>
        <w:spacing w:after="0" w:line="26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Establishing a Center of Expertise for Diversity, Equity &amp; Inclusion (DE&amp;I) </w:t>
      </w:r>
      <w:r>
        <w:rPr>
          <w:rFonts w:ascii="Arial" w:cs="Arial" w:eastAsia="Arial" w:hAnsi="Arial"/>
          <w:sz w:val="20"/>
          <w:szCs w:val="20"/>
          <w:color w:val="auto"/>
        </w:rPr>
        <w:t>to better serve our diverse,</w:t>
      </w:r>
      <w:r>
        <w:rPr>
          <w:rFonts w:ascii="Arial" w:cs="Arial" w:eastAsia="Arial" w:hAnsi="Arial"/>
          <w:sz w:val="20"/>
          <w:szCs w:val="20"/>
          <w:b w:val="1"/>
          <w:bCs w:val="1"/>
          <w:color w:val="auto"/>
        </w:rPr>
        <w:t xml:space="preserve"> </w:t>
      </w:r>
      <w:r>
        <w:rPr>
          <w:rFonts w:ascii="Arial" w:cs="Arial" w:eastAsia="Arial" w:hAnsi="Arial"/>
          <w:sz w:val="20"/>
          <w:szCs w:val="20"/>
          <w:color w:val="auto"/>
        </w:rPr>
        <w:t>global community of FlyMates where they live and work, and to deliver inclusive and compelling experiences that engage and care for FlyMates.</w:t>
      </w:r>
    </w:p>
    <w:p>
      <w:pPr>
        <w:spacing w:after="0" w:line="67" w:lineRule="exact"/>
        <w:rPr>
          <w:rFonts w:ascii="Arial" w:cs="Arial" w:eastAsia="Arial" w:hAnsi="Arial"/>
          <w:sz w:val="20"/>
          <w:szCs w:val="20"/>
          <w:color w:val="auto"/>
        </w:rPr>
      </w:pPr>
    </w:p>
    <w:p>
      <w:pPr>
        <w:ind w:left="980" w:right="560" w:hanging="491"/>
        <w:spacing w:after="0" w:line="286"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Enhancing our career development and skills training policies </w:t>
      </w:r>
      <w:r>
        <w:rPr>
          <w:rFonts w:ascii="Arial" w:cs="Arial" w:eastAsia="Arial" w:hAnsi="Arial"/>
          <w:sz w:val="20"/>
          <w:szCs w:val="20"/>
          <w:color w:val="auto"/>
        </w:rPr>
        <w:t>by offering new programs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enriching FlyMates’ careers and growing them both personally and professionally.</w:t>
      </w:r>
    </w:p>
    <w:p>
      <w:pPr>
        <w:spacing w:after="0" w:line="45" w:lineRule="exact"/>
        <w:rPr>
          <w:rFonts w:ascii="Arial" w:cs="Arial" w:eastAsia="Arial" w:hAnsi="Arial"/>
          <w:sz w:val="20"/>
          <w:szCs w:val="20"/>
          <w:color w:val="auto"/>
        </w:rPr>
      </w:pPr>
    </w:p>
    <w:p>
      <w:pPr>
        <w:ind w:left="980" w:right="500" w:hanging="491"/>
        <w:spacing w:after="0" w:line="26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Maximizing our social impact initiatives both through the fourth annual scholarship program administered by The Flywire Charitable Foundation</w:t>
      </w:r>
      <w:r>
        <w:rPr>
          <w:rFonts w:ascii="Arial" w:cs="Arial" w:eastAsia="Arial" w:hAnsi="Arial"/>
          <w:sz w:val="20"/>
          <w:szCs w:val="20"/>
          <w:color w:val="auto"/>
        </w:rPr>
        <w:t>, and through purposeful philanthropy to non-profit</w:t>
      </w:r>
      <w:r>
        <w:rPr>
          <w:rFonts w:ascii="Arial" w:cs="Arial" w:eastAsia="Arial" w:hAnsi="Arial"/>
          <w:sz w:val="20"/>
          <w:szCs w:val="20"/>
          <w:b w:val="1"/>
          <w:bCs w:val="1"/>
          <w:color w:val="auto"/>
        </w:rPr>
        <w:t xml:space="preserve"> </w:t>
      </w:r>
      <w:r>
        <w:rPr>
          <w:rFonts w:ascii="Arial" w:cs="Arial" w:eastAsia="Arial" w:hAnsi="Arial"/>
          <w:sz w:val="20"/>
          <w:szCs w:val="20"/>
          <w:color w:val="auto"/>
        </w:rPr>
        <w:t>organizations around the world.</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04"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spacing w:after="0" w:line="152"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04"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We make available free of charge, on our website (www.flywire.com),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spacing w:after="0" w:line="152"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Investors, the media, and others should note that we intend to announce material information to the public through filings with the SEC, the investor relations page on our website (https://ir.flywire.com), blog posts on our website, press releases, public conference calls, webcasts, and social media channels, including our X (formerly known as Twitter) feed (@flywire) and LinkedIn page (https://www.linkedin.com/company/flywire).</w:t>
      </w:r>
    </w:p>
    <w:p>
      <w:pPr>
        <w:spacing w:after="0" w:line="146" w:lineRule="exact"/>
        <w:rPr>
          <w:sz w:val="20"/>
          <w:szCs w:val="20"/>
          <w:color w:val="auto"/>
        </w:rPr>
      </w:pPr>
    </w:p>
    <w:p>
      <w:pPr>
        <w:ind w:right="320" w:firstLine="490"/>
        <w:spacing w:after="0" w:line="310" w:lineRule="auto"/>
        <w:rPr>
          <w:sz w:val="20"/>
          <w:szCs w:val="20"/>
          <w:color w:val="auto"/>
        </w:rPr>
      </w:pPr>
      <w:r>
        <w:rPr>
          <w:rFonts w:ascii="Arial" w:cs="Arial" w:eastAsia="Arial" w:hAnsi="Arial"/>
          <w:sz w:val="19"/>
          <w:szCs w:val="19"/>
          <w:color w:val="auto"/>
        </w:rPr>
        <w:t>The information disclosed by the foregoing channels could be deemed to be material information. As such, we encourage investors, the media, and others to follow the channels listed above and to review the information disclosed</w:t>
      </w:r>
    </w:p>
    <w:p>
      <w:pPr>
        <w:sectPr>
          <w:pgSz w:w="12240" w:h="15840" w:orient="portrait"/>
          <w:cols w:equalWidth="0" w:num="1">
            <w:col w:w="10780"/>
          </w:cols>
          <w:pgMar w:left="720" w:top="1170" w:right="740" w:bottom="175"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10780"/>
          </w:cols>
          <w:pgMar w:left="720" w:top="1170" w:right="740" w:bottom="175" w:gutter="0" w:footer="0" w:header="0"/>
          <w:type w:val="continuous"/>
        </w:sectPr>
      </w:pPr>
    </w:p>
    <w:bookmarkStart w:id="29" w:name="page30"/>
    <w:bookmarkEnd w:id="29"/>
    <w:p>
      <w:pPr>
        <w:spacing w:after="0" w:line="254" w:lineRule="auto"/>
        <w:rPr>
          <w:sz w:val="20"/>
          <w:szCs w:val="20"/>
          <w:color w:val="auto"/>
        </w:rPr>
      </w:pPr>
      <w:r>
        <w:rPr>
          <w:rFonts w:ascii="Arial" w:cs="Arial" w:eastAsia="Arial" w:hAnsi="Arial"/>
          <w:sz w:val="20"/>
          <w:szCs w:val="20"/>
          <w:color w:val="auto"/>
        </w:rPr>
        <w:t>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ectPr>
          <w:pgSz w:w="12240" w:h="15840" w:orient="portrait"/>
          <w:cols w:equalWidth="0" w:num="1">
            <w:col w:w="10660"/>
          </w:cols>
          <w:pgMar w:left="720" w:top="1160" w:right="8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10660"/>
          </w:cols>
          <w:pgMar w:left="720" w:top="1160" w:right="860" w:bottom="175"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Item 1A. Risk Factors</w:t>
      </w:r>
    </w:p>
    <w:p>
      <w:pPr>
        <w:spacing w:after="0" w:line="21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Summary</w:t>
      </w:r>
    </w:p>
    <w:p>
      <w:pPr>
        <w:spacing w:after="0" w:line="204" w:lineRule="exact"/>
        <w:rPr>
          <w:sz w:val="20"/>
          <w:szCs w:val="20"/>
          <w:color w:val="auto"/>
        </w:rPr>
      </w:pPr>
    </w:p>
    <w:p>
      <w:pPr>
        <w:ind w:right="100" w:firstLine="490"/>
        <w:spacing w:after="0" w:line="282" w:lineRule="auto"/>
        <w:rPr>
          <w:sz w:val="20"/>
          <w:szCs w:val="20"/>
          <w:color w:val="auto"/>
        </w:rPr>
      </w:pPr>
      <w:r>
        <w:rPr>
          <w:rFonts w:ascii="Arial" w:cs="Arial" w:eastAsia="Arial" w:hAnsi="Arial"/>
          <w:sz w:val="20"/>
          <w:szCs w:val="20"/>
          <w:color w:val="auto"/>
        </w:rPr>
        <w:t>The summary of risks below is intended to provide an overview of the risks we face and should not be considered a substitute for the more fulsome risk factors discussed immediately following this summary.</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Business and Industry</w:t>
      </w:r>
    </w:p>
    <w:p>
      <w:pPr>
        <w:spacing w:after="0" w:line="209" w:lineRule="exact"/>
        <w:rPr>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have a history of operating losses and may not achieve or sustain profitability in the future.</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have a short operating history at our current scale in a rapidly evolving industry.</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experience quarterly fluctuations in operating results.</w:t>
      </w:r>
    </w:p>
    <w:p>
      <w:pPr>
        <w:spacing w:after="0" w:line="213" w:lineRule="exact"/>
        <w:rPr>
          <w:rFonts w:ascii="Arial" w:cs="Arial" w:eastAsia="Arial" w:hAnsi="Arial"/>
          <w:sz w:val="20"/>
          <w:szCs w:val="20"/>
          <w:color w:val="auto"/>
        </w:rPr>
      </w:pPr>
    </w:p>
    <w:p>
      <w:pPr>
        <w:ind w:left="860" w:right="58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be unable to retain our current clients, attract new clients, and increase the number of our clients’ customers that use our solutions or sell additional functionality to our clients.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Efforts to attract new clients may be unsuccessful.</w:t>
      </w:r>
    </w:p>
    <w:p>
      <w:pPr>
        <w:spacing w:after="0" w:line="213" w:lineRule="exact"/>
        <w:rPr>
          <w:rFonts w:ascii="Arial" w:cs="Arial" w:eastAsia="Arial" w:hAnsi="Arial"/>
          <w:sz w:val="20"/>
          <w:szCs w:val="20"/>
          <w:color w:val="auto"/>
        </w:rPr>
      </w:pPr>
    </w:p>
    <w:p>
      <w:pPr>
        <w:ind w:left="860" w:right="14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be unable to expand our direct and channel sales capabilities, grow our marketing reach and increase sales productivity.</w:t>
      </w:r>
    </w:p>
    <w:p>
      <w:pPr>
        <w:spacing w:after="0" w:line="132" w:lineRule="exact"/>
        <w:rPr>
          <w:rFonts w:ascii="Arial" w:cs="Arial" w:eastAsia="Arial" w:hAnsi="Arial"/>
          <w:sz w:val="20"/>
          <w:szCs w:val="20"/>
          <w:color w:val="auto"/>
        </w:rPr>
      </w:pPr>
    </w:p>
    <w:p>
      <w:pPr>
        <w:ind w:left="860" w:right="34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expect our revenue mix to vary over time, which could affect our gross profit, gross margin and results of operations.</w:t>
      </w:r>
    </w:p>
    <w:p>
      <w:pPr>
        <w:spacing w:after="0" w:line="132" w:lineRule="exact"/>
        <w:rPr>
          <w:rFonts w:ascii="Arial" w:cs="Arial" w:eastAsia="Arial" w:hAnsi="Arial"/>
          <w:sz w:val="20"/>
          <w:szCs w:val="20"/>
          <w:color w:val="auto"/>
        </w:rPr>
      </w:pPr>
    </w:p>
    <w:p>
      <w:pPr>
        <w:ind w:left="860" w:right="30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business could be adversely affected if our clients and their customers are not satisfied with the timing or quality of implementation services provided by us or our partners.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financial and operating results are subject to seasonality and cyclicality.</w:t>
      </w:r>
    </w:p>
    <w:p>
      <w:pPr>
        <w:spacing w:after="0" w:line="213" w:lineRule="exact"/>
        <w:rPr>
          <w:rFonts w:ascii="Arial" w:cs="Arial" w:eastAsia="Arial" w:hAnsi="Arial"/>
          <w:sz w:val="20"/>
          <w:szCs w:val="20"/>
          <w:color w:val="auto"/>
        </w:rPr>
      </w:pPr>
    </w:p>
    <w:p>
      <w:pPr>
        <w:ind w:left="860" w:right="4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are exposed to fluctuations in foreign currency exchange rates that could materially and adversely affect our cash flows and results of operations.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Certain of our key performance indicators are subject to inherent challenges in measurement.</w:t>
      </w:r>
    </w:p>
    <w:p>
      <w:pPr>
        <w:spacing w:after="0" w:line="213" w:lineRule="exact"/>
        <w:rPr>
          <w:rFonts w:ascii="Arial" w:cs="Arial" w:eastAsia="Arial" w:hAnsi="Arial"/>
          <w:sz w:val="20"/>
          <w:szCs w:val="20"/>
          <w:color w:val="auto"/>
        </w:rPr>
      </w:pPr>
    </w:p>
    <w:p>
      <w:pPr>
        <w:ind w:left="860" w:right="22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business depends, in large part, on our proprietary network of global, regional, and local banking partners and our relationships with other third parties.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markets are highly competitive.</w:t>
      </w:r>
    </w:p>
    <w:p>
      <w:pPr>
        <w:spacing w:after="0" w:line="213" w:lineRule="exact"/>
        <w:rPr>
          <w:rFonts w:ascii="Arial" w:cs="Arial" w:eastAsia="Arial" w:hAnsi="Arial"/>
          <w:sz w:val="20"/>
          <w:szCs w:val="20"/>
          <w:color w:val="auto"/>
        </w:rPr>
      </w:pPr>
    </w:p>
    <w:p>
      <w:pPr>
        <w:ind w:left="860" w:right="20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estimates of market opportunity and our ability to capture a meaningful share of this payment volume may prove to be inaccurate.</w:t>
      </w:r>
    </w:p>
    <w:p>
      <w:pPr>
        <w:spacing w:after="0" w:line="132" w:lineRule="exact"/>
        <w:rPr>
          <w:rFonts w:ascii="Arial" w:cs="Arial" w:eastAsia="Arial" w:hAnsi="Arial"/>
          <w:sz w:val="20"/>
          <w:szCs w:val="20"/>
          <w:color w:val="auto"/>
        </w:rPr>
      </w:pPr>
    </w:p>
    <w:p>
      <w:pPr>
        <w:ind w:left="860" w:right="240" w:hanging="255"/>
        <w:spacing w:after="0" w:line="282" w:lineRule="auto"/>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education business may be adversely affected by decreases in enrollment or tuition, increased limitations on issuances of visas to international students or increased operating expenses for our clients.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healthcare industry is rapidly evolving.</w:t>
      </w:r>
    </w:p>
    <w:p>
      <w:pPr>
        <w:sectPr>
          <w:pgSz w:w="12240" w:h="15840" w:orient="portrait"/>
          <w:cols w:equalWidth="0" w:num="1">
            <w:col w:w="10780"/>
          </w:cols>
          <w:pgMar w:left="720" w:top="1156" w:right="740" w:bottom="17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10780"/>
          </w:cols>
          <w:pgMar w:left="720" w:top="1156" w:right="740" w:bottom="175" w:gutter="0" w:footer="0" w:header="0"/>
          <w:type w:val="continuous"/>
        </w:sectPr>
      </w:pPr>
    </w:p>
    <w:bookmarkStart w:id="31" w:name="page32"/>
    <w:bookmarkEnd w:id="31"/>
    <w:p>
      <w:pPr>
        <w:ind w:left="860" w:hanging="255"/>
        <w:spacing w:after="0"/>
        <w:tabs>
          <w:tab w:leader="none" w:pos="8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travel business may be sensitive to events affecting the travel industry in general.</w:t>
      </w:r>
    </w:p>
    <w:p>
      <w:pPr>
        <w:spacing w:after="0" w:line="213" w:lineRule="exact"/>
        <w:rPr>
          <w:rFonts w:ascii="Arial" w:cs="Arial" w:eastAsia="Arial" w:hAnsi="Arial"/>
          <w:sz w:val="20"/>
          <w:szCs w:val="20"/>
          <w:color w:val="auto"/>
        </w:rPr>
      </w:pPr>
    </w:p>
    <w:p>
      <w:pPr>
        <w:ind w:left="860" w:right="620" w:hanging="255"/>
        <w:spacing w:after="0" w:line="282" w:lineRule="auto"/>
        <w:tabs>
          <w:tab w:leader="none" w:pos="8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be unable to enter or expand into new verticals or sub-verticals, including our relatively new B2B payment vertical.</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There could be consolidation in the payment processing or enablement industry.</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be adversely impacted by worldwide global economic and political instability.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Operations</w:t>
      </w:r>
    </w:p>
    <w:p>
      <w:pPr>
        <w:spacing w:after="0" w:line="209" w:lineRule="exact"/>
        <w:rPr>
          <w:sz w:val="20"/>
          <w:szCs w:val="20"/>
          <w:color w:val="auto"/>
        </w:rPr>
      </w:pPr>
    </w:p>
    <w:p>
      <w:pPr>
        <w:ind w:left="860" w:hanging="255"/>
        <w:spacing w:after="0"/>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not be able to scale our business quickly enough to meet our growing client base.</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enable the transfer of large sums of funds to our clients daily and are subject to the risk of errors.</w:t>
      </w:r>
    </w:p>
    <w:p>
      <w:pPr>
        <w:spacing w:after="0" w:line="213" w:lineRule="exact"/>
        <w:rPr>
          <w:rFonts w:ascii="Arial" w:cs="Arial" w:eastAsia="Arial" w:hAnsi="Arial"/>
          <w:sz w:val="20"/>
          <w:szCs w:val="20"/>
          <w:color w:val="auto"/>
        </w:rPr>
      </w:pPr>
    </w:p>
    <w:p>
      <w:pPr>
        <w:ind w:left="860" w:right="500" w:hanging="255"/>
        <w:spacing w:after="0" w:line="282" w:lineRule="auto"/>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Volatility in the banking and financial services sectors may impact our bank partnerships and relationships, which could adversely affect our operations and liquidity.</w:t>
      </w:r>
    </w:p>
    <w:p>
      <w:pPr>
        <w:spacing w:after="0" w:line="132" w:lineRule="exact"/>
        <w:rPr>
          <w:rFonts w:ascii="Arial" w:cs="Arial" w:eastAsia="Arial" w:hAnsi="Arial"/>
          <w:sz w:val="20"/>
          <w:szCs w:val="20"/>
          <w:color w:val="auto"/>
        </w:rPr>
      </w:pPr>
    </w:p>
    <w:p>
      <w:pPr>
        <w:ind w:left="860" w:right="540" w:hanging="255"/>
        <w:spacing w:after="0" w:line="282" w:lineRule="auto"/>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management of our operating funds and those of our clients may be reliant on a limited number of our banking partners and other financial institutions.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be unable to maintain or expand our ability to offer a variety of local and international payments.</w:t>
      </w:r>
    </w:p>
    <w:p>
      <w:pPr>
        <w:spacing w:after="0" w:line="213" w:lineRule="exact"/>
        <w:rPr>
          <w:rFonts w:ascii="Arial" w:cs="Arial" w:eastAsia="Arial" w:hAnsi="Arial"/>
          <w:sz w:val="20"/>
          <w:szCs w:val="20"/>
          <w:color w:val="auto"/>
        </w:rPr>
      </w:pPr>
    </w:p>
    <w:p>
      <w:pPr>
        <w:ind w:left="860" w:right="920" w:hanging="255"/>
        <w:spacing w:after="0" w:line="282" w:lineRule="auto"/>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Improper or unauthorized use of, disclosure of, or access to personal or sensitive data could harm our reputation.</w:t>
      </w:r>
    </w:p>
    <w:p>
      <w:pPr>
        <w:spacing w:after="0" w:line="132" w:lineRule="exact"/>
        <w:rPr>
          <w:rFonts w:ascii="Arial" w:cs="Arial" w:eastAsia="Arial" w:hAnsi="Arial"/>
          <w:sz w:val="20"/>
          <w:szCs w:val="20"/>
          <w:color w:val="auto"/>
        </w:rPr>
      </w:pPr>
    </w:p>
    <w:p>
      <w:pPr>
        <w:ind w:left="860" w:right="620" w:hanging="255"/>
        <w:spacing w:after="0" w:line="282" w:lineRule="auto"/>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fail to adapt and respond effectively to rapidly changing technology, evolving industry standards, changing regulations, and changing business needs, requirements, or preferences.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to payment card networks fees or rules could harm our business.</w:t>
      </w:r>
    </w:p>
    <w:p>
      <w:pPr>
        <w:spacing w:after="0" w:line="213" w:lineRule="exact"/>
        <w:rPr>
          <w:rFonts w:ascii="Arial" w:cs="Arial" w:eastAsia="Arial" w:hAnsi="Arial"/>
          <w:sz w:val="20"/>
          <w:szCs w:val="20"/>
          <w:color w:val="auto"/>
        </w:rPr>
      </w:pPr>
    </w:p>
    <w:p>
      <w:pPr>
        <w:ind w:left="860" w:right="100" w:hanging="255"/>
        <w:spacing w:after="0" w:line="282" w:lineRule="auto"/>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we lose key members of our management team or are unable to attract and retain executives and employees we need to support our operations and growth, our business may be harmed.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Legal, Regulatory and Compliance Landscape</w:t>
      </w:r>
    </w:p>
    <w:p>
      <w:pPr>
        <w:spacing w:after="0" w:line="209" w:lineRule="exact"/>
        <w:rPr>
          <w:sz w:val="20"/>
          <w:szCs w:val="20"/>
          <w:color w:val="auto"/>
        </w:rPr>
      </w:pPr>
    </w:p>
    <w:p>
      <w:pPr>
        <w:ind w:left="860" w:hanging="255"/>
        <w:spacing w:after="0"/>
        <w:tabs>
          <w:tab w:leader="none" w:pos="8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Payments and other financial services-related regulations and oversight are material to our business.</w:t>
      </w:r>
    </w:p>
    <w:p>
      <w:pPr>
        <w:spacing w:after="0" w:line="213" w:lineRule="exact"/>
        <w:rPr>
          <w:rFonts w:ascii="Arial" w:cs="Arial" w:eastAsia="Arial" w:hAnsi="Arial"/>
          <w:sz w:val="20"/>
          <w:szCs w:val="20"/>
          <w:color w:val="auto"/>
        </w:rPr>
      </w:pPr>
    </w:p>
    <w:p>
      <w:pPr>
        <w:ind w:left="860" w:hanging="255"/>
        <w:spacing w:after="0" w:line="282" w:lineRule="auto"/>
        <w:tabs>
          <w:tab w:leader="none" w:pos="8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are subject to governmental laws and requirements regarding economic and trade sanctions, AML, CFT and those applicable to a MSB.</w:t>
      </w:r>
    </w:p>
    <w:p>
      <w:pPr>
        <w:spacing w:after="0" w:line="132" w:lineRule="exact"/>
        <w:rPr>
          <w:rFonts w:ascii="Arial" w:cs="Arial" w:eastAsia="Arial" w:hAnsi="Arial"/>
          <w:sz w:val="20"/>
          <w:szCs w:val="20"/>
          <w:color w:val="auto"/>
        </w:rPr>
      </w:pPr>
    </w:p>
    <w:p>
      <w:pPr>
        <w:ind w:left="860" w:right="60" w:hanging="255"/>
        <w:spacing w:after="0" w:line="282" w:lineRule="auto"/>
        <w:tabs>
          <w:tab w:leader="none" w:pos="8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are subject to governmental regulation and other legal obligations, particularly those related to privacy, data protection, information security, anti-corruption, anti-bribery, and similar laws.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Being a Public Company</w:t>
      </w:r>
    </w:p>
    <w:p>
      <w:pPr>
        <w:spacing w:after="0" w:line="209" w:lineRule="exact"/>
        <w:rPr>
          <w:sz w:val="20"/>
          <w:szCs w:val="20"/>
          <w:color w:val="auto"/>
        </w:rPr>
      </w:pPr>
    </w:p>
    <w:p>
      <w:pPr>
        <w:ind w:left="860" w:hanging="255"/>
        <w:spacing w:after="0"/>
        <w:tabs>
          <w:tab w:leader="none" w:pos="8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may fail to develop and maintain proper effective internal control over financial reporting.</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Estimates relating to our critical accounting policies may prove to be incorrect.</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will continue to incur increased costs as a public company.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Ownership of Our Common Stock</w:t>
      </w:r>
    </w:p>
    <w:p>
      <w:pPr>
        <w:spacing w:after="0" w:line="209" w:lineRule="exact"/>
        <w:rPr>
          <w:sz w:val="20"/>
          <w:szCs w:val="20"/>
          <w:color w:val="auto"/>
        </w:rPr>
      </w:pPr>
    </w:p>
    <w:p>
      <w:pPr>
        <w:ind w:left="860" w:hanging="255"/>
        <w:spacing w:after="0" w:line="282" w:lineRule="auto"/>
        <w:tabs>
          <w:tab w:leader="none" w:pos="8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Raising additional capital may cause dilution to our existing stockholders, restrict our operations, or require us to relinquish rights to our intellectual property on unfavorable terms.</w:t>
      </w:r>
    </w:p>
    <w:p>
      <w:pPr>
        <w:spacing w:after="0" w:line="132" w:lineRule="exact"/>
        <w:rPr>
          <w:rFonts w:ascii="Arial" w:cs="Arial" w:eastAsia="Arial" w:hAnsi="Arial"/>
          <w:sz w:val="20"/>
          <w:szCs w:val="20"/>
          <w:color w:val="auto"/>
        </w:rPr>
      </w:pPr>
    </w:p>
    <w:p>
      <w:pPr>
        <w:ind w:left="860" w:right="680" w:hanging="255"/>
        <w:spacing w:after="0" w:line="282" w:lineRule="auto"/>
        <w:tabs>
          <w:tab w:leader="none" w:pos="8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Securities and industry analysts may not publish or publish inaccurate or unfavorable research about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ectPr>
          <w:pgSz w:w="12240" w:h="15840" w:orient="portrait"/>
          <w:cols w:equalWidth="0" w:num="1">
            <w:col w:w="10760"/>
          </w:cols>
          <w:pgMar w:left="720" w:top="1174" w:right="760" w:bottom="175" w:gutter="0" w:footer="0" w:header="0"/>
        </w:sectPr>
      </w:pP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10760"/>
          </w:cols>
          <w:pgMar w:left="720" w:top="1174" w:right="760" w:bottom="175"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i w:val="1"/>
          <w:iCs w:val="1"/>
          <w:color w:val="auto"/>
        </w:rPr>
        <w:t>We have a history of operating losses and may not achieve or sustain profitability in the future.</w:t>
      </w:r>
    </w:p>
    <w:p>
      <w:pPr>
        <w:spacing w:after="0" w:line="196" w:lineRule="exact"/>
        <w:rPr>
          <w:sz w:val="20"/>
          <w:szCs w:val="20"/>
          <w:color w:val="auto"/>
        </w:rPr>
      </w:pPr>
    </w:p>
    <w:p>
      <w:pPr>
        <w:ind w:firstLine="490"/>
        <w:spacing w:after="0" w:line="241" w:lineRule="auto"/>
        <w:rPr>
          <w:sz w:val="20"/>
          <w:szCs w:val="20"/>
          <w:color w:val="auto"/>
        </w:rPr>
      </w:pPr>
      <w:r>
        <w:rPr>
          <w:rFonts w:ascii="Arial" w:cs="Arial" w:eastAsia="Arial" w:hAnsi="Arial"/>
          <w:sz w:val="20"/>
          <w:szCs w:val="20"/>
          <w:color w:val="auto"/>
        </w:rPr>
        <w:t>We were incorporated in 2009 and although we have generated net income in prior periods, we incurred a net loss in the year ended December 31, 2023, have incurred net losses in the past, and may continue to incur net losses in the future. We generated net losses of $8.6 million, $39.3 million and $28.1 million for the years ended December 31, 2023, 2022 and 2021, respectively. In addition, as of December 31, 2023, we had an accumulated deficit of $173.8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77" w:lineRule="exact"/>
        <w:rPr>
          <w:sz w:val="20"/>
          <w:szCs w:val="20"/>
          <w:color w:val="auto"/>
        </w:rPr>
      </w:pPr>
    </w:p>
    <w:p>
      <w:pPr>
        <w:ind w:right="200" w:firstLine="490"/>
        <w:spacing w:after="0" w:line="254" w:lineRule="auto"/>
        <w:rPr>
          <w:sz w:val="20"/>
          <w:szCs w:val="20"/>
          <w:color w:val="auto"/>
        </w:rPr>
      </w:pPr>
      <w:r>
        <w:rPr>
          <w:rFonts w:ascii="Arial" w:cs="Arial" w:eastAsia="Arial" w:hAnsi="Arial"/>
          <w:sz w:val="20"/>
          <w:szCs w:val="20"/>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In addition, we expect to continue to expend substantial management time, financial and other resources on:</w:t>
      </w:r>
    </w:p>
    <w:p>
      <w:pPr>
        <w:spacing w:after="0" w:line="213" w:lineRule="exact"/>
        <w:rPr>
          <w:sz w:val="20"/>
          <w:szCs w:val="20"/>
          <w:color w:val="auto"/>
        </w:rPr>
      </w:pPr>
    </w:p>
    <w:p>
      <w:pPr>
        <w:ind w:left="860" w:hanging="255"/>
        <w:spacing w:after="0" w:line="282" w:lineRule="auto"/>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sales, marketing, relationship management and client support, including an expansion of our sales organization, and new client support and payer retention initiatives;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technology infrastructure, including systems architecture, scalability, availability, performance, and security;</w:t>
      </w:r>
    </w:p>
    <w:p>
      <w:pPr>
        <w:spacing w:after="0" w:line="213" w:lineRule="exact"/>
        <w:rPr>
          <w:rFonts w:ascii="Arial" w:cs="Arial" w:eastAsia="Arial" w:hAnsi="Arial"/>
          <w:sz w:val="20"/>
          <w:szCs w:val="20"/>
          <w:color w:val="auto"/>
        </w:rPr>
      </w:pPr>
    </w:p>
    <w:p>
      <w:pPr>
        <w:ind w:left="860" w:right="160" w:hanging="255"/>
        <w:spacing w:after="0" w:line="282" w:lineRule="auto"/>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technology development, including investments in our technology development team and the development of new solutions and new functionality;</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expanding into more international markets;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attracting new clients and increasing the number of our clients’ customers that use our solutions;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acquisitions or strategic investments;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regulatory compliance and risk management; and</w:t>
      </w:r>
    </w:p>
    <w:p>
      <w:pPr>
        <w:spacing w:after="0" w:line="213" w:lineRule="exact"/>
        <w:rPr>
          <w:rFonts w:ascii="Arial" w:cs="Arial" w:eastAsia="Arial" w:hAnsi="Arial"/>
          <w:sz w:val="20"/>
          <w:szCs w:val="20"/>
          <w:color w:val="auto"/>
        </w:rPr>
      </w:pPr>
    </w:p>
    <w:p>
      <w:pPr>
        <w:ind w:left="860" w:right="180" w:hanging="255"/>
        <w:spacing w:after="0" w:line="282" w:lineRule="auto"/>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general administration, including increased insurance, legal and accounting expenses associated with being a public company.</w:t>
      </w:r>
    </w:p>
    <w:p>
      <w:pPr>
        <w:spacing w:after="0" w:line="120" w:lineRule="exact"/>
        <w:rPr>
          <w:sz w:val="20"/>
          <w:szCs w:val="20"/>
          <w:color w:val="auto"/>
        </w:rPr>
      </w:pPr>
    </w:p>
    <w:p>
      <w:pPr>
        <w:jc w:val="both"/>
        <w:ind w:right="380" w:firstLine="490"/>
        <w:spacing w:after="0" w:line="261" w:lineRule="auto"/>
        <w:rPr>
          <w:sz w:val="20"/>
          <w:szCs w:val="20"/>
          <w:color w:val="auto"/>
        </w:rPr>
      </w:pPr>
      <w:r>
        <w:rPr>
          <w:rFonts w:ascii="Arial" w:cs="Arial" w:eastAsia="Arial" w:hAnsi="Arial"/>
          <w:sz w:val="20"/>
          <w:szCs w:val="20"/>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4" w:lineRule="exact"/>
        <w:rPr>
          <w:sz w:val="20"/>
          <w:szCs w:val="20"/>
          <w:color w:val="auto"/>
        </w:rPr>
      </w:pPr>
    </w:p>
    <w:p>
      <w:pPr>
        <w:ind w:right="240"/>
        <w:spacing w:after="0" w:line="289" w:lineRule="auto"/>
        <w:rPr>
          <w:sz w:val="20"/>
          <w:szCs w:val="20"/>
          <w:color w:val="auto"/>
        </w:rPr>
      </w:pPr>
      <w:r>
        <w:rPr>
          <w:rFonts w:ascii="Arial" w:cs="Arial" w:eastAsia="Arial" w:hAnsi="Arial"/>
          <w:sz w:val="20"/>
          <w:szCs w:val="20"/>
          <w:b w:val="1"/>
          <w:bCs w:val="1"/>
          <w:i w:val="1"/>
          <w:iCs w:val="1"/>
          <w:color w:val="auto"/>
        </w:rPr>
        <w:t>We have a short operating history at our current scale in a rapidly and significantly evolving industry and, as a result, our past results may not be indicative of future operating performance.</w:t>
      </w:r>
    </w:p>
    <w:p>
      <w:pPr>
        <w:sectPr>
          <w:pgSz w:w="12240" w:h="15840" w:orient="portrait"/>
          <w:cols w:equalWidth="0" w:num="1">
            <w:col w:w="10740"/>
          </w:cols>
          <w:pgMar w:left="720" w:top="1164" w:right="780" w:bottom="175" w:gutter="0" w:footer="0" w:header="0"/>
        </w:sect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10740"/>
          </w:cols>
          <w:pgMar w:left="720" w:top="1164" w:right="780" w:bottom="175" w:gutter="0" w:footer="0" w:header="0"/>
          <w:type w:val="continuous"/>
        </w:sectPr>
      </w:pPr>
    </w:p>
    <w:bookmarkStart w:id="33" w:name="page34"/>
    <w:bookmarkEnd w:id="33"/>
    <w:p>
      <w:pPr>
        <w:ind w:right="40" w:firstLine="490"/>
        <w:spacing w:after="0" w:line="254" w:lineRule="auto"/>
        <w:rPr>
          <w:sz w:val="20"/>
          <w:szCs w:val="20"/>
          <w:color w:val="auto"/>
        </w:rPr>
      </w:pPr>
      <w:r>
        <w:rPr>
          <w:rFonts w:ascii="Arial" w:cs="Arial" w:eastAsia="Arial" w:hAnsi="Arial"/>
          <w:sz w:val="20"/>
          <w:szCs w:val="20"/>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Our future success will depend in large part upon our ability to, among other things:</w:t>
      </w:r>
    </w:p>
    <w:p>
      <w:pPr>
        <w:spacing w:after="0" w:line="213" w:lineRule="exact"/>
        <w:rPr>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cost-effectively acquire new clients and retain existing clients;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maintain and increase our market share;</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avoid pricing pressure on our solutions which would compress our margins;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effectively market our solutions;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enhance our existing solutions and develop new solutions;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increase awareness of our brand and maintain our reputation;</w:t>
      </w:r>
    </w:p>
    <w:p>
      <w:pPr>
        <w:spacing w:after="0" w:line="133" w:lineRule="exact"/>
        <w:rPr>
          <w:rFonts w:ascii="Arial" w:cs="Arial" w:eastAsia="Arial" w:hAnsi="Arial"/>
          <w:sz w:val="20"/>
          <w:szCs w:val="20"/>
          <w:color w:val="auto"/>
        </w:rPr>
      </w:pPr>
    </w:p>
    <w:p>
      <w:pPr>
        <w:ind w:left="980" w:right="32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develop new technologies, adapt to technology changes and evolving industry standards and to incorporate new technologies, such as artificial intelligence, into our solutions;</w:t>
      </w:r>
    </w:p>
    <w:p>
      <w:pPr>
        <w:spacing w:after="0" w:line="132" w:lineRule="exact"/>
        <w:rPr>
          <w:rFonts w:ascii="Arial" w:cs="Arial" w:eastAsia="Arial" w:hAnsi="Arial"/>
          <w:sz w:val="20"/>
          <w:szCs w:val="20"/>
          <w:color w:val="auto"/>
        </w:rPr>
      </w:pPr>
    </w:p>
    <w:p>
      <w:pPr>
        <w:ind w:left="980" w:right="18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offer seamless experience for our clients and their customers, including all user facing attributes ranging from the user interface to client and customer support;</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anticipate and respond to microeconomic and macroeconomic changes;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expand our solutions and geographic reach, including with respect to B2B and travel payments;</w:t>
      </w:r>
    </w:p>
    <w:p>
      <w:pPr>
        <w:spacing w:after="0" w:line="133" w:lineRule="exact"/>
        <w:rPr>
          <w:rFonts w:ascii="Arial" w:cs="Arial" w:eastAsia="Arial" w:hAnsi="Arial"/>
          <w:sz w:val="20"/>
          <w:szCs w:val="20"/>
          <w:color w:val="auto"/>
        </w:rPr>
      </w:pPr>
    </w:p>
    <w:p>
      <w:pPr>
        <w:ind w:left="980" w:right="66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decision to exit certain markets, or our inability to process payments from certain jurisdiction we had previously served;</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anticipate and effectively respond to changing trends and the preferences of clients and their customers;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compete effectively;</w:t>
      </w:r>
    </w:p>
    <w:p>
      <w:pPr>
        <w:spacing w:after="0" w:line="213" w:lineRule="exact"/>
        <w:rPr>
          <w:rFonts w:ascii="Arial" w:cs="Arial" w:eastAsia="Arial" w:hAnsi="Arial"/>
          <w:sz w:val="20"/>
          <w:szCs w:val="20"/>
          <w:color w:val="auto"/>
        </w:rPr>
      </w:pPr>
    </w:p>
    <w:p>
      <w:pPr>
        <w:ind w:left="980" w:right="2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avoid interruptions in our business from information technology (IT) downtime, cybersecurity breaches, or labor stoppages;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effectively manage our growth;</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effectively identify and manage risks, including foreign currency exchange risk;</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hire, integrate, and retain talented people at all levels of our organization;</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maintain the quality of our technology infrastructure;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compliance with multiple, conflicting and changing governmental laws and regulations, including with respect to employment, tax, competition, workplace and ESG matters;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global pandemics, such as COVID-19, or other public health emergencies;</w:t>
      </w:r>
    </w:p>
    <w:p>
      <w:pPr>
        <w:spacing w:after="0" w:line="213" w:lineRule="exact"/>
        <w:rPr>
          <w:rFonts w:ascii="Arial" w:cs="Arial" w:eastAsia="Arial" w:hAnsi="Arial"/>
          <w:sz w:val="20"/>
          <w:szCs w:val="20"/>
          <w:color w:val="auto"/>
        </w:rPr>
      </w:pPr>
    </w:p>
    <w:p>
      <w:pPr>
        <w:ind w:left="980" w:right="4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retain our existing proprietary global network of banking and other payment partners and add new banking and other payment partners to scale our business; and</w:t>
      </w:r>
    </w:p>
    <w:p>
      <w:pPr>
        <w:spacing w:after="0" w:line="132" w:lineRule="exact"/>
        <w:rPr>
          <w:rFonts w:ascii="Arial" w:cs="Arial" w:eastAsia="Arial" w:hAnsi="Arial"/>
          <w:sz w:val="20"/>
          <w:szCs w:val="20"/>
          <w:color w:val="auto"/>
        </w:rPr>
      </w:pPr>
    </w:p>
    <w:p>
      <w:pPr>
        <w:ind w:left="980" w:right="50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retain our existing technology partners that allow us to provide alternative payment methods and add new technology partners to scale our business.</w:t>
      </w:r>
    </w:p>
    <w:p>
      <w:pPr>
        <w:spacing w:after="0" w:line="120"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10800"/>
          </w:cols>
          <w:pgMar w:left="720" w:top="1160" w:right="720" w:bottom="175" w:gutter="0" w:footer="0" w:header="0"/>
          <w:type w:val="continuous"/>
        </w:sectPr>
      </w:pPr>
    </w:p>
    <w:bookmarkStart w:id="34" w:name="page35"/>
    <w:bookmarkEnd w:id="34"/>
    <w:p>
      <w:pPr>
        <w:ind w:right="60"/>
        <w:spacing w:after="0" w:line="264" w:lineRule="auto"/>
        <w:rPr>
          <w:sz w:val="20"/>
          <w:szCs w:val="20"/>
          <w:color w:val="auto"/>
        </w:rPr>
      </w:pPr>
      <w:r>
        <w:rPr>
          <w:rFonts w:ascii="Arial" w:cs="Arial" w:eastAsia="Arial" w:hAnsi="Arial"/>
          <w:sz w:val="20"/>
          <w:szCs w:val="20"/>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27"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57"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62" w:lineRule="exact"/>
        <w:rPr>
          <w:sz w:val="20"/>
          <w:szCs w:val="20"/>
          <w:color w:val="auto"/>
        </w:rPr>
      </w:pPr>
    </w:p>
    <w:p>
      <w:pPr>
        <w:ind w:right="140" w:firstLine="490"/>
        <w:spacing w:after="0" w:line="248" w:lineRule="auto"/>
        <w:rPr>
          <w:sz w:val="20"/>
          <w:szCs w:val="20"/>
          <w:color w:val="auto"/>
        </w:rPr>
      </w:pPr>
      <w:r>
        <w:rPr>
          <w:rFonts w:ascii="Arial" w:cs="Arial" w:eastAsia="Arial" w:hAnsi="Arial"/>
          <w:sz w:val="20"/>
          <w:szCs w:val="20"/>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54"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27" w:lineRule="exact"/>
        <w:rPr>
          <w:sz w:val="20"/>
          <w:szCs w:val="20"/>
          <w:color w:val="auto"/>
        </w:rPr>
      </w:pPr>
    </w:p>
    <w:p>
      <w:pPr>
        <w:ind w:right="160" w:firstLine="490"/>
        <w:spacing w:after="0" w:line="250" w:lineRule="auto"/>
        <w:rPr>
          <w:sz w:val="20"/>
          <w:szCs w:val="20"/>
          <w:color w:val="auto"/>
        </w:rPr>
      </w:pPr>
      <w:r>
        <w:rPr>
          <w:rFonts w:ascii="Arial" w:cs="Arial" w:eastAsia="Arial" w:hAnsi="Arial"/>
          <w:sz w:val="20"/>
          <w:szCs w:val="20"/>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52" w:lineRule="exact"/>
        <w:rPr>
          <w:sz w:val="20"/>
          <w:szCs w:val="20"/>
          <w:color w:val="auto"/>
        </w:rPr>
      </w:pPr>
    </w:p>
    <w:p>
      <w:pPr>
        <w:jc w:val="both"/>
        <w:ind w:right="80" w:firstLine="490"/>
        <w:spacing w:after="0" w:line="261" w:lineRule="auto"/>
        <w:rPr>
          <w:sz w:val="20"/>
          <w:szCs w:val="20"/>
          <w:color w:val="auto"/>
        </w:rPr>
      </w:pPr>
      <w:r>
        <w:rPr>
          <w:rFonts w:ascii="Arial" w:cs="Arial" w:eastAsia="Arial" w:hAnsi="Arial"/>
          <w:sz w:val="20"/>
          <w:szCs w:val="20"/>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53" w:lineRule="exact"/>
        <w:rPr>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demand for our solutions and the number, volume and timing of payments processed;</w:t>
      </w:r>
    </w:p>
    <w:p>
      <w:pPr>
        <w:sectPr>
          <w:pgSz w:w="12240" w:h="15840" w:orient="portrait"/>
          <w:cols w:equalWidth="0" w:num="1">
            <w:col w:w="10780"/>
          </w:cols>
          <w:pgMar w:left="720" w:top="1164" w:right="740" w:bottom="175"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10780"/>
          </w:cols>
          <w:pgMar w:left="720" w:top="1164" w:right="740" w:bottom="175" w:gutter="0" w:footer="0" w:header="0"/>
          <w:type w:val="continuous"/>
        </w:sectPr>
      </w:pPr>
    </w:p>
    <w:bookmarkStart w:id="35" w:name="page36"/>
    <w:bookmarkEnd w:id="35"/>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timing of tuition payments;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market acceptance of our current and future solutions;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revenue mix in a particular quarter;</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mix of payment methods and currencies utilized by our clients’ customers in a particular quarter;</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slowdown in spending on IT and software by our current and/or prospective clients;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sales cycles and performance of our direct and indirect sales force;</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budgeting and implementation cycles of our current or potential clients;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foreign currency exchange rate fluctuations;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management, performance and expansion of our domestic and international operations;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rate of renewals of contracts with our clients;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changes in the competitive dynamics of our markets;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control and predict costs, including our operating expenses;</w:t>
      </w:r>
    </w:p>
    <w:p>
      <w:pPr>
        <w:spacing w:after="0" w:line="213" w:lineRule="exact"/>
        <w:rPr>
          <w:rFonts w:ascii="Arial" w:cs="Arial" w:eastAsia="Arial" w:hAnsi="Arial"/>
          <w:sz w:val="20"/>
          <w:szCs w:val="20"/>
          <w:color w:val="auto"/>
        </w:rPr>
      </w:pPr>
    </w:p>
    <w:p>
      <w:pPr>
        <w:ind w:left="980" w:right="2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clients delaying purchasing decisions, including in anticipation of new products or product enhancements by us or our competitors;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seasonality of our business;</w:t>
      </w:r>
    </w:p>
    <w:p>
      <w:pPr>
        <w:spacing w:after="0" w:line="213" w:lineRule="exact"/>
        <w:rPr>
          <w:rFonts w:ascii="Arial" w:cs="Arial" w:eastAsia="Arial" w:hAnsi="Arial"/>
          <w:sz w:val="20"/>
          <w:szCs w:val="20"/>
          <w:color w:val="auto"/>
        </w:rPr>
      </w:pPr>
    </w:p>
    <w:p>
      <w:pPr>
        <w:ind w:left="980" w:right="6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failure to successfully manage or integrate any acquisitions, including our acquisitions of WPM, Cohort Go and StudyLink;</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outcome or publicity surrounding any pending or threatened lawsuits;</w:t>
      </w:r>
    </w:p>
    <w:p>
      <w:pPr>
        <w:spacing w:after="0" w:line="213" w:lineRule="exact"/>
        <w:rPr>
          <w:rFonts w:ascii="Arial" w:cs="Arial" w:eastAsia="Arial" w:hAnsi="Arial"/>
          <w:sz w:val="20"/>
          <w:szCs w:val="20"/>
          <w:color w:val="auto"/>
        </w:rPr>
      </w:pPr>
    </w:p>
    <w:p>
      <w:pPr>
        <w:ind w:left="980" w:right="42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general economic and political conditions in our domestic and international markets, including inflation and fluctuations in supply chains, and restrictions on cross-border travel or commerce;</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changes in the level of scrutiny applied by regulators and investors on our ESG program;</w:t>
      </w:r>
    </w:p>
    <w:p>
      <w:pPr>
        <w:spacing w:after="0" w:line="213" w:lineRule="exact"/>
        <w:rPr>
          <w:rFonts w:ascii="Arial" w:cs="Arial" w:eastAsia="Arial" w:hAnsi="Arial"/>
          <w:sz w:val="20"/>
          <w:szCs w:val="20"/>
          <w:color w:val="auto"/>
        </w:rPr>
      </w:pPr>
    </w:p>
    <w:p>
      <w:pPr>
        <w:ind w:left="980" w:right="28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unexpected events, including those resulting from climate change, international or civil conflicts and wars, or other geopolitical events;</w:t>
      </w:r>
    </w:p>
    <w:p>
      <w:pPr>
        <w:spacing w:after="0" w:line="132" w:lineRule="exact"/>
        <w:rPr>
          <w:rFonts w:ascii="Arial" w:cs="Arial" w:eastAsia="Arial" w:hAnsi="Arial"/>
          <w:sz w:val="20"/>
          <w:szCs w:val="20"/>
          <w:color w:val="auto"/>
        </w:rPr>
      </w:pPr>
    </w:p>
    <w:p>
      <w:pPr>
        <w:ind w:left="980" w:right="200" w:hanging="491"/>
        <w:spacing w:after="0" w:line="261"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expected or actual extended U.S. federal government shutdowns, partisan gridlock that results in the inability of Congress to take action or changes to government, which among other things could result in increased limitations on visa issuances and impact educational financial aid payments; and</w:t>
      </w:r>
    </w:p>
    <w:p>
      <w:pPr>
        <w:spacing w:after="0" w:line="15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global pandemics, such as COVID-19, or other public health emergencies and the responses thereto.</w:t>
      </w:r>
    </w:p>
    <w:p>
      <w:pPr>
        <w:spacing w:after="0" w:line="200" w:lineRule="exact"/>
        <w:rPr>
          <w:sz w:val="20"/>
          <w:szCs w:val="20"/>
          <w:color w:val="auto"/>
        </w:rPr>
      </w:pPr>
    </w:p>
    <w:p>
      <w:pPr>
        <w:ind w:right="260" w:firstLine="490"/>
        <w:spacing w:after="0" w:line="261" w:lineRule="auto"/>
        <w:rPr>
          <w:sz w:val="20"/>
          <w:szCs w:val="20"/>
          <w:color w:val="auto"/>
        </w:rPr>
      </w:pPr>
      <w:r>
        <w:rPr>
          <w:rFonts w:ascii="Arial" w:cs="Arial" w:eastAsia="Arial" w:hAnsi="Arial"/>
          <w:sz w:val="20"/>
          <w:szCs w:val="20"/>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40"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4" w:lineRule="exact"/>
        <w:rPr>
          <w:sz w:val="20"/>
          <w:szCs w:val="20"/>
          <w:color w:val="auto"/>
        </w:rPr>
      </w:pPr>
    </w:p>
    <w:p>
      <w:pPr>
        <w:ind w:right="400"/>
        <w:spacing w:after="0" w:line="289" w:lineRule="auto"/>
        <w:rPr>
          <w:sz w:val="20"/>
          <w:szCs w:val="20"/>
          <w:color w:val="auto"/>
        </w:rPr>
      </w:pPr>
      <w:r>
        <w:rPr>
          <w:rFonts w:ascii="Arial" w:cs="Arial" w:eastAsia="Arial" w:hAnsi="Arial"/>
          <w:sz w:val="20"/>
          <w:szCs w:val="20"/>
          <w:b w:val="1"/>
          <w:bCs w:val="1"/>
          <w:i w:val="1"/>
          <w:iCs w:val="1"/>
          <w:color w:val="auto"/>
        </w:rPr>
        <w:t>We expect our revenue mix to vary over time, which could affect our gross profit, gross margin and results of operations.</w:t>
      </w:r>
    </w:p>
    <w:p>
      <w:pPr>
        <w:sectPr>
          <w:pgSz w:w="12240" w:h="15840" w:orient="portrait"/>
          <w:cols w:equalWidth="0" w:num="1">
            <w:col w:w="10800"/>
          </w:cols>
          <w:pgMar w:left="720" w:top="117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10800"/>
          </w:cols>
          <w:pgMar w:left="720" w:top="1174" w:right="720" w:bottom="175" w:gutter="0" w:footer="0" w:header="0"/>
          <w:type w:val="continuous"/>
        </w:sectPr>
      </w:pPr>
    </w:p>
    <w:bookmarkStart w:id="36" w:name="page37"/>
    <w:bookmarkEnd w:id="36"/>
    <w:p>
      <w:pPr>
        <w:ind w:right="40" w:firstLine="490"/>
        <w:spacing w:after="0" w:line="244" w:lineRule="auto"/>
        <w:rPr>
          <w:sz w:val="20"/>
          <w:szCs w:val="20"/>
          <w:color w:val="auto"/>
        </w:rPr>
      </w:pPr>
      <w:r>
        <w:rPr>
          <w:rFonts w:ascii="Arial" w:cs="Arial" w:eastAsia="Arial" w:hAnsi="Arial"/>
          <w:sz w:val="20"/>
          <w:szCs w:val="20"/>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66" w:lineRule="exact"/>
        <w:rPr>
          <w:sz w:val="20"/>
          <w:szCs w:val="20"/>
          <w:color w:val="auto"/>
        </w:rPr>
      </w:pPr>
    </w:p>
    <w:p>
      <w:pPr>
        <w:ind w:right="220"/>
        <w:spacing w:after="0" w:line="289" w:lineRule="auto"/>
        <w:rPr>
          <w:sz w:val="20"/>
          <w:szCs w:val="20"/>
          <w:color w:val="auto"/>
        </w:rPr>
      </w:pPr>
      <w:r>
        <w:rPr>
          <w:rFonts w:ascii="Arial" w:cs="Arial" w:eastAsia="Arial" w:hAnsi="Arial"/>
          <w:sz w:val="20"/>
          <w:szCs w:val="20"/>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02" w:lineRule="exact"/>
        <w:rPr>
          <w:sz w:val="20"/>
          <w:szCs w:val="20"/>
          <w:color w:val="auto"/>
        </w:rPr>
      </w:pPr>
    </w:p>
    <w:p>
      <w:pPr>
        <w:ind w:right="100" w:firstLine="490"/>
        <w:spacing w:after="0" w:line="243" w:lineRule="auto"/>
        <w:rPr>
          <w:sz w:val="20"/>
          <w:szCs w:val="20"/>
          <w:color w:val="auto"/>
        </w:rPr>
      </w:pPr>
      <w:r>
        <w:rPr>
          <w:rFonts w:ascii="Arial" w:cs="Arial" w:eastAsia="Arial" w:hAnsi="Arial"/>
          <w:sz w:val="20"/>
          <w:szCs w:val="20"/>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70"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b w:val="1"/>
          <w:bCs w:val="1"/>
          <w:i w:val="1"/>
          <w:iCs w:val="1"/>
          <w:color w:val="auto"/>
        </w:rPr>
        <w:t>If we are unable to expand our direct and channel sales capabilities, grow our marketing reach and increase sales productivity, we may not be able to generate increased revenues.</w:t>
      </w:r>
    </w:p>
    <w:p>
      <w:pPr>
        <w:spacing w:after="0" w:line="10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64" w:lineRule="exact"/>
        <w:rPr>
          <w:sz w:val="20"/>
          <w:szCs w:val="20"/>
          <w:color w:val="auto"/>
        </w:rPr>
      </w:pPr>
    </w:p>
    <w:p>
      <w:pPr>
        <w:ind w:right="480"/>
        <w:spacing w:after="0" w:line="289" w:lineRule="auto"/>
        <w:rPr>
          <w:sz w:val="20"/>
          <w:szCs w:val="20"/>
          <w:color w:val="auto"/>
        </w:rPr>
      </w:pPr>
      <w:r>
        <w:rPr>
          <w:rFonts w:ascii="Arial" w:cs="Arial" w:eastAsia="Arial" w:hAnsi="Arial"/>
          <w:sz w:val="20"/>
          <w:szCs w:val="20"/>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02"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10800"/>
          </w:cols>
          <w:pgMar w:left="720" w:top="1160" w:right="720" w:bottom="175"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Our financial and operating results are subject to seasonality and cyclicality.</w:t>
      </w:r>
    </w:p>
    <w:p>
      <w:pPr>
        <w:spacing w:after="0" w:line="196"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We are exposed to fluctuations in foreign currency exchange rates that could materially and adversely affect our results of operations.</w:t>
      </w:r>
    </w:p>
    <w:p>
      <w:pPr>
        <w:spacing w:after="0" w:line="10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year ended December 31, 2023, as the U.S. dollar strengthened against several currencies, including the British Pound, relative to the same period in the prior year, these foreign exchange impacts reduced our reported revenue in U.S. dollars by approximately $1.4 million compared to the year ended December 31, 2022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60"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52"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7" w:lineRule="exact"/>
        <w:rPr>
          <w:sz w:val="20"/>
          <w:szCs w:val="20"/>
          <w:color w:val="auto"/>
        </w:rPr>
      </w:pPr>
    </w:p>
    <w:p>
      <w:pPr>
        <w:ind w:right="800"/>
        <w:spacing w:after="0" w:line="289" w:lineRule="auto"/>
        <w:rPr>
          <w:sz w:val="20"/>
          <w:szCs w:val="20"/>
          <w:color w:val="auto"/>
        </w:rPr>
      </w:pPr>
      <w:r>
        <w:rPr>
          <w:rFonts w:ascii="Arial" w:cs="Arial" w:eastAsia="Arial" w:hAnsi="Arial"/>
          <w:sz w:val="20"/>
          <w:szCs w:val="20"/>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02"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ectPr>
          <w:pgSz w:w="12240" w:h="15840" w:orient="portrait"/>
          <w:cols w:equalWidth="0" w:num="1">
            <w:col w:w="10800"/>
          </w:cols>
          <w:pgMar w:left="720" w:top="116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10800"/>
          </w:cols>
          <w:pgMar w:left="720" w:top="1164" w:right="720" w:bottom="175"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i w:val="1"/>
          <w:iCs w:val="1"/>
          <w:color w:val="auto"/>
        </w:rPr>
        <w:t>Our business depends, in large part, on our proprietary network of global, regional and local banking partners.</w:t>
      </w:r>
    </w:p>
    <w:p>
      <w:pPr>
        <w:spacing w:after="0" w:line="19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58"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54"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57"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growth depends in part on the success of our relationships with other (non-banking) third parties.</w:t>
      </w:r>
    </w:p>
    <w:p>
      <w:pPr>
        <w:spacing w:after="0" w:line="196"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61" w:lineRule="exact"/>
        <w:rPr>
          <w:sz w:val="20"/>
          <w:szCs w:val="20"/>
          <w:color w:val="auto"/>
        </w:rPr>
      </w:pPr>
    </w:p>
    <w:p>
      <w:pPr>
        <w:ind w:right="200"/>
        <w:spacing w:after="0" w:line="289" w:lineRule="auto"/>
        <w:rPr>
          <w:sz w:val="20"/>
          <w:szCs w:val="20"/>
          <w:color w:val="auto"/>
        </w:rPr>
      </w:pPr>
      <w:r>
        <w:rPr>
          <w:rFonts w:ascii="Arial" w:cs="Arial" w:eastAsia="Arial" w:hAnsi="Arial"/>
          <w:sz w:val="20"/>
          <w:szCs w:val="20"/>
          <w:b w:val="1"/>
          <w:bCs w:val="1"/>
          <w:i w:val="1"/>
          <w:iCs w:val="1"/>
          <w:color w:val="auto"/>
        </w:rPr>
        <w:t>The markets in which we participate are competitive, and if we do not compete effectively, our operating results could be harmed.</w:t>
      </w:r>
    </w:p>
    <w:p>
      <w:pPr>
        <w:spacing w:after="0" w:line="102" w:lineRule="exact"/>
        <w:rPr>
          <w:sz w:val="20"/>
          <w:szCs w:val="20"/>
          <w:color w:val="auto"/>
        </w:rPr>
      </w:pPr>
    </w:p>
    <w:p>
      <w:pPr>
        <w:ind w:right="20" w:firstLine="490"/>
        <w:spacing w:after="0" w:line="267" w:lineRule="auto"/>
        <w:rPr>
          <w:sz w:val="20"/>
          <w:szCs w:val="20"/>
          <w:color w:val="auto"/>
        </w:rPr>
      </w:pPr>
      <w:r>
        <w:rPr>
          <w:rFonts w:ascii="Arial" w:cs="Arial" w:eastAsia="Arial" w:hAnsi="Arial"/>
          <w:sz w:val="19"/>
          <w:szCs w:val="19"/>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w:t>
      </w:r>
    </w:p>
    <w:p>
      <w:pPr>
        <w:sectPr>
          <w:pgSz w:w="12240" w:h="15840" w:orient="portrait"/>
          <w:cols w:equalWidth="0" w:num="1">
            <w:col w:w="10800"/>
          </w:cols>
          <w:pgMar w:left="720" w:top="1164" w:right="720" w:bottom="175"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10800"/>
          </w:cols>
          <w:pgMar w:left="720" w:top="1164" w:right="720" w:bottom="175" w:gutter="0" w:footer="0" w:header="0"/>
          <w:type w:val="continuous"/>
        </w:sectPr>
      </w:pPr>
    </w:p>
    <w:bookmarkStart w:id="39" w:name="page40"/>
    <w:bookmarkEnd w:id="39"/>
    <w:p>
      <w:pPr>
        <w:ind w:right="40"/>
        <w:spacing w:after="0" w:line="243" w:lineRule="auto"/>
        <w:rPr>
          <w:sz w:val="20"/>
          <w:szCs w:val="20"/>
          <w:color w:val="auto"/>
        </w:rPr>
      </w:pPr>
      <w:r>
        <w:rPr>
          <w:rFonts w:ascii="Arial" w:cs="Arial" w:eastAsia="Arial" w:hAnsi="Arial"/>
          <w:sz w:val="20"/>
          <w:szCs w:val="20"/>
          <w:color w:val="auto"/>
        </w:rPr>
        <w:t>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66"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4"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27" w:lineRule="exact"/>
        <w:rPr>
          <w:sz w:val="20"/>
          <w:szCs w:val="20"/>
          <w:color w:val="auto"/>
        </w:rPr>
      </w:pPr>
    </w:p>
    <w:p>
      <w:pPr>
        <w:ind w:right="260" w:firstLine="490"/>
        <w:spacing w:after="0" w:line="245" w:lineRule="auto"/>
        <w:rPr>
          <w:sz w:val="20"/>
          <w:szCs w:val="20"/>
          <w:color w:val="auto"/>
        </w:rPr>
      </w:pPr>
      <w:r>
        <w:rPr>
          <w:rFonts w:ascii="Arial" w:cs="Arial" w:eastAsia="Arial" w:hAnsi="Arial"/>
          <w:sz w:val="20"/>
          <w:szCs w:val="20"/>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61" w:lineRule="exact"/>
        <w:rPr>
          <w:sz w:val="20"/>
          <w:szCs w:val="20"/>
          <w:color w:val="auto"/>
        </w:rPr>
      </w:pPr>
    </w:p>
    <w:p>
      <w:pPr>
        <w:ind w:right="360"/>
        <w:spacing w:after="0" w:line="289" w:lineRule="auto"/>
        <w:rPr>
          <w:sz w:val="20"/>
          <w:szCs w:val="20"/>
          <w:color w:val="auto"/>
        </w:rPr>
      </w:pPr>
      <w:r>
        <w:rPr>
          <w:rFonts w:ascii="Arial" w:cs="Arial" w:eastAsia="Arial" w:hAnsi="Arial"/>
          <w:sz w:val="20"/>
          <w:szCs w:val="20"/>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02"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53" w:lineRule="exact"/>
        <w:rPr>
          <w:sz w:val="20"/>
          <w:szCs w:val="20"/>
          <w:color w:val="auto"/>
        </w:rPr>
      </w:pPr>
    </w:p>
    <w:p>
      <w:pPr>
        <w:ind w:left="860" w:right="160" w:hanging="255"/>
        <w:spacing w:after="0" w:line="250"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65" w:lineRule="exact"/>
        <w:rPr>
          <w:rFonts w:ascii="Arial" w:cs="Arial" w:eastAsia="Arial" w:hAnsi="Arial"/>
          <w:sz w:val="20"/>
          <w:szCs w:val="20"/>
          <w:color w:val="auto"/>
        </w:rPr>
      </w:pPr>
    </w:p>
    <w:p>
      <w:pPr>
        <w:ind w:left="860" w:hanging="255"/>
        <w:spacing w:after="0" w:line="282"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Government supported institutions may experience losses or reduction in public funding. Many of our clients rely considerably upon public funding or support, which may not always be available due to budget constraints.</w:t>
      </w:r>
    </w:p>
    <w:p>
      <w:pPr>
        <w:spacing w:after="0" w:line="132" w:lineRule="exact"/>
        <w:rPr>
          <w:rFonts w:ascii="Arial" w:cs="Arial" w:eastAsia="Arial" w:hAnsi="Arial"/>
          <w:sz w:val="20"/>
          <w:szCs w:val="20"/>
          <w:color w:val="auto"/>
        </w:rPr>
      </w:pPr>
    </w:p>
    <w:p>
      <w:pPr>
        <w:ind w:left="860" w:right="20" w:hanging="255"/>
        <w:spacing w:after="0" w:line="261"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53" w:lineRule="exact"/>
        <w:rPr>
          <w:rFonts w:ascii="Arial" w:cs="Arial" w:eastAsia="Arial" w:hAnsi="Arial"/>
          <w:sz w:val="20"/>
          <w:szCs w:val="20"/>
          <w:color w:val="auto"/>
        </w:rPr>
      </w:pPr>
    </w:p>
    <w:p>
      <w:pPr>
        <w:ind w:left="860" w:right="100" w:hanging="255"/>
        <w:spacing w:after="0" w:line="261"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53" w:lineRule="exact"/>
        <w:rPr>
          <w:rFonts w:ascii="Arial" w:cs="Arial" w:eastAsia="Arial" w:hAnsi="Arial"/>
          <w:sz w:val="20"/>
          <w:szCs w:val="20"/>
          <w:color w:val="auto"/>
        </w:rPr>
      </w:pPr>
    </w:p>
    <w:p>
      <w:pPr>
        <w:ind w:left="860" w:right="160" w:hanging="255"/>
        <w:spacing w:after="0" w:line="254"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Declines in international student enrollment. Global conflict and restrictions on immigration or increased limitation on the award of student visas (such as those recently announced in Canada and Australia) can negatively impact the cross-border education industry and schools that rely on foreign student populations, will be negatively affected or may cease operations.</w:t>
      </w:r>
    </w:p>
    <w:p>
      <w:pPr>
        <w:sectPr>
          <w:pgSz w:w="12240" w:h="15840" w:orient="portrait"/>
          <w:cols w:equalWidth="0" w:num="1">
            <w:col w:w="10760"/>
          </w:cols>
          <w:pgMar w:left="720" w:top="1160" w:right="760" w:bottom="175"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10760"/>
          </w:cols>
          <w:pgMar w:left="720" w:top="1160" w:right="760" w:bottom="175" w:gutter="0" w:footer="0" w:header="0"/>
          <w:type w:val="continuous"/>
        </w:sectPr>
      </w:pPr>
    </w:p>
    <w:bookmarkStart w:id="40" w:name="page41"/>
    <w:bookmarkEnd w:id="40"/>
    <w:p>
      <w:pPr>
        <w:ind w:left="860" w:right="60" w:hanging="255"/>
        <w:spacing w:after="0" w:line="261" w:lineRule="auto"/>
        <w:tabs>
          <w:tab w:leader="none" w:pos="8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40"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 More recently, the Canadian government announced it will set a cap on international student permit applications for the years 2024 and 2025, motivated in part by housing shortages. This could adversely impact our business, operating results, and financial condition.</w:t>
      </w:r>
    </w:p>
    <w:p>
      <w:pPr>
        <w:spacing w:after="0" w:line="15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56"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27"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57"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6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3" w:lineRule="exact"/>
        <w:rPr>
          <w:sz w:val="20"/>
          <w:szCs w:val="20"/>
          <w:color w:val="auto"/>
        </w:rPr>
      </w:pPr>
    </w:p>
    <w:p>
      <w:pPr>
        <w:ind w:right="560" w:firstLine="490"/>
        <w:spacing w:after="0" w:line="282" w:lineRule="auto"/>
        <w:rPr>
          <w:sz w:val="20"/>
          <w:szCs w:val="20"/>
          <w:color w:val="auto"/>
        </w:rPr>
      </w:pPr>
      <w:r>
        <w:rPr>
          <w:rFonts w:ascii="Arial" w:cs="Arial" w:eastAsia="Arial" w:hAnsi="Arial"/>
          <w:sz w:val="20"/>
          <w:szCs w:val="20"/>
          <w:color w:val="auto"/>
        </w:rPr>
        <w:t>We believe demand for our payment solutions in the healthcare industry has been driven in large part by more patient responsibility for out-of-pocket spend, a trend towards higher deductibles for health care services, increased</w:t>
      </w:r>
    </w:p>
    <w:p>
      <w:pPr>
        <w:sectPr>
          <w:pgSz w:w="12240" w:h="15840" w:orient="portrait"/>
          <w:cols w:equalWidth="0" w:num="1">
            <w:col w:w="10780"/>
          </w:cols>
          <w:pgMar w:left="720" w:top="1174" w:right="740" w:bottom="175"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10780"/>
          </w:cols>
          <w:pgMar w:left="720" w:top="1174" w:right="740" w:bottom="175" w:gutter="0" w:footer="0" w:header="0"/>
          <w:type w:val="continuous"/>
        </w:sectPr>
      </w:pPr>
    </w:p>
    <w:bookmarkStart w:id="41" w:name="page42"/>
    <w:bookmarkEnd w:id="41"/>
    <w:p>
      <w:pPr>
        <w:ind w:right="100"/>
        <w:spacing w:after="0" w:line="246" w:lineRule="auto"/>
        <w:rPr>
          <w:sz w:val="20"/>
          <w:szCs w:val="20"/>
          <w:color w:val="auto"/>
        </w:rPr>
      </w:pPr>
      <w:r>
        <w:rPr>
          <w:rFonts w:ascii="Arial" w:cs="Arial" w:eastAsia="Arial" w:hAnsi="Arial"/>
          <w:sz w:val="20"/>
          <w:szCs w:val="20"/>
          <w:color w:val="auto"/>
        </w:rPr>
        <w:t>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54"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6"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70" w:lineRule="exact"/>
        <w:rPr>
          <w:sz w:val="20"/>
          <w:szCs w:val="20"/>
          <w:color w:val="auto"/>
        </w:rPr>
      </w:pPr>
    </w:p>
    <w:p>
      <w:pPr>
        <w:ind w:right="720" w:firstLine="5"/>
        <w:spacing w:after="0" w:line="289" w:lineRule="auto"/>
        <w:rPr>
          <w:sz w:val="20"/>
          <w:szCs w:val="20"/>
          <w:color w:val="auto"/>
        </w:rPr>
      </w:pPr>
      <w:r>
        <w:rPr>
          <w:rFonts w:ascii="Arial" w:cs="Arial" w:eastAsia="Arial" w:hAnsi="Arial"/>
          <w:sz w:val="20"/>
          <w:szCs w:val="20"/>
          <w:b w:val="1"/>
          <w:bCs w:val="1"/>
          <w:i w:val="1"/>
          <w:iCs w:val="1"/>
          <w:color w:val="auto"/>
        </w:rPr>
        <w:t>Our business serving clients in the travel sector may be sensitive to events affecting the travel industry in general.</w:t>
      </w:r>
    </w:p>
    <w:p>
      <w:pPr>
        <w:spacing w:after="0" w:line="102" w:lineRule="exact"/>
        <w:rPr>
          <w:sz w:val="20"/>
          <w:szCs w:val="20"/>
          <w:color w:val="auto"/>
        </w:rPr>
      </w:pPr>
    </w:p>
    <w:p>
      <w:pPr>
        <w:ind w:right="60" w:firstLine="490"/>
        <w:spacing w:after="0" w:line="242" w:lineRule="auto"/>
        <w:rPr>
          <w:sz w:val="20"/>
          <w:szCs w:val="20"/>
          <w:color w:val="auto"/>
        </w:rPr>
      </w:pPr>
      <w:r>
        <w:rPr>
          <w:rFonts w:ascii="Arial" w:cs="Arial" w:eastAsia="Arial" w:hAnsi="Arial"/>
          <w:sz w:val="20"/>
          <w:szCs w:val="20"/>
          <w:color w:val="auto"/>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62" w:lineRule="exact"/>
        <w:rPr>
          <w:sz w:val="20"/>
          <w:szCs w:val="20"/>
          <w:color w:val="auto"/>
        </w:rPr>
      </w:pPr>
    </w:p>
    <w:p>
      <w:pPr>
        <w:ind w:right="40" w:firstLine="490"/>
        <w:spacing w:after="0" w:line="262" w:lineRule="auto"/>
        <w:rPr>
          <w:sz w:val="20"/>
          <w:szCs w:val="20"/>
          <w:color w:val="auto"/>
        </w:rPr>
      </w:pPr>
      <w:r>
        <w:rPr>
          <w:rFonts w:ascii="Arial" w:cs="Arial" w:eastAsia="Arial" w:hAnsi="Arial"/>
          <w:sz w:val="19"/>
          <w:szCs w:val="19"/>
          <w:color w:val="auto"/>
        </w:rPr>
        <w:t>With respect to the COVID-19 pandemic specifically, our 2020 financial results related to serving our existing travel clients and growing our client base in the travel sector were negatively impacted. During the years ended December 31, 2021, 2022 and 2023, we witnessed recoveries in our financial results and growth in revenue and payment volumes in our travel payment vertical. While improvements have been noted, sustaining this trend will in part be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10800"/>
          </w:cols>
          <w:pgMar w:left="720" w:top="1160" w:right="720" w:bottom="175" w:gutter="0" w:footer="0" w:header="0"/>
          <w:type w:val="continuous"/>
        </w:sectPr>
      </w:pPr>
    </w:p>
    <w:bookmarkStart w:id="42" w:name="page43"/>
    <w:bookmarkEnd w:id="42"/>
    <w:p>
      <w:pPr>
        <w:ind w:right="140"/>
        <w:spacing w:after="0" w:line="264" w:lineRule="auto"/>
        <w:rPr>
          <w:sz w:val="20"/>
          <w:szCs w:val="20"/>
          <w:color w:val="auto"/>
        </w:rPr>
      </w:pPr>
      <w:r>
        <w:rPr>
          <w:rFonts w:ascii="Arial" w:cs="Arial" w:eastAsia="Arial" w:hAnsi="Arial"/>
          <w:sz w:val="20"/>
          <w:szCs w:val="20"/>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27"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63" w:lineRule="exact"/>
        <w:rPr>
          <w:sz w:val="20"/>
          <w:szCs w:val="20"/>
          <w:color w:val="auto"/>
        </w:rPr>
      </w:pPr>
    </w:p>
    <w:p>
      <w:pPr>
        <w:ind w:right="320" w:firstLine="490"/>
        <w:spacing w:after="0" w:line="254" w:lineRule="auto"/>
        <w:rPr>
          <w:sz w:val="20"/>
          <w:szCs w:val="20"/>
          <w:color w:val="auto"/>
        </w:rPr>
      </w:pPr>
      <w:r>
        <w:rPr>
          <w:rFonts w:ascii="Arial" w:cs="Arial" w:eastAsia="Arial" w:hAnsi="Arial"/>
          <w:sz w:val="20"/>
          <w:szCs w:val="20"/>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46"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61" w:lineRule="exact"/>
        <w:rPr>
          <w:sz w:val="20"/>
          <w:szCs w:val="20"/>
          <w:color w:val="auto"/>
        </w:rPr>
      </w:pPr>
    </w:p>
    <w:p>
      <w:pPr>
        <w:ind w:right="440"/>
        <w:spacing w:after="0" w:line="289" w:lineRule="auto"/>
        <w:rPr>
          <w:sz w:val="20"/>
          <w:szCs w:val="20"/>
          <w:color w:val="auto"/>
        </w:rPr>
      </w:pPr>
      <w:r>
        <w:rPr>
          <w:rFonts w:ascii="Arial" w:cs="Arial" w:eastAsia="Arial" w:hAnsi="Arial"/>
          <w:sz w:val="20"/>
          <w:szCs w:val="20"/>
          <w:b w:val="1"/>
          <w:bCs w:val="1"/>
          <w:i w:val="1"/>
          <w:iCs w:val="1"/>
          <w:color w:val="auto"/>
        </w:rPr>
        <w:t>Consolidation in the payment processing or enablement industry could have a material adverse effect on our business, financial condition and results of operations.</w:t>
      </w:r>
    </w:p>
    <w:p>
      <w:pPr>
        <w:spacing w:after="0" w:line="102"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adversely affected by global economic and political instability.</w:t>
      </w:r>
    </w:p>
    <w:p>
      <w:pPr>
        <w:spacing w:after="0" w:line="19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United States-China and Canada-India diplomatic and trade friction,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w:t>
      </w:r>
    </w:p>
    <w:p>
      <w:pPr>
        <w:sectPr>
          <w:pgSz w:w="12240" w:h="15840" w:orient="portrait"/>
          <w:cols w:equalWidth="0" w:num="1">
            <w:col w:w="10800"/>
          </w:cols>
          <w:pgMar w:left="720" w:top="1164" w:right="720" w:bottom="175"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10800"/>
          </w:cols>
          <w:pgMar w:left="720" w:top="1164" w:right="720" w:bottom="175" w:gutter="0" w:footer="0" w:header="0"/>
          <w:type w:val="continuous"/>
        </w:sectPr>
      </w:pPr>
    </w:p>
    <w:bookmarkStart w:id="43" w:name="page44"/>
    <w:bookmarkEnd w:id="43"/>
    <w:p>
      <w:pPr>
        <w:ind w:right="240"/>
        <w:spacing w:after="0" w:line="282" w:lineRule="auto"/>
        <w:rPr>
          <w:sz w:val="20"/>
          <w:szCs w:val="20"/>
          <w:color w:val="auto"/>
        </w:rPr>
      </w:pPr>
      <w:r>
        <w:rPr>
          <w:rFonts w:ascii="Arial" w:cs="Arial" w:eastAsia="Arial" w:hAnsi="Arial"/>
          <w:sz w:val="20"/>
          <w:szCs w:val="20"/>
          <w:color w:val="auto"/>
        </w:rPr>
        <w:t>restructure or reorganize certain portions of our operations in order to align our business with market conditions and our strategies, any of which can result in near term expense and harm to our growth prospects.</w:t>
      </w:r>
    </w:p>
    <w:p>
      <w:pPr>
        <w:spacing w:after="0" w:line="12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6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spacing w:after="0" w:line="160"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In addition, political instability or adverse political developments and new or continued economic deterioration in any of the countries in which we operate could harm our business, results of operations and financial condition.</w:t>
      </w:r>
    </w:p>
    <w:p>
      <w:pPr>
        <w:spacing w:after="0" w:line="120"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auto"/>
        </w:rPr>
        <w:t>Inflation and interest rate increases have and may in the future result in decreased demand for our solutions, increases in our operating costs including our labor costs, constrained credit and liquidity, and volatility in financial markets and the banking ecosystem. During 2023, the United States Federal Reserve raised, and may in the future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 In addition, 2024 is a presidential election year in the U.S., and political conditions may contribute to economic uncertainty or volatility, irrespective of electoral outcomes, which could adversely affect our business, results of operations and financial condition.</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b w:val="1"/>
          <w:bCs w:val="1"/>
          <w:i w:val="1"/>
          <w:iCs w:val="1"/>
          <w:color w:val="auto"/>
        </w:rPr>
        <w:t>We have an office in Tel Aviv, Israel. Conditions in Israel, including the recent attack by Hamas and other terrorist organizations from the Gaza Strip and Israel’s war against them, may affect our operations.</w:t>
      </w:r>
    </w:p>
    <w:p>
      <w:pPr>
        <w:spacing w:after="0" w:line="102"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Because we have an office in Tel Aviv, Israel, our business and operations are directly affected by economic, political, geopolitical and military conditions in Israel. 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52"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On October 7,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and has resulted in extensive deaths, injuries and kidnapping of civilians and soldiers. Moreover, the clash between Israel and Hezbollah in Lebanon, may escalate in the future into a greater regional conflict.</w:t>
      </w:r>
    </w:p>
    <w:p>
      <w:pPr>
        <w:sectPr>
          <w:pgSz w:w="12240" w:h="15840" w:orient="portrait"/>
          <w:cols w:equalWidth="0" w:num="1">
            <w:col w:w="10800"/>
          </w:cols>
          <w:pgMar w:left="720" w:top="1160" w:right="720" w:bottom="175"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10800"/>
          </w:cols>
          <w:pgMar w:left="720" w:top="1160" w:right="720" w:bottom="175" w:gutter="0" w:footer="0" w:header="0"/>
          <w:type w:val="continuous"/>
        </w:sectPr>
      </w:pPr>
    </w:p>
    <w:bookmarkStart w:id="44" w:name="page45"/>
    <w:bookmarkEnd w:id="44"/>
    <w:p>
      <w:pPr>
        <w:ind w:right="20" w:firstLine="490"/>
        <w:spacing w:after="0" w:line="261" w:lineRule="auto"/>
        <w:rPr>
          <w:sz w:val="20"/>
          <w:szCs w:val="20"/>
          <w:color w:val="auto"/>
        </w:rPr>
      </w:pPr>
      <w:r>
        <w:rPr>
          <w:rFonts w:ascii="Arial" w:cs="Arial" w:eastAsia="Arial" w:hAnsi="Arial"/>
          <w:sz w:val="20"/>
          <w:szCs w:val="20"/>
          <w:color w:val="auto"/>
        </w:rPr>
        <w:t>Although we currently do not expect the ongoing conflict to materially affect our business, financial condition and results of operations, there can be no assurances that further unforeseen events will not have a material adverse effect on our business, financial condition and results of operations in the future.</w:t>
      </w:r>
    </w:p>
    <w:p>
      <w:pPr>
        <w:spacing w:after="0" w:line="140" w:lineRule="exact"/>
        <w:rPr>
          <w:sz w:val="20"/>
          <w:szCs w:val="20"/>
          <w:color w:val="auto"/>
        </w:rPr>
      </w:pPr>
    </w:p>
    <w:p>
      <w:pPr>
        <w:ind w:right="220" w:firstLine="490"/>
        <w:spacing w:after="0" w:line="248" w:lineRule="auto"/>
        <w:rPr>
          <w:sz w:val="20"/>
          <w:szCs w:val="20"/>
          <w:color w:val="auto"/>
        </w:rPr>
      </w:pPr>
      <w:r>
        <w:rPr>
          <w:rFonts w:ascii="Arial" w:cs="Arial" w:eastAsia="Arial" w:hAnsi="Arial"/>
          <w:sz w:val="20"/>
          <w:szCs w:val="20"/>
          <w:color w:val="auto"/>
        </w:rPr>
        <w:t>The Israel Defense Force (IDF), the national military of Israel, is a conscripted military service, subject to certain exceptions. Since October 7, 2023,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54" w:lineRule="exact"/>
        <w:rPr>
          <w:sz w:val="20"/>
          <w:szCs w:val="20"/>
          <w:color w:val="auto"/>
        </w:rPr>
      </w:pPr>
    </w:p>
    <w:p>
      <w:pPr>
        <w:ind w:right="480" w:firstLine="490"/>
        <w:spacing w:after="0" w:line="261" w:lineRule="auto"/>
        <w:rPr>
          <w:sz w:val="20"/>
          <w:szCs w:val="20"/>
          <w:color w:val="auto"/>
        </w:rPr>
      </w:pPr>
      <w:r>
        <w:rPr>
          <w:rFonts w:ascii="Arial" w:cs="Arial" w:eastAsia="Arial" w:hAnsi="Arial"/>
          <w:sz w:val="20"/>
          <w:szCs w:val="20"/>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40"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It is currently not possible to predict the duration or severity of the ongoing conflict or its effects on our business, operations and financial conditions. The ongoing conflict is rapidly evolving and developing, and could disrupt our business and operations, interrupt our sources and availability of supply and hamper our ability to raise additional funds or sell our securities, among others.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Operations</w:t>
      </w:r>
    </w:p>
    <w:p>
      <w:pPr>
        <w:spacing w:after="0" w:line="208"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We may not be able to scale our business quickly enough to meet our growing client base, and if we are not able to grow efficiently, our operating results could be harmed.</w:t>
      </w:r>
    </w:p>
    <w:p>
      <w:pPr>
        <w:spacing w:after="0" w:line="102" w:lineRule="exact"/>
        <w:rPr>
          <w:sz w:val="20"/>
          <w:szCs w:val="20"/>
          <w:color w:val="auto"/>
        </w:rPr>
      </w:pPr>
    </w:p>
    <w:p>
      <w:pPr>
        <w:ind w:right="300" w:firstLine="490"/>
        <w:spacing w:after="0" w:line="250" w:lineRule="auto"/>
        <w:rPr>
          <w:sz w:val="20"/>
          <w:szCs w:val="20"/>
          <w:color w:val="auto"/>
        </w:rPr>
      </w:pPr>
      <w:r>
        <w:rPr>
          <w:rFonts w:ascii="Arial" w:cs="Arial" w:eastAsia="Arial" w:hAnsi="Arial"/>
          <w:sz w:val="20"/>
          <w:szCs w:val="20"/>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52" w:lineRule="exact"/>
        <w:rPr>
          <w:sz w:val="20"/>
          <w:szCs w:val="20"/>
          <w:color w:val="auto"/>
        </w:rPr>
      </w:pPr>
    </w:p>
    <w:p>
      <w:pPr>
        <w:ind w:right="160" w:firstLine="490"/>
        <w:spacing w:after="0" w:line="244" w:lineRule="auto"/>
        <w:rPr>
          <w:sz w:val="20"/>
          <w:szCs w:val="20"/>
          <w:color w:val="auto"/>
        </w:rPr>
      </w:pPr>
      <w:r>
        <w:rPr>
          <w:rFonts w:ascii="Arial" w:cs="Arial" w:eastAsia="Arial" w:hAnsi="Arial"/>
          <w:sz w:val="20"/>
          <w:szCs w:val="20"/>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66" w:lineRule="exact"/>
        <w:rPr>
          <w:sz w:val="20"/>
          <w:szCs w:val="20"/>
          <w:color w:val="auto"/>
        </w:rPr>
      </w:pPr>
    </w:p>
    <w:p>
      <w:pPr>
        <w:jc w:val="both"/>
        <w:ind w:right="400"/>
        <w:spacing w:after="0" w:line="264" w:lineRule="auto"/>
        <w:rPr>
          <w:sz w:val="20"/>
          <w:szCs w:val="20"/>
          <w:color w:val="auto"/>
        </w:rPr>
      </w:pPr>
      <w:r>
        <w:rPr>
          <w:rFonts w:ascii="Arial" w:cs="Arial" w:eastAsia="Arial" w:hAnsi="Arial"/>
          <w:sz w:val="20"/>
          <w:szCs w:val="20"/>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27"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For the year ended December 31, 2023, we processed over $24.0 billion in payments on our solutions, compared to approximately $18.1 billion for the year ended December 31, 2022, and approximately $13.2 billion for the year ended December 31, 2021.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we are unable to collect on the chargeback and will bear the economic loss, which can negatively impact our business.</w:t>
      </w:r>
    </w:p>
    <w:p>
      <w:pPr>
        <w:sectPr>
          <w:pgSz w:w="12240" w:h="15840" w:orient="portrait"/>
          <w:cols w:equalWidth="0" w:num="1">
            <w:col w:w="10800"/>
          </w:cols>
          <w:pgMar w:left="720" w:top="1160" w:right="720" w:bottom="175"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10800"/>
          </w:cols>
          <w:pgMar w:left="720" w:top="1160" w:right="720" w:bottom="175" w:gutter="0" w:footer="0" w:header="0"/>
          <w:type w:val="continuous"/>
        </w:sectPr>
      </w:pPr>
    </w:p>
    <w:bookmarkStart w:id="45" w:name="page46"/>
    <w:bookmarkEnd w:id="45"/>
    <w:p>
      <w:pPr>
        <w:ind w:right="140" w:firstLine="490"/>
        <w:spacing w:after="0" w:line="250" w:lineRule="auto"/>
        <w:rPr>
          <w:sz w:val="20"/>
          <w:szCs w:val="20"/>
          <w:color w:val="auto"/>
        </w:rPr>
      </w:pPr>
      <w:r>
        <w:rPr>
          <w:rFonts w:ascii="Arial" w:cs="Arial" w:eastAsia="Arial" w:hAnsi="Arial"/>
          <w:sz w:val="20"/>
          <w:szCs w:val="20"/>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66" w:lineRule="exact"/>
        <w:rPr>
          <w:sz w:val="20"/>
          <w:szCs w:val="20"/>
          <w:color w:val="auto"/>
        </w:rPr>
      </w:pPr>
    </w:p>
    <w:p>
      <w:pPr>
        <w:ind w:left="860" w:hanging="255"/>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loss of clients or a reduction in use of our solutions by our clients’ customers;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lost or delayed market acceptance and acquisition of new clients;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legal claims against us;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regulatory enforcement action; or</w:t>
      </w:r>
    </w:p>
    <w:p>
      <w:pPr>
        <w:spacing w:after="0" w:line="213" w:lineRule="exact"/>
        <w:rPr>
          <w:rFonts w:ascii="Arial" w:cs="Arial" w:eastAsia="Arial" w:hAnsi="Arial"/>
          <w:sz w:val="20"/>
          <w:szCs w:val="20"/>
          <w:color w:val="auto"/>
        </w:rPr>
      </w:pPr>
    </w:p>
    <w:p>
      <w:pPr>
        <w:ind w:left="860" w:right="840" w:hanging="255"/>
        <w:spacing w:after="0" w:line="282" w:lineRule="auto"/>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diversion of our resources, including through increased service expenses or financial concessions, and increased insurance costs.</w:t>
      </w:r>
    </w:p>
    <w:p>
      <w:pPr>
        <w:spacing w:after="0" w:line="120" w:lineRule="exact"/>
        <w:rPr>
          <w:sz w:val="20"/>
          <w:szCs w:val="20"/>
          <w:color w:val="auto"/>
        </w:rPr>
      </w:pPr>
    </w:p>
    <w:p>
      <w:pPr>
        <w:ind w:right="180" w:firstLine="490"/>
        <w:spacing w:after="0" w:line="261" w:lineRule="auto"/>
        <w:rPr>
          <w:sz w:val="20"/>
          <w:szCs w:val="20"/>
          <w:color w:val="auto"/>
        </w:rPr>
      </w:pPr>
      <w:r>
        <w:rPr>
          <w:rFonts w:ascii="Arial" w:cs="Arial" w:eastAsia="Arial" w:hAnsi="Arial"/>
          <w:sz w:val="20"/>
          <w:szCs w:val="20"/>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4"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b w:val="1"/>
          <w:bCs w:val="1"/>
          <w:i w:val="1"/>
          <w:iCs w:val="1"/>
          <w:color w:val="auto"/>
        </w:rPr>
        <w:t>Our management of our operating funds and client funds may be reliant on a limited number of our banking partners and other financial institutions.</w:t>
      </w:r>
    </w:p>
    <w:p>
      <w:pPr>
        <w:spacing w:after="0" w:line="102"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62"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Volatility in the banking and financial services ecosystems may impact our bank partnerships and relationships, which could adversely affect our operations and liquidity.</w:t>
      </w:r>
    </w:p>
    <w:p>
      <w:pPr>
        <w:spacing w:after="0" w:line="102" w:lineRule="exact"/>
        <w:rPr>
          <w:sz w:val="20"/>
          <w:szCs w:val="20"/>
          <w:color w:val="auto"/>
        </w:rPr>
      </w:pPr>
    </w:p>
    <w:p>
      <w:pPr>
        <w:ind w:right="340" w:firstLine="490"/>
        <w:spacing w:after="0" w:line="250" w:lineRule="auto"/>
        <w:rPr>
          <w:sz w:val="20"/>
          <w:szCs w:val="20"/>
          <w:color w:val="auto"/>
        </w:rPr>
      </w:pPr>
      <w:r>
        <w:rPr>
          <w:rFonts w:ascii="Arial" w:cs="Arial" w:eastAsia="Arial" w:hAnsi="Arial"/>
          <w:sz w:val="20"/>
          <w:szCs w:val="20"/>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5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66" w:lineRule="exact"/>
        <w:rPr>
          <w:sz w:val="20"/>
          <w:szCs w:val="20"/>
          <w:color w:val="auto"/>
        </w:rPr>
      </w:pPr>
    </w:p>
    <w:p>
      <w:pPr>
        <w:ind w:right="480" w:firstLine="490"/>
        <w:spacing w:after="0" w:line="310" w:lineRule="auto"/>
        <w:rPr>
          <w:sz w:val="20"/>
          <w:szCs w:val="20"/>
          <w:color w:val="auto"/>
        </w:rPr>
      </w:pPr>
      <w:r>
        <w:rPr>
          <w:rFonts w:ascii="Arial" w:cs="Arial" w:eastAsia="Arial" w:hAnsi="Arial"/>
          <w:sz w:val="19"/>
          <w:szCs w:val="19"/>
          <w:color w:val="auto"/>
        </w:rPr>
        <w:t>In addition, investor concerns regarding the U.S. or international financial systems could result in less favorable commercial financing terms, including higher interest rates or costs and tighter financial and operating covenants, or</w:t>
      </w:r>
    </w:p>
    <w:p>
      <w:pPr>
        <w:sectPr>
          <w:pgSz w:w="12240" w:h="15840" w:orient="portrait"/>
          <w:cols w:equalWidth="0" w:num="1">
            <w:col w:w="10780"/>
          </w:cols>
          <w:pgMar w:left="720" w:top="1160" w:right="740" w:bottom="175"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10780"/>
          </w:cols>
          <w:pgMar w:left="720" w:top="1160" w:right="740" w:bottom="175" w:gutter="0" w:footer="0" w:header="0"/>
          <w:type w:val="continuous"/>
        </w:sectPr>
      </w:pPr>
    </w:p>
    <w:bookmarkStart w:id="46" w:name="page47"/>
    <w:bookmarkEnd w:id="46"/>
    <w:p>
      <w:pPr>
        <w:ind w:right="40"/>
        <w:spacing w:after="0" w:line="250" w:lineRule="auto"/>
        <w:rPr>
          <w:sz w:val="20"/>
          <w:szCs w:val="20"/>
          <w:color w:val="auto"/>
        </w:rPr>
      </w:pPr>
      <w:r>
        <w:rPr>
          <w:rFonts w:ascii="Arial" w:cs="Arial" w:eastAsia="Arial" w:hAnsi="Arial"/>
          <w:sz w:val="20"/>
          <w:szCs w:val="20"/>
          <w:color w:val="auto"/>
        </w:rPr>
        <w:t>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27"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54" w:lineRule="exact"/>
        <w:rPr>
          <w:sz w:val="20"/>
          <w:szCs w:val="20"/>
          <w:color w:val="auto"/>
        </w:rPr>
      </w:pPr>
    </w:p>
    <w:p>
      <w:pPr>
        <w:ind w:right="180" w:firstLine="490"/>
        <w:spacing w:after="0" w:line="254" w:lineRule="auto"/>
        <w:rPr>
          <w:sz w:val="20"/>
          <w:szCs w:val="20"/>
          <w:color w:val="auto"/>
        </w:rPr>
      </w:pPr>
      <w:r>
        <w:rPr>
          <w:rFonts w:ascii="Arial" w:cs="Arial" w:eastAsia="Arial" w:hAnsi="Arial"/>
          <w:sz w:val="20"/>
          <w:szCs w:val="20"/>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46"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61"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27"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54"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66" w:lineRule="exact"/>
        <w:rPr>
          <w:sz w:val="20"/>
          <w:szCs w:val="20"/>
          <w:color w:val="auto"/>
        </w:rPr>
      </w:pPr>
    </w:p>
    <w:p>
      <w:pPr>
        <w:ind w:right="20" w:firstLine="490"/>
        <w:spacing w:after="0" w:line="282" w:lineRule="auto"/>
        <w:rPr>
          <w:sz w:val="20"/>
          <w:szCs w:val="20"/>
          <w:color w:val="auto"/>
        </w:rPr>
      </w:pPr>
      <w:r>
        <w:rPr>
          <w:rFonts w:ascii="Arial" w:cs="Arial" w:eastAsia="Arial" w:hAnsi="Arial"/>
          <w:sz w:val="20"/>
          <w:szCs w:val="20"/>
          <w:color w:val="auto"/>
        </w:rPr>
        <w:t>Similarly, there are existing regulatory regimes designed to protect the privacy of categories of personal or otherwise sensitive data. Relevant U.S. federal privacy laws include the FERPA, the Gramm-Leach-Bliley Act (GLBA), and HIPAA.</w:t>
      </w:r>
    </w:p>
    <w:p>
      <w:pPr>
        <w:sectPr>
          <w:pgSz w:w="12240" w:h="15840" w:orient="portrait"/>
          <w:cols w:equalWidth="0" w:num="1">
            <w:col w:w="10800"/>
          </w:cols>
          <w:pgMar w:left="720" w:top="1160" w:right="720" w:bottom="175" w:gutter="0" w:footer="0" w:header="0"/>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10800"/>
          </w:cols>
          <w:pgMar w:left="720" w:top="1160" w:right="720" w:bottom="175" w:gutter="0" w:footer="0" w:header="0"/>
          <w:type w:val="continuous"/>
        </w:sectPr>
      </w:pPr>
    </w:p>
    <w:bookmarkStart w:id="47" w:name="page48"/>
    <w:bookmarkEnd w:id="47"/>
    <w:p>
      <w:pPr>
        <w:spacing w:after="0" w:line="243" w:lineRule="auto"/>
        <w:rPr>
          <w:sz w:val="20"/>
          <w:szCs w:val="20"/>
          <w:color w:val="auto"/>
        </w:rPr>
      </w:pPr>
      <w:r>
        <w:rPr>
          <w:rFonts w:ascii="Arial" w:cs="Arial" w:eastAsia="Arial" w:hAnsi="Arial"/>
          <w:sz w:val="20"/>
          <w:szCs w:val="20"/>
          <w:color w:val="auto"/>
        </w:rPr>
        <w:t>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63"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66" w:lineRule="exact"/>
        <w:rPr>
          <w:sz w:val="20"/>
          <w:szCs w:val="20"/>
          <w:color w:val="auto"/>
        </w:rPr>
      </w:pPr>
    </w:p>
    <w:p>
      <w:pPr>
        <w:ind w:right="80" w:firstLine="490"/>
        <w:spacing w:after="0" w:line="243" w:lineRule="auto"/>
        <w:rPr>
          <w:sz w:val="20"/>
          <w:szCs w:val="20"/>
          <w:color w:val="auto"/>
        </w:rPr>
      </w:pPr>
      <w:r>
        <w:rPr>
          <w:rFonts w:ascii="Arial" w:cs="Arial" w:eastAsia="Arial" w:hAnsi="Arial"/>
          <w:sz w:val="20"/>
          <w:szCs w:val="20"/>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3" w:lineRule="exact"/>
        <w:rPr>
          <w:sz w:val="20"/>
          <w:szCs w:val="20"/>
          <w:color w:val="auto"/>
        </w:rPr>
      </w:pPr>
    </w:p>
    <w:p>
      <w:pPr>
        <w:ind w:right="180" w:firstLine="490"/>
        <w:spacing w:after="0" w:line="250" w:lineRule="auto"/>
        <w:rPr>
          <w:sz w:val="20"/>
          <w:szCs w:val="20"/>
          <w:color w:val="auto"/>
        </w:rPr>
      </w:pPr>
      <w:r>
        <w:rPr>
          <w:rFonts w:ascii="Arial" w:cs="Arial" w:eastAsia="Arial" w:hAnsi="Arial"/>
          <w:sz w:val="20"/>
          <w:szCs w:val="20"/>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the scope of the attack is still undetermined. Therefore, there is residual risk that we could experience a security breach arising from the SolarWinds supply chain attack.</w:t>
      </w:r>
    </w:p>
    <w:p>
      <w:pPr>
        <w:spacing w:after="0" w:line="152" w:lineRule="exact"/>
        <w:rPr>
          <w:sz w:val="20"/>
          <w:szCs w:val="20"/>
          <w:color w:val="auto"/>
        </w:rPr>
      </w:pPr>
    </w:p>
    <w:p>
      <w:pPr>
        <w:ind w:firstLine="490"/>
        <w:spacing w:after="0" w:line="257" w:lineRule="auto"/>
        <w:rPr>
          <w:sz w:val="20"/>
          <w:szCs w:val="20"/>
          <w:color w:val="auto"/>
        </w:rPr>
      </w:pPr>
      <w:r>
        <w:rPr>
          <w:rFonts w:ascii="Arial" w:cs="Arial" w:eastAsia="Arial" w:hAnsi="Arial"/>
          <w:sz w:val="19"/>
          <w:szCs w:val="19"/>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w:t>
      </w:r>
    </w:p>
    <w:p>
      <w:pPr>
        <w:sectPr>
          <w:pgSz w:w="12240" w:h="15840" w:orient="portrait"/>
          <w:cols w:equalWidth="0" w:num="1">
            <w:col w:w="10780"/>
          </w:cols>
          <w:pgMar w:left="720" w:top="1160" w:right="740" w:bottom="175"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10780"/>
          </w:cols>
          <w:pgMar w:left="720" w:top="1160" w:right="740" w:bottom="175" w:gutter="0" w:footer="0" w:header="0"/>
          <w:type w:val="continuous"/>
        </w:sectPr>
      </w:pPr>
    </w:p>
    <w:bookmarkStart w:id="48" w:name="page49"/>
    <w:bookmarkEnd w:id="48"/>
    <w:p>
      <w:pPr>
        <w:ind w:right="20"/>
        <w:spacing w:after="0" w:line="243" w:lineRule="auto"/>
        <w:rPr>
          <w:sz w:val="20"/>
          <w:szCs w:val="20"/>
          <w:color w:val="auto"/>
        </w:rPr>
      </w:pPr>
      <w:r>
        <w:rPr>
          <w:rFonts w:ascii="Arial" w:cs="Arial" w:eastAsia="Arial" w:hAnsi="Arial"/>
          <w:sz w:val="20"/>
          <w:szCs w:val="20"/>
          <w:color w:val="auto"/>
        </w:rPr>
        <w:t>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16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62"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Cyberattacks and security vulnerabilities can disrupt our business and harm our competitive position.</w:t>
      </w:r>
    </w:p>
    <w:p>
      <w:pPr>
        <w:spacing w:after="0" w:line="196" w:lineRule="exact"/>
        <w:rPr>
          <w:sz w:val="20"/>
          <w:szCs w:val="20"/>
          <w:color w:val="auto"/>
        </w:rPr>
      </w:pPr>
    </w:p>
    <w:p>
      <w:pPr>
        <w:ind w:right="20" w:firstLine="490"/>
        <w:spacing w:after="0" w:line="255" w:lineRule="auto"/>
        <w:rPr>
          <w:sz w:val="20"/>
          <w:szCs w:val="20"/>
          <w:color w:val="auto"/>
        </w:rPr>
      </w:pPr>
      <w:r>
        <w:rPr>
          <w:rFonts w:ascii="Arial" w:cs="Arial" w:eastAsia="Arial" w:hAnsi="Arial"/>
          <w:sz w:val="19"/>
          <w:szCs w:val="19"/>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9" w:lineRule="exact"/>
        <w:rPr>
          <w:sz w:val="20"/>
          <w:szCs w:val="20"/>
          <w:color w:val="auto"/>
        </w:rPr>
      </w:pPr>
    </w:p>
    <w:p>
      <w:pPr>
        <w:ind w:right="200" w:firstLine="490"/>
        <w:spacing w:after="0" w:line="248" w:lineRule="auto"/>
        <w:rPr>
          <w:sz w:val="20"/>
          <w:szCs w:val="20"/>
          <w:color w:val="auto"/>
        </w:rPr>
      </w:pPr>
      <w:r>
        <w:rPr>
          <w:rFonts w:ascii="Arial" w:cs="Arial" w:eastAsia="Arial" w:hAnsi="Arial"/>
          <w:sz w:val="20"/>
          <w:szCs w:val="20"/>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w:t>
      </w:r>
    </w:p>
    <w:p>
      <w:pPr>
        <w:sectPr>
          <w:pgSz w:w="12240" w:h="15840" w:orient="portrait"/>
          <w:cols w:equalWidth="0" w:num="1">
            <w:col w:w="10800"/>
          </w:cols>
          <w:pgMar w:left="720" w:top="1160" w:right="720" w:bottom="17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10800"/>
          </w:cols>
          <w:pgMar w:left="720" w:top="1160" w:right="720" w:bottom="175" w:gutter="0" w:footer="0" w:header="0"/>
          <w:type w:val="continuous"/>
        </w:sectPr>
      </w:pPr>
    </w:p>
    <w:bookmarkStart w:id="49" w:name="page50"/>
    <w:bookmarkEnd w:id="49"/>
    <w:p>
      <w:pPr>
        <w:ind w:right="140"/>
        <w:spacing w:after="0" w:line="282" w:lineRule="auto"/>
        <w:rPr>
          <w:sz w:val="20"/>
          <w:szCs w:val="20"/>
          <w:color w:val="auto"/>
        </w:rPr>
      </w:pPr>
      <w:r>
        <w:rPr>
          <w:rFonts w:ascii="Arial" w:cs="Arial" w:eastAsia="Arial" w:hAnsi="Arial"/>
          <w:sz w:val="20"/>
          <w:szCs w:val="20"/>
          <w:color w:val="auto"/>
        </w:rPr>
        <w:t>settlement amounts and disputes with insurance carriers concerning coverage. In addition, sufficient insurance coverage may become increasingly expensive to maintain as incidents increase globally.</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127" w:lineRule="exact"/>
        <w:rPr>
          <w:sz w:val="20"/>
          <w:szCs w:val="20"/>
          <w:color w:val="auto"/>
        </w:rPr>
      </w:pPr>
    </w:p>
    <w:p>
      <w:pPr>
        <w:ind w:right="200" w:firstLine="490"/>
        <w:spacing w:after="0" w:line="247" w:lineRule="auto"/>
        <w:rPr>
          <w:sz w:val="20"/>
          <w:szCs w:val="20"/>
          <w:color w:val="auto"/>
        </w:rPr>
      </w:pPr>
      <w:r>
        <w:rPr>
          <w:rFonts w:ascii="Arial" w:cs="Arial" w:eastAsia="Arial" w:hAnsi="Arial"/>
          <w:sz w:val="20"/>
          <w:szCs w:val="20"/>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53"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60"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61" w:lineRule="exact"/>
        <w:rPr>
          <w:sz w:val="20"/>
          <w:szCs w:val="20"/>
          <w:color w:val="auto"/>
        </w:rPr>
      </w:pPr>
    </w:p>
    <w:p>
      <w:pPr>
        <w:ind w:right="280"/>
        <w:spacing w:after="0" w:line="284" w:lineRule="auto"/>
        <w:rPr>
          <w:sz w:val="20"/>
          <w:szCs w:val="20"/>
          <w:color w:val="auto"/>
        </w:rPr>
      </w:pPr>
      <w:r>
        <w:rPr>
          <w:rFonts w:ascii="Arial" w:cs="Arial" w:eastAsia="Arial" w:hAnsi="Arial"/>
          <w:sz w:val="19"/>
          <w:szCs w:val="19"/>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0"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58"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w:t>
      </w:r>
    </w:p>
    <w:p>
      <w:pPr>
        <w:sectPr>
          <w:pgSz w:w="12240" w:h="15840" w:orient="portrait"/>
          <w:cols w:equalWidth="0" w:num="1">
            <w:col w:w="10780"/>
          </w:cols>
          <w:pgMar w:left="720" w:top="1160" w:right="740" w:bottom="175"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10780"/>
          </w:cols>
          <w:pgMar w:left="720" w:top="1160" w:right="740" w:bottom="175" w:gutter="0" w:footer="0" w:header="0"/>
          <w:type w:val="continuous"/>
        </w:sectPr>
      </w:pPr>
    </w:p>
    <w:bookmarkStart w:id="50" w:name="page51"/>
    <w:bookmarkEnd w:id="50"/>
    <w:p>
      <w:pPr>
        <w:spacing w:after="0" w:line="246" w:lineRule="auto"/>
        <w:rPr>
          <w:sz w:val="20"/>
          <w:szCs w:val="20"/>
          <w:color w:val="auto"/>
        </w:rPr>
      </w:pPr>
      <w:r>
        <w:rPr>
          <w:rFonts w:ascii="Arial" w:cs="Arial" w:eastAsia="Arial" w:hAnsi="Arial"/>
          <w:sz w:val="20"/>
          <w:szCs w:val="20"/>
          <w:color w:val="auto"/>
        </w:rPr>
        <w:t>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58" w:lineRule="exact"/>
        <w:rPr>
          <w:sz w:val="20"/>
          <w:szCs w:val="20"/>
          <w:color w:val="auto"/>
        </w:rPr>
      </w:pPr>
    </w:p>
    <w:p>
      <w:pPr>
        <w:ind w:right="300"/>
        <w:spacing w:after="0" w:line="289" w:lineRule="auto"/>
        <w:rPr>
          <w:sz w:val="20"/>
          <w:szCs w:val="20"/>
          <w:color w:val="auto"/>
        </w:rPr>
      </w:pPr>
      <w:r>
        <w:rPr>
          <w:rFonts w:ascii="Arial" w:cs="Arial" w:eastAsia="Arial" w:hAnsi="Arial"/>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02"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to payment card networks fees or rules could harm our business.</w:t>
      </w:r>
    </w:p>
    <w:p>
      <w:pPr>
        <w:spacing w:after="0" w:line="196"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20"/>
          <w:szCs w:val="20"/>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27"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ectPr>
          <w:pgSz w:w="12240" w:h="15840" w:orient="portrait"/>
          <w:cols w:equalWidth="0" w:num="1">
            <w:col w:w="10760"/>
          </w:cols>
          <w:pgMar w:left="720" w:top="1160" w:right="760" w:bottom="175" w:gutter="0" w:footer="0" w:header="0"/>
        </w:sect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10760"/>
          </w:cols>
          <w:pgMar w:left="720" w:top="1160" w:right="760" w:bottom="175" w:gutter="0" w:footer="0" w:header="0"/>
          <w:type w:val="continuous"/>
        </w:sectPr>
      </w:pPr>
    </w:p>
    <w:bookmarkStart w:id="51" w:name="page52"/>
    <w:bookmarkEnd w:id="51"/>
    <w:p>
      <w:pPr>
        <w:jc w:val="both"/>
        <w:ind w:firstLine="490"/>
        <w:spacing w:after="0" w:line="261" w:lineRule="auto"/>
        <w:rPr>
          <w:sz w:val="20"/>
          <w:szCs w:val="20"/>
          <w:color w:val="auto"/>
        </w:rPr>
      </w:pPr>
      <w:r>
        <w:rPr>
          <w:rFonts w:ascii="Arial" w:cs="Arial" w:eastAsia="Arial" w:hAnsi="Arial"/>
          <w:sz w:val="20"/>
          <w:szCs w:val="20"/>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40" w:lineRule="exact"/>
        <w:rPr>
          <w:sz w:val="20"/>
          <w:szCs w:val="20"/>
          <w:color w:val="auto"/>
        </w:rPr>
      </w:pPr>
    </w:p>
    <w:p>
      <w:pPr>
        <w:ind w:right="120" w:firstLine="490"/>
        <w:spacing w:after="0" w:line="247" w:lineRule="auto"/>
        <w:rPr>
          <w:sz w:val="20"/>
          <w:szCs w:val="20"/>
          <w:color w:val="auto"/>
        </w:rPr>
      </w:pPr>
      <w:r>
        <w:rPr>
          <w:rFonts w:ascii="Arial" w:cs="Arial" w:eastAsia="Arial" w:hAnsi="Arial"/>
          <w:sz w:val="20"/>
          <w:szCs w:val="20"/>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53" w:lineRule="exact"/>
        <w:rPr>
          <w:sz w:val="20"/>
          <w:szCs w:val="20"/>
          <w:color w:val="auto"/>
        </w:rPr>
      </w:pPr>
    </w:p>
    <w:p>
      <w:pPr>
        <w:jc w:val="both"/>
        <w:ind w:right="60" w:firstLine="490"/>
        <w:spacing w:after="0" w:line="254" w:lineRule="auto"/>
        <w:rPr>
          <w:sz w:val="20"/>
          <w:szCs w:val="20"/>
          <w:color w:val="auto"/>
        </w:rPr>
      </w:pPr>
      <w:r>
        <w:rPr>
          <w:rFonts w:ascii="Arial" w:cs="Arial" w:eastAsia="Arial" w:hAnsi="Arial"/>
          <w:sz w:val="20"/>
          <w:szCs w:val="20"/>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50" w:lineRule="exact"/>
        <w:rPr>
          <w:sz w:val="20"/>
          <w:szCs w:val="20"/>
          <w:color w:val="auto"/>
        </w:rPr>
      </w:pPr>
    </w:p>
    <w:p>
      <w:pPr>
        <w:ind w:right="320"/>
        <w:spacing w:after="0" w:line="289" w:lineRule="auto"/>
        <w:rPr>
          <w:sz w:val="20"/>
          <w:szCs w:val="20"/>
          <w:color w:val="auto"/>
        </w:rPr>
      </w:pPr>
      <w:r>
        <w:rPr>
          <w:rFonts w:ascii="Arial" w:cs="Arial" w:eastAsia="Arial" w:hAnsi="Arial"/>
          <w:sz w:val="20"/>
          <w:szCs w:val="20"/>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102" w:lineRule="exact"/>
        <w:rPr>
          <w:sz w:val="20"/>
          <w:szCs w:val="20"/>
          <w:color w:val="auto"/>
        </w:rPr>
      </w:pPr>
    </w:p>
    <w:p>
      <w:pPr>
        <w:ind w:right="60" w:firstLine="490"/>
        <w:spacing w:after="0" w:line="259" w:lineRule="auto"/>
        <w:rPr>
          <w:sz w:val="20"/>
          <w:szCs w:val="20"/>
          <w:color w:val="auto"/>
        </w:rPr>
      </w:pPr>
      <w:r>
        <w:rPr>
          <w:rFonts w:ascii="Arial" w:cs="Arial" w:eastAsia="Arial" w:hAnsi="Arial"/>
          <w:sz w:val="19"/>
          <w:szCs w:val="19"/>
          <w:color w:val="auto"/>
        </w:rPr>
        <w:t>We believe that further developing, maintaining, protecting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or if we incur excessive expenses in this effort, our business could suffer.</w:t>
      </w:r>
    </w:p>
    <w:p>
      <w:pPr>
        <w:spacing w:after="0" w:line="148"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54" w:lineRule="exact"/>
        <w:rPr>
          <w:sz w:val="20"/>
          <w:szCs w:val="20"/>
          <w:color w:val="auto"/>
        </w:rPr>
      </w:pPr>
    </w:p>
    <w:p>
      <w:pPr>
        <w:ind w:right="140" w:firstLine="490"/>
        <w:spacing w:after="0" w:line="242" w:lineRule="auto"/>
        <w:rPr>
          <w:sz w:val="20"/>
          <w:szCs w:val="20"/>
          <w:color w:val="auto"/>
        </w:rPr>
      </w:pPr>
      <w:r>
        <w:rPr>
          <w:rFonts w:ascii="Arial" w:cs="Arial" w:eastAsia="Arial" w:hAnsi="Arial"/>
          <w:sz w:val="20"/>
          <w:szCs w:val="20"/>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73" w:lineRule="exact"/>
        <w:rPr>
          <w:sz w:val="20"/>
          <w:szCs w:val="20"/>
          <w:color w:val="auto"/>
        </w:rPr>
      </w:pPr>
    </w:p>
    <w:p>
      <w:pPr>
        <w:ind w:right="300"/>
        <w:spacing w:after="0" w:line="289" w:lineRule="auto"/>
        <w:rPr>
          <w:sz w:val="20"/>
          <w:szCs w:val="20"/>
          <w:color w:val="auto"/>
        </w:rPr>
      </w:pPr>
      <w:r>
        <w:rPr>
          <w:rFonts w:ascii="Arial" w:cs="Arial" w:eastAsia="Arial" w:hAnsi="Arial"/>
          <w:sz w:val="20"/>
          <w:szCs w:val="20"/>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02" w:lineRule="exact"/>
        <w:rPr>
          <w:sz w:val="20"/>
          <w:szCs w:val="20"/>
          <w:color w:val="auto"/>
        </w:rPr>
      </w:pPr>
    </w:p>
    <w:p>
      <w:pPr>
        <w:ind w:right="60" w:firstLine="490"/>
        <w:spacing w:after="0" w:line="281" w:lineRule="auto"/>
        <w:rPr>
          <w:sz w:val="20"/>
          <w:szCs w:val="20"/>
          <w:color w:val="auto"/>
        </w:rPr>
      </w:pPr>
      <w:r>
        <w:rPr>
          <w:rFonts w:ascii="Arial" w:cs="Arial" w:eastAsia="Arial" w:hAnsi="Arial"/>
          <w:sz w:val="19"/>
          <w:szCs w:val="19"/>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w:t>
      </w:r>
    </w:p>
    <w:p>
      <w:pPr>
        <w:sectPr>
          <w:pgSz w:w="12240" w:h="15840" w:orient="portrait"/>
          <w:cols w:equalWidth="0" w:num="1">
            <w:col w:w="10780"/>
          </w:cols>
          <w:pgMar w:left="720" w:top="1160" w:right="740" w:bottom="175"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10780"/>
          </w:cols>
          <w:pgMar w:left="720" w:top="1160" w:right="740" w:bottom="175" w:gutter="0" w:footer="0" w:header="0"/>
          <w:type w:val="continuous"/>
        </w:sectPr>
      </w:pPr>
    </w:p>
    <w:bookmarkStart w:id="52" w:name="page53"/>
    <w:bookmarkEnd w:id="52"/>
    <w:p>
      <w:pPr>
        <w:spacing w:after="0" w:line="243" w:lineRule="auto"/>
        <w:rPr>
          <w:sz w:val="20"/>
          <w:szCs w:val="20"/>
          <w:color w:val="auto"/>
        </w:rPr>
      </w:pPr>
      <w:r>
        <w:rPr>
          <w:rFonts w:ascii="Arial" w:cs="Arial" w:eastAsia="Arial" w:hAnsi="Arial"/>
          <w:sz w:val="20"/>
          <w:szCs w:val="20"/>
          <w:color w:val="auto"/>
        </w:rPr>
        <w:t>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In August 2023, we announced that Michael Ellis, our Chief Financial Officer, would be transitioning from such position in 2024, and we recently announced the appointment of Cosmin Pitigoi as our new Chief Financial Officer to join in March 2024. This or other changes in our senior management may be disruptive to our business, and, if we are unable to manage an orderly transition, our business may be adversely affected.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61" w:lineRule="exact"/>
        <w:rPr>
          <w:sz w:val="20"/>
          <w:szCs w:val="20"/>
          <w:color w:val="auto"/>
        </w:rPr>
      </w:pPr>
    </w:p>
    <w:p>
      <w:pPr>
        <w:ind w:right="520"/>
        <w:spacing w:after="0" w:line="289" w:lineRule="auto"/>
        <w:rPr>
          <w:sz w:val="20"/>
          <w:szCs w:val="20"/>
          <w:color w:val="auto"/>
        </w:rPr>
      </w:pPr>
      <w:r>
        <w:rPr>
          <w:rFonts w:ascii="Arial" w:cs="Arial" w:eastAsia="Arial" w:hAnsi="Arial"/>
          <w:sz w:val="20"/>
          <w:szCs w:val="20"/>
          <w:b w:val="1"/>
          <w:bCs w:val="1"/>
          <w:i w:val="1"/>
          <w:iCs w:val="1"/>
          <w:color w:val="auto"/>
        </w:rPr>
        <w:t>The failure to attract and retain additional qualified personnel could prevent us from executing our business strategy and growth plans.</w:t>
      </w:r>
    </w:p>
    <w:p>
      <w:pPr>
        <w:spacing w:after="0" w:line="102" w:lineRule="exact"/>
        <w:rPr>
          <w:sz w:val="20"/>
          <w:szCs w:val="20"/>
          <w:color w:val="auto"/>
        </w:rPr>
      </w:pPr>
    </w:p>
    <w:p>
      <w:pPr>
        <w:ind w:right="200" w:firstLine="490"/>
        <w:spacing w:after="0" w:line="246" w:lineRule="auto"/>
        <w:rPr>
          <w:sz w:val="20"/>
          <w:szCs w:val="20"/>
          <w:color w:val="auto"/>
        </w:rPr>
      </w:pPr>
      <w:r>
        <w:rPr>
          <w:rFonts w:ascii="Arial" w:cs="Arial" w:eastAsia="Arial" w:hAnsi="Arial"/>
          <w:sz w:val="20"/>
          <w:szCs w:val="20"/>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cannot maintain our company culture as we grow, our success and our business may be harmed.</w:t>
      </w:r>
    </w:p>
    <w:p>
      <w:pPr>
        <w:spacing w:after="0" w:line="196"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sales cycles may be long and vary.</w:t>
      </w:r>
    </w:p>
    <w:p>
      <w:pPr>
        <w:spacing w:after="0" w:line="196"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40"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increased inflationary conditions, recession concerns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w:t>
      </w:r>
    </w:p>
    <w:p>
      <w:pPr>
        <w:sectPr>
          <w:pgSz w:w="12240" w:h="15840" w:orient="portrait"/>
          <w:cols w:equalWidth="0" w:num="1">
            <w:col w:w="10780"/>
          </w:cols>
          <w:pgMar w:left="720" w:top="1160" w:right="740" w:bottom="175" w:gutter="0" w:footer="0" w:header="0"/>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10780"/>
          </w:cols>
          <w:pgMar w:left="720" w:top="1160" w:right="740" w:bottom="175" w:gutter="0" w:footer="0" w:header="0"/>
          <w:type w:val="continuous"/>
        </w:sectPr>
      </w:pPr>
    </w:p>
    <w:bookmarkStart w:id="53" w:name="page54"/>
    <w:bookmarkEnd w:id="53"/>
    <w:p>
      <w:pPr>
        <w:ind w:right="180"/>
        <w:spacing w:after="0" w:line="282" w:lineRule="auto"/>
        <w:rPr>
          <w:sz w:val="20"/>
          <w:szCs w:val="20"/>
          <w:color w:val="auto"/>
        </w:rPr>
      </w:pPr>
      <w:r>
        <w:rPr>
          <w:rFonts w:ascii="Arial" w:cs="Arial" w:eastAsia="Arial" w:hAnsi="Arial"/>
          <w:sz w:val="20"/>
          <w:szCs w:val="20"/>
          <w:color w:val="auto"/>
        </w:rPr>
        <w:t>business conducted with these clients. If we fail to realize an expected sale from a large end-client in a particular quarter or at all, our business, operating results, and financial condition could be materially and adversely affected.</w:t>
      </w:r>
    </w:p>
    <w:p>
      <w:pPr>
        <w:spacing w:after="0" w:line="120"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58" w:lineRule="exact"/>
        <w:rPr>
          <w:sz w:val="20"/>
          <w:szCs w:val="20"/>
          <w:color w:val="auto"/>
        </w:rPr>
      </w:pPr>
    </w:p>
    <w:p>
      <w:pPr>
        <w:ind w:right="360"/>
        <w:spacing w:after="0" w:line="316" w:lineRule="auto"/>
        <w:rPr>
          <w:sz w:val="20"/>
          <w:szCs w:val="20"/>
          <w:color w:val="auto"/>
        </w:rPr>
      </w:pPr>
      <w:r>
        <w:rPr>
          <w:rFonts w:ascii="Arial" w:cs="Arial" w:eastAsia="Arial" w:hAnsi="Arial"/>
          <w:sz w:val="19"/>
          <w:szCs w:val="19"/>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81"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61" w:lineRule="exact"/>
        <w:rPr>
          <w:sz w:val="20"/>
          <w:szCs w:val="20"/>
          <w:color w:val="auto"/>
        </w:rPr>
      </w:pPr>
    </w:p>
    <w:p>
      <w:pPr>
        <w:ind w:right="300"/>
        <w:spacing w:after="0" w:line="289" w:lineRule="auto"/>
        <w:rPr>
          <w:sz w:val="20"/>
          <w:szCs w:val="20"/>
          <w:color w:val="auto"/>
        </w:rPr>
      </w:pPr>
      <w:r>
        <w:rPr>
          <w:rFonts w:ascii="Arial" w:cs="Arial" w:eastAsia="Arial" w:hAnsi="Arial"/>
          <w:sz w:val="20"/>
          <w:szCs w:val="20"/>
          <w:b w:val="1"/>
          <w:bCs w:val="1"/>
          <w:i w:val="1"/>
          <w:iCs w:val="1"/>
          <w:color w:val="auto"/>
        </w:rPr>
        <w:t>If we fail to offer high-quality client support, or if our support is more expensive than anticipated, our business and reputation could suffer.</w:t>
      </w:r>
    </w:p>
    <w:p>
      <w:pPr>
        <w:spacing w:after="0" w:line="102"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58"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50" w:lineRule="exact"/>
        <w:rPr>
          <w:sz w:val="20"/>
          <w:szCs w:val="20"/>
          <w:color w:val="auto"/>
        </w:rPr>
      </w:pPr>
    </w:p>
    <w:p>
      <w:pPr>
        <w:ind w:right="240"/>
        <w:spacing w:after="0" w:line="289" w:lineRule="auto"/>
        <w:rPr>
          <w:sz w:val="20"/>
          <w:szCs w:val="20"/>
          <w:color w:val="auto"/>
        </w:rPr>
      </w:pPr>
      <w:r>
        <w:rPr>
          <w:rFonts w:ascii="Arial" w:cs="Arial" w:eastAsia="Arial" w:hAnsi="Arial"/>
          <w:sz w:val="20"/>
          <w:szCs w:val="20"/>
          <w:b w:val="1"/>
          <w:bCs w:val="1"/>
          <w:i w:val="1"/>
          <w:iCs w:val="1"/>
          <w:color w:val="auto"/>
        </w:rPr>
        <w:t>We may require additional capital to support the growth of our business, and this capital might not be available on acceptable terms, if at all.</w:t>
      </w:r>
    </w:p>
    <w:p>
      <w:pPr>
        <w:spacing w:after="0" w:line="10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ectPr>
          <w:pgSz w:w="12240" w:h="15840" w:orient="portrait"/>
          <w:cols w:equalWidth="0" w:num="1">
            <w:col w:w="10800"/>
          </w:cols>
          <w:pgMar w:left="720" w:top="1160" w:right="720" w:bottom="175"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10800"/>
          </w:cols>
          <w:pgMar w:left="720" w:top="1160" w:right="720" w:bottom="175"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i w:val="1"/>
          <w:iCs w:val="1"/>
          <w:color w:val="auto"/>
        </w:rPr>
        <w:t>Our business could be harmed as a result of the risks associated with our acquisitions.</w:t>
      </w:r>
    </w:p>
    <w:p>
      <w:pPr>
        <w:spacing w:after="0" w:line="196"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Any acquisitions we undertake or have recently completed, including the acquisitions of StudyLink in November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2023 and Cohort Go in July 2022, will likely be accompanied by business risks which may include, among other things:</w:t>
      </w:r>
    </w:p>
    <w:p>
      <w:pPr>
        <w:spacing w:after="0" w:line="187" w:lineRule="exact"/>
        <w:rPr>
          <w:sz w:val="20"/>
          <w:szCs w:val="20"/>
          <w:color w:val="auto"/>
        </w:rPr>
      </w:pPr>
    </w:p>
    <w:p>
      <w:pPr>
        <w:ind w:left="860" w:hanging="255"/>
        <w:spacing w:after="0"/>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effect of the acquisition on our financial results, strategic position or reputation;</w:t>
      </w:r>
    </w:p>
    <w:p>
      <w:pPr>
        <w:spacing w:after="0" w:line="213" w:lineRule="exact"/>
        <w:rPr>
          <w:rFonts w:ascii="Arial" w:cs="Arial" w:eastAsia="Arial" w:hAnsi="Arial"/>
          <w:sz w:val="20"/>
          <w:szCs w:val="20"/>
          <w:color w:val="auto"/>
        </w:rPr>
      </w:pPr>
    </w:p>
    <w:p>
      <w:pPr>
        <w:ind w:left="860" w:right="380" w:hanging="255"/>
        <w:spacing w:after="0" w:line="310" w:lineRule="auto"/>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failure of an acquisition to result in expected benefits, which may include benefits relating to enhanced revenues, technology, human resources, costs savings, operating efficiencies, goodwill and other synergies;</w:t>
      </w:r>
    </w:p>
    <w:p>
      <w:pPr>
        <w:spacing w:after="0" w:line="109" w:lineRule="exact"/>
        <w:rPr>
          <w:rFonts w:ascii="Arial" w:cs="Arial" w:eastAsia="Arial" w:hAnsi="Arial"/>
          <w:sz w:val="19"/>
          <w:szCs w:val="19"/>
          <w:color w:val="auto"/>
        </w:rPr>
      </w:pPr>
    </w:p>
    <w:p>
      <w:pPr>
        <w:ind w:left="860" w:right="400" w:hanging="255"/>
        <w:spacing w:after="0" w:line="261"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53" w:lineRule="exact"/>
        <w:rPr>
          <w:rFonts w:ascii="Arial" w:cs="Arial" w:eastAsia="Arial" w:hAnsi="Arial"/>
          <w:sz w:val="20"/>
          <w:szCs w:val="20"/>
          <w:color w:val="auto"/>
        </w:rPr>
      </w:pPr>
    </w:p>
    <w:p>
      <w:pPr>
        <w:ind w:left="860" w:right="580" w:hanging="255"/>
        <w:spacing w:after="0" w:line="282"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assumption of certain known or unknown liabilities of the acquired business, including litigation-related liabilities;</w:t>
      </w:r>
    </w:p>
    <w:p>
      <w:pPr>
        <w:spacing w:after="0" w:line="132" w:lineRule="exact"/>
        <w:rPr>
          <w:rFonts w:ascii="Arial" w:cs="Arial" w:eastAsia="Arial" w:hAnsi="Arial"/>
          <w:sz w:val="20"/>
          <w:szCs w:val="20"/>
          <w:color w:val="auto"/>
        </w:rPr>
      </w:pPr>
    </w:p>
    <w:p>
      <w:pPr>
        <w:ind w:left="860" w:right="200" w:hanging="255"/>
        <w:spacing w:after="0" w:line="310" w:lineRule="auto"/>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09" w:lineRule="exact"/>
        <w:rPr>
          <w:rFonts w:ascii="Arial" w:cs="Arial" w:eastAsia="Arial" w:hAnsi="Arial"/>
          <w:sz w:val="19"/>
          <w:szCs w:val="19"/>
          <w:color w:val="auto"/>
        </w:rPr>
      </w:pPr>
    </w:p>
    <w:p>
      <w:pPr>
        <w:ind w:left="860" w:right="340" w:hanging="255"/>
        <w:spacing w:after="0" w:line="282"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lack of experience in new markets, new geographies, new business culture, products or technologies or an initial dependence on unfamiliar distribution partners;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possibility that we will pay more than the value we derive from the acquisition;</w:t>
      </w:r>
    </w:p>
    <w:p>
      <w:pPr>
        <w:spacing w:after="0" w:line="213" w:lineRule="exact"/>
        <w:rPr>
          <w:rFonts w:ascii="Arial" w:cs="Arial" w:eastAsia="Arial" w:hAnsi="Arial"/>
          <w:sz w:val="20"/>
          <w:szCs w:val="20"/>
          <w:color w:val="auto"/>
        </w:rPr>
      </w:pPr>
    </w:p>
    <w:p>
      <w:pPr>
        <w:ind w:left="860" w:right="40" w:hanging="255"/>
        <w:spacing w:after="0" w:line="282"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impairment of relationships with our clients, clients' customers, partners or suppliers or those of the acquired business; and</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potential loss of key employees of the acquired business.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These factors could harm our business, results of operations or financial condition.</w:t>
      </w:r>
    </w:p>
    <w:p>
      <w:pPr>
        <w:spacing w:after="0" w:line="200"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Systems failures and resulting interruptions in the availability of our solutions could harm our business.</w:t>
      </w:r>
    </w:p>
    <w:p>
      <w:pPr>
        <w:spacing w:after="0" w:line="196"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w:t>
      </w:r>
    </w:p>
    <w:p>
      <w:pPr>
        <w:sectPr>
          <w:pgSz w:w="12240" w:h="15840" w:orient="portrait"/>
          <w:cols w:equalWidth="0" w:num="1">
            <w:col w:w="10780"/>
          </w:cols>
          <w:pgMar w:left="720" w:top="1164"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10780"/>
          </w:cols>
          <w:pgMar w:left="720" w:top="1164" w:right="740" w:bottom="175" w:gutter="0" w:footer="0" w:header="0"/>
          <w:type w:val="continuous"/>
        </w:sectPr>
      </w:pPr>
    </w:p>
    <w:bookmarkStart w:id="55" w:name="page56"/>
    <w:bookmarkEnd w:id="55"/>
    <w:p>
      <w:pPr>
        <w:ind w:right="60"/>
        <w:spacing w:after="0" w:line="282" w:lineRule="auto"/>
        <w:rPr>
          <w:sz w:val="20"/>
          <w:szCs w:val="20"/>
          <w:color w:val="auto"/>
        </w:rPr>
      </w:pPr>
      <w:r>
        <w:rPr>
          <w:rFonts w:ascii="Arial" w:cs="Arial" w:eastAsia="Arial" w:hAnsi="Arial"/>
          <w:sz w:val="20"/>
          <w:szCs w:val="20"/>
          <w:color w:val="auto"/>
        </w:rPr>
        <w:t>recovery plans, and more rigorous testing of such plans, which may be costly and time-consuming to implement, and may divert our resources from other business priorities.</w:t>
      </w:r>
    </w:p>
    <w:p>
      <w:pPr>
        <w:spacing w:after="0" w:line="120" w:lineRule="exact"/>
        <w:rPr>
          <w:sz w:val="20"/>
          <w:szCs w:val="20"/>
          <w:color w:val="auto"/>
        </w:rPr>
      </w:pPr>
    </w:p>
    <w:p>
      <w:pPr>
        <w:ind w:right="100" w:firstLine="490"/>
        <w:spacing w:after="0" w:line="247" w:lineRule="auto"/>
        <w:rPr>
          <w:sz w:val="20"/>
          <w:szCs w:val="20"/>
          <w:color w:val="auto"/>
        </w:rPr>
      </w:pPr>
      <w:r>
        <w:rPr>
          <w:rFonts w:ascii="Arial" w:cs="Arial" w:eastAsia="Arial" w:hAnsi="Arial"/>
          <w:sz w:val="20"/>
          <w:szCs w:val="20"/>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53" w:lineRule="exact"/>
        <w:rPr>
          <w:sz w:val="20"/>
          <w:szCs w:val="20"/>
          <w:color w:val="auto"/>
        </w:rPr>
      </w:pPr>
    </w:p>
    <w:p>
      <w:pPr>
        <w:ind w:right="120" w:firstLine="490"/>
        <w:spacing w:after="0" w:line="247" w:lineRule="auto"/>
        <w:rPr>
          <w:sz w:val="20"/>
          <w:szCs w:val="20"/>
          <w:color w:val="auto"/>
        </w:rPr>
      </w:pPr>
      <w:r>
        <w:rPr>
          <w:rFonts w:ascii="Arial" w:cs="Arial" w:eastAsia="Arial" w:hAnsi="Arial"/>
          <w:sz w:val="20"/>
          <w:szCs w:val="20"/>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53"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In addition, we may experience financial losses due to a number of factors, including:</w:t>
      </w:r>
    </w:p>
    <w:p>
      <w:pPr>
        <w:spacing w:after="0" w:line="133" w:lineRule="exact"/>
        <w:rPr>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third party disruptions, including potential outages at network providers and other suppliers;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supply chain impacts, including shortages of goods, raw materials, increased prices or delays in shipment;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challenges to the availability and reliability of our network due to changes to normal operations;</w:t>
      </w:r>
    </w:p>
    <w:p>
      <w:pPr>
        <w:spacing w:after="0" w:line="133" w:lineRule="exact"/>
        <w:rPr>
          <w:rFonts w:ascii="Arial" w:cs="Arial" w:eastAsia="Arial" w:hAnsi="Arial"/>
          <w:sz w:val="20"/>
          <w:szCs w:val="20"/>
          <w:color w:val="auto"/>
        </w:rPr>
      </w:pPr>
    </w:p>
    <w:p>
      <w:pPr>
        <w:ind w:left="980" w:right="120" w:hanging="491"/>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73" w:lineRule="exact"/>
        <w:rPr>
          <w:rFonts w:ascii="Arial" w:cs="Arial" w:eastAsia="Arial" w:hAnsi="Arial"/>
          <w:sz w:val="20"/>
          <w:szCs w:val="20"/>
          <w:color w:val="auto"/>
        </w:rPr>
      </w:pPr>
    </w:p>
    <w:p>
      <w:pPr>
        <w:ind w:left="980" w:right="100" w:hanging="491"/>
        <w:spacing w:after="0" w:line="254"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46" w:lineRule="exact"/>
        <w:rPr>
          <w:sz w:val="20"/>
          <w:szCs w:val="20"/>
          <w:color w:val="auto"/>
        </w:rPr>
      </w:pPr>
    </w:p>
    <w:p>
      <w:pPr>
        <w:ind w:right="120" w:firstLine="490"/>
        <w:spacing w:after="0" w:line="262" w:lineRule="auto"/>
        <w:rPr>
          <w:sz w:val="20"/>
          <w:szCs w:val="20"/>
          <w:color w:val="auto"/>
        </w:rPr>
      </w:pPr>
      <w:r>
        <w:rPr>
          <w:rFonts w:ascii="Arial" w:cs="Arial" w:eastAsia="Arial" w:hAnsi="Arial"/>
          <w:sz w:val="19"/>
          <w:szCs w:val="19"/>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10800"/>
          </w:cols>
          <w:pgMar w:left="720" w:top="1160" w:right="720" w:bottom="175" w:gutter="0" w:footer="0" w:header="0"/>
          <w:type w:val="continuous"/>
        </w:sectPr>
      </w:pPr>
    </w:p>
    <w:bookmarkStart w:id="56" w:name="page57"/>
    <w:bookmarkEnd w:id="56"/>
    <w:p>
      <w:pPr>
        <w:ind w:right="300"/>
        <w:spacing w:after="0" w:line="282" w:lineRule="auto"/>
        <w:rPr>
          <w:sz w:val="20"/>
          <w:szCs w:val="20"/>
          <w:color w:val="auto"/>
        </w:rPr>
      </w:pPr>
      <w:r>
        <w:rPr>
          <w:rFonts w:ascii="Arial" w:cs="Arial" w:eastAsia="Arial" w:hAnsi="Arial"/>
          <w:sz w:val="20"/>
          <w:szCs w:val="20"/>
          <w:color w:val="auto"/>
        </w:rPr>
        <w:t>we could experience interruptions in access to our solutions as well as delays and additional expense in arranging new facilities and services.</w:t>
      </w:r>
    </w:p>
    <w:p>
      <w:pPr>
        <w:spacing w:after="0" w:line="120"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54"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Legal, Regulatory and Compliance Landscape</w:t>
      </w:r>
    </w:p>
    <w:p>
      <w:pPr>
        <w:spacing w:after="0" w:line="208"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18"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and Canada-India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79" w:lineRule="exact"/>
        <w:rPr>
          <w:sz w:val="20"/>
          <w:szCs w:val="20"/>
          <w:color w:val="auto"/>
        </w:rPr>
      </w:pPr>
    </w:p>
    <w:p>
      <w:pPr>
        <w:ind w:left="860" w:hanging="255"/>
        <w:spacing w:after="0"/>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foreign currency exchange rate volatility;</w:t>
      </w:r>
    </w:p>
    <w:p>
      <w:pPr>
        <w:spacing w:after="0" w:line="213" w:lineRule="exact"/>
        <w:rPr>
          <w:rFonts w:ascii="Arial" w:cs="Arial" w:eastAsia="Arial" w:hAnsi="Arial"/>
          <w:sz w:val="20"/>
          <w:szCs w:val="20"/>
          <w:color w:val="auto"/>
        </w:rPr>
      </w:pPr>
    </w:p>
    <w:p>
      <w:pPr>
        <w:ind w:left="860" w:right="840" w:hanging="255"/>
        <w:spacing w:after="0" w:line="282" w:lineRule="auto"/>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adverse economic conditions in the United States and globally, including economic slowdown, inflation, recession concerns and the disruption, volatility and tightening of credit and capital markets;</w:t>
      </w:r>
    </w:p>
    <w:p>
      <w:pPr>
        <w:spacing w:after="0" w:line="132" w:lineRule="exact"/>
        <w:rPr>
          <w:rFonts w:ascii="Arial" w:cs="Arial" w:eastAsia="Arial" w:hAnsi="Arial"/>
          <w:sz w:val="20"/>
          <w:szCs w:val="20"/>
          <w:color w:val="auto"/>
        </w:rPr>
      </w:pPr>
    </w:p>
    <w:p>
      <w:pPr>
        <w:ind w:left="860" w:right="300" w:hanging="255"/>
        <w:spacing w:after="0" w:line="282" w:lineRule="auto"/>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risks related to compliance with multiple complex, potentially conflicting and changing governmental laws and regulations;</w:t>
      </w:r>
    </w:p>
    <w:p>
      <w:pPr>
        <w:spacing w:after="0" w:line="132" w:lineRule="exact"/>
        <w:rPr>
          <w:rFonts w:ascii="Arial" w:cs="Arial" w:eastAsia="Arial" w:hAnsi="Arial"/>
          <w:sz w:val="20"/>
          <w:szCs w:val="20"/>
          <w:color w:val="auto"/>
        </w:rPr>
      </w:pPr>
    </w:p>
    <w:p>
      <w:pPr>
        <w:ind w:left="860" w:right="640" w:hanging="255"/>
        <w:spacing w:after="0" w:line="282" w:lineRule="auto"/>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local licensing and reporting obligations or the imposition of currency controls which make it impossible or increasingly difficult for our clients to collect payments from international customers;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local regulatory and legal obligations related to privacy, data protection, data localization, and user protections;</w:t>
      </w:r>
    </w:p>
    <w:p>
      <w:pPr>
        <w:spacing w:after="0" w:line="213" w:lineRule="exact"/>
        <w:rPr>
          <w:rFonts w:ascii="Arial" w:cs="Arial" w:eastAsia="Arial" w:hAnsi="Arial"/>
          <w:sz w:val="20"/>
          <w:szCs w:val="20"/>
          <w:color w:val="auto"/>
        </w:rPr>
      </w:pPr>
    </w:p>
    <w:p>
      <w:pPr>
        <w:ind w:left="860" w:right="40" w:hanging="255"/>
        <w:spacing w:after="0" w:line="261" w:lineRule="auto"/>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53" w:lineRule="exact"/>
        <w:rPr>
          <w:rFonts w:ascii="Arial" w:cs="Arial" w:eastAsia="Arial" w:hAnsi="Arial"/>
          <w:sz w:val="20"/>
          <w:szCs w:val="20"/>
          <w:color w:val="auto"/>
        </w:rPr>
      </w:pPr>
    </w:p>
    <w:p>
      <w:pPr>
        <w:ind w:left="860" w:hanging="255"/>
        <w:spacing w:after="0"/>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trade barriers and changes in trade regulations;</w:t>
      </w:r>
    </w:p>
    <w:p>
      <w:pPr>
        <w:spacing w:after="0" w:line="213" w:lineRule="exact"/>
        <w:rPr>
          <w:rFonts w:ascii="Arial" w:cs="Arial" w:eastAsia="Arial" w:hAnsi="Arial"/>
          <w:sz w:val="20"/>
          <w:szCs w:val="20"/>
          <w:color w:val="auto"/>
        </w:rPr>
      </w:pPr>
    </w:p>
    <w:p>
      <w:pPr>
        <w:ind w:left="860" w:right="220" w:hanging="255"/>
        <w:spacing w:after="0" w:line="282" w:lineRule="auto"/>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impact of government sanctions on our ability to offer services in a region, such as sanctions issued by the U.S. and other countries against Russia;</w:t>
      </w:r>
    </w:p>
    <w:p>
      <w:pPr>
        <w:spacing w:after="0" w:line="132" w:lineRule="exact"/>
        <w:rPr>
          <w:rFonts w:ascii="Arial" w:cs="Arial" w:eastAsia="Arial" w:hAnsi="Arial"/>
          <w:sz w:val="20"/>
          <w:szCs w:val="20"/>
          <w:color w:val="auto"/>
        </w:rPr>
      </w:pPr>
    </w:p>
    <w:p>
      <w:pPr>
        <w:ind w:left="860" w:right="520" w:hanging="255"/>
        <w:spacing w:after="0" w:line="282" w:lineRule="auto"/>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difficulties in developing, staffing, and managing a large number of varying foreign operations as a result of distance, language, and cultural differences;</w:t>
      </w:r>
    </w:p>
    <w:p>
      <w:pPr>
        <w:sectPr>
          <w:pgSz w:w="12240" w:h="15840" w:orient="portrait"/>
          <w:cols w:equalWidth="0" w:num="1">
            <w:col w:w="10800"/>
          </w:cols>
          <w:pgMar w:left="720" w:top="1160" w:right="720" w:bottom="175"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10800"/>
          </w:cols>
          <w:pgMar w:left="720" w:top="1160" w:right="720" w:bottom="175" w:gutter="0" w:footer="0" w:header="0"/>
          <w:type w:val="continuous"/>
        </w:sectPr>
      </w:pPr>
    </w:p>
    <w:bookmarkStart w:id="57" w:name="page58"/>
    <w:bookmarkEnd w:id="57"/>
    <w:p>
      <w:pPr>
        <w:ind w:left="860" w:hanging="255"/>
        <w:spacing w:after="0"/>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stringent local labor laws and regulations;</w:t>
      </w:r>
    </w:p>
    <w:p>
      <w:pPr>
        <w:spacing w:after="0" w:line="213" w:lineRule="exact"/>
        <w:rPr>
          <w:rFonts w:ascii="Arial" w:cs="Arial" w:eastAsia="Arial" w:hAnsi="Arial"/>
          <w:sz w:val="20"/>
          <w:szCs w:val="20"/>
          <w:color w:val="auto"/>
        </w:rPr>
      </w:pPr>
    </w:p>
    <w:p>
      <w:pPr>
        <w:ind w:left="860" w:right="740" w:hanging="255"/>
        <w:spacing w:after="0" w:line="282"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limitations on the repatriation of cash, including imposition or increase of withholding and other taxes on remittances and other payments by foreign subsidiaries;</w:t>
      </w:r>
    </w:p>
    <w:p>
      <w:pPr>
        <w:spacing w:after="0" w:line="132" w:lineRule="exact"/>
        <w:rPr>
          <w:rFonts w:ascii="Arial" w:cs="Arial" w:eastAsia="Arial" w:hAnsi="Arial"/>
          <w:sz w:val="20"/>
          <w:szCs w:val="20"/>
          <w:color w:val="auto"/>
        </w:rPr>
      </w:pPr>
    </w:p>
    <w:p>
      <w:pPr>
        <w:ind w:left="860" w:right="100" w:hanging="255"/>
        <w:spacing w:after="0" w:line="261"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53" w:lineRule="exact"/>
        <w:rPr>
          <w:rFonts w:ascii="Arial" w:cs="Arial" w:eastAsia="Arial" w:hAnsi="Arial"/>
          <w:sz w:val="20"/>
          <w:szCs w:val="20"/>
          <w:color w:val="auto"/>
        </w:rPr>
      </w:pPr>
    </w:p>
    <w:p>
      <w:pPr>
        <w:ind w:left="860" w:right="380" w:hanging="255"/>
        <w:spacing w:after="0" w:line="282"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natural disasters, global pandemics such as COVID-19 or other public health emergencies, acts of war, and terrorism;</w:t>
      </w:r>
    </w:p>
    <w:p>
      <w:pPr>
        <w:spacing w:after="0" w:line="132" w:lineRule="exact"/>
        <w:rPr>
          <w:rFonts w:ascii="Arial" w:cs="Arial" w:eastAsia="Arial" w:hAnsi="Arial"/>
          <w:sz w:val="20"/>
          <w:szCs w:val="20"/>
          <w:color w:val="auto"/>
        </w:rPr>
      </w:pPr>
    </w:p>
    <w:p>
      <w:pPr>
        <w:ind w:left="860" w:right="280" w:hanging="255"/>
        <w:spacing w:after="0" w:line="282"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compliance with U.S. laws and foreign laws prohibiting corrupt payments to government officials, such as the Foreign Corrupt Practices Act (FCPA) and the U.K. Bribery Act, and other local anti-corruption laws;</w:t>
      </w:r>
    </w:p>
    <w:p>
      <w:pPr>
        <w:spacing w:after="0" w:line="132" w:lineRule="exact"/>
        <w:rPr>
          <w:rFonts w:ascii="Arial" w:cs="Arial" w:eastAsia="Arial" w:hAnsi="Arial"/>
          <w:sz w:val="20"/>
          <w:szCs w:val="20"/>
          <w:color w:val="auto"/>
        </w:rPr>
      </w:pPr>
    </w:p>
    <w:p>
      <w:pPr>
        <w:ind w:left="860" w:right="540" w:hanging="255"/>
        <w:spacing w:after="0" w:line="282"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compliance with U.S. and foreign laws designed to combat money laundering and the financing of terrorist activities;</w:t>
      </w:r>
    </w:p>
    <w:p>
      <w:pPr>
        <w:spacing w:after="0" w:line="132" w:lineRule="exact"/>
        <w:rPr>
          <w:rFonts w:ascii="Arial" w:cs="Arial" w:eastAsia="Arial" w:hAnsi="Arial"/>
          <w:sz w:val="20"/>
          <w:szCs w:val="20"/>
          <w:color w:val="auto"/>
        </w:rPr>
      </w:pPr>
    </w:p>
    <w:p>
      <w:pPr>
        <w:ind w:left="860" w:right="200" w:hanging="255"/>
        <w:spacing w:after="0" w:line="261"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53" w:lineRule="exact"/>
        <w:rPr>
          <w:rFonts w:ascii="Arial" w:cs="Arial" w:eastAsia="Arial" w:hAnsi="Arial"/>
          <w:sz w:val="20"/>
          <w:szCs w:val="20"/>
          <w:color w:val="auto"/>
        </w:rPr>
      </w:pPr>
    </w:p>
    <w:p>
      <w:pPr>
        <w:ind w:left="860" w:hanging="255"/>
        <w:spacing w:after="0"/>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antitrust and competition regulations;</w:t>
      </w:r>
    </w:p>
    <w:p>
      <w:pPr>
        <w:spacing w:after="0" w:line="213" w:lineRule="exact"/>
        <w:rPr>
          <w:rFonts w:ascii="Arial" w:cs="Arial" w:eastAsia="Arial" w:hAnsi="Arial"/>
          <w:sz w:val="20"/>
          <w:szCs w:val="20"/>
          <w:color w:val="auto"/>
        </w:rPr>
      </w:pPr>
    </w:p>
    <w:p>
      <w:pPr>
        <w:ind w:left="860" w:right="160" w:hanging="255"/>
        <w:spacing w:after="0" w:line="250"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65" w:lineRule="exact"/>
        <w:rPr>
          <w:rFonts w:ascii="Arial" w:cs="Arial" w:eastAsia="Arial" w:hAnsi="Arial"/>
          <w:sz w:val="20"/>
          <w:szCs w:val="20"/>
          <w:color w:val="auto"/>
        </w:rPr>
      </w:pPr>
    </w:p>
    <w:p>
      <w:pPr>
        <w:ind w:left="860" w:right="500" w:hanging="255"/>
        <w:spacing w:after="0" w:line="282"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expected or actual extended federal government shutdowns, partisan gridlock that results in the inability of Congress to take action or changes to government policy;</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national or regional differences in macroeconomic growth rates; and</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increased difficulties in collecting accounts receivable.</w:t>
      </w:r>
    </w:p>
    <w:p>
      <w:pPr>
        <w:spacing w:after="0" w:line="200"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3"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58"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w:t>
      </w:r>
    </w:p>
    <w:p>
      <w:pPr>
        <w:sectPr>
          <w:pgSz w:w="12240" w:h="15840" w:orient="portrait"/>
          <w:cols w:equalWidth="0" w:num="1">
            <w:col w:w="10740"/>
          </w:cols>
          <w:pgMar w:left="720" w:top="1174" w:right="780" w:bottom="175" w:gutter="0" w:footer="0" w:header="0"/>
        </w:sectPr>
      </w:pP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10740"/>
          </w:cols>
          <w:pgMar w:left="720" w:top="1174" w:right="780" w:bottom="175" w:gutter="0" w:footer="0" w:header="0"/>
          <w:type w:val="continuous"/>
        </w:sectPr>
      </w:pPr>
    </w:p>
    <w:bookmarkStart w:id="58" w:name="page59"/>
    <w:bookmarkEnd w:id="58"/>
    <w:p>
      <w:pPr>
        <w:ind w:right="20"/>
        <w:spacing w:after="0" w:line="261" w:lineRule="auto"/>
        <w:rPr>
          <w:sz w:val="20"/>
          <w:szCs w:val="20"/>
          <w:color w:val="auto"/>
        </w:rPr>
      </w:pPr>
      <w:r>
        <w:rPr>
          <w:rFonts w:ascii="Arial" w:cs="Arial" w:eastAsia="Arial" w:hAnsi="Arial"/>
          <w:sz w:val="20"/>
          <w:szCs w:val="20"/>
          <w:color w:val="auto"/>
        </w:rPr>
        <w:t>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4"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Payments and other financial services-related regulations and oversight are material to our business. Our failure to comply could materially harm our business.</w:t>
      </w:r>
    </w:p>
    <w:p>
      <w:pPr>
        <w:spacing w:after="0" w:line="102"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69"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Certain of our subsidiaries are registered with FinCEN. Our subsidiary Flywire Global Corp. has obtained licenses to operate as a money transmitter (or the statutory equivalent) in 42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8"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62" w:lineRule="exact"/>
        <w:rPr>
          <w:sz w:val="20"/>
          <w:szCs w:val="20"/>
          <w:color w:val="auto"/>
        </w:rPr>
      </w:pPr>
    </w:p>
    <w:p>
      <w:pPr>
        <w:ind w:right="360" w:firstLine="490"/>
        <w:spacing w:after="0" w:line="282" w:lineRule="auto"/>
        <w:rPr>
          <w:sz w:val="20"/>
          <w:szCs w:val="20"/>
          <w:color w:val="auto"/>
        </w:rPr>
      </w:pPr>
      <w:r>
        <w:rPr>
          <w:rFonts w:ascii="Arial" w:cs="Arial" w:eastAsia="Arial" w:hAnsi="Arial"/>
          <w:sz w:val="20"/>
          <w:szCs w:val="20"/>
          <w:color w:val="auto"/>
        </w:rPr>
        <w:t>The adoption of new money transmitter or MSB statutes in jurisdictions or changes in regulators’ interpretation of existing state and federal money transmitter or MSB statutes or regulations could subject us to new registration or</w:t>
      </w:r>
    </w:p>
    <w:p>
      <w:pPr>
        <w:sectPr>
          <w:pgSz w:w="12240" w:h="15840" w:orient="portrait"/>
          <w:cols w:equalWidth="0" w:num="1">
            <w:col w:w="10800"/>
          </w:cols>
          <w:pgMar w:left="720" w:top="1160" w:right="720" w:bottom="175"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10800"/>
          </w:cols>
          <w:pgMar w:left="720" w:top="1160" w:right="720" w:bottom="175" w:gutter="0" w:footer="0" w:header="0"/>
          <w:type w:val="continuous"/>
        </w:sectPr>
      </w:pPr>
    </w:p>
    <w:bookmarkStart w:id="59" w:name="page60"/>
    <w:bookmarkEnd w:id="59"/>
    <w:p>
      <w:pPr>
        <w:ind w:right="240"/>
        <w:spacing w:after="0" w:line="248" w:lineRule="auto"/>
        <w:rPr>
          <w:sz w:val="20"/>
          <w:szCs w:val="20"/>
          <w:color w:val="auto"/>
        </w:rPr>
      </w:pPr>
      <w:r>
        <w:rPr>
          <w:rFonts w:ascii="Arial" w:cs="Arial" w:eastAsia="Arial" w:hAnsi="Arial"/>
          <w:sz w:val="20"/>
          <w:szCs w:val="20"/>
          <w:color w:val="auto"/>
        </w:rPr>
        <w:t>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20"/>
          <w:szCs w:val="20"/>
          <w:b w:val="1"/>
          <w:bCs w:val="1"/>
          <w:i w:val="1"/>
          <w:iCs w:val="1"/>
          <w:color w:val="auto"/>
        </w:rPr>
        <w:t>The regulatory environment in which we operate is subject to constant change, and new regulations could make aspects of our business as currently conducted no longer possible.</w:t>
      </w:r>
    </w:p>
    <w:p>
      <w:pPr>
        <w:spacing w:after="0" w:line="102"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57" w:lineRule="exact"/>
        <w:rPr>
          <w:sz w:val="20"/>
          <w:szCs w:val="20"/>
          <w:color w:val="auto"/>
        </w:rPr>
      </w:pPr>
    </w:p>
    <w:p>
      <w:pPr>
        <w:ind w:right="40" w:firstLine="490"/>
        <w:spacing w:after="0" w:line="282" w:lineRule="auto"/>
        <w:rPr>
          <w:sz w:val="20"/>
          <w:szCs w:val="20"/>
          <w:color w:val="auto"/>
        </w:rPr>
      </w:pPr>
      <w:r>
        <w:rPr>
          <w:rFonts w:ascii="Arial" w:cs="Arial" w:eastAsia="Arial" w:hAnsi="Arial"/>
          <w:sz w:val="20"/>
          <w:szCs w:val="20"/>
          <w:color w:val="auto"/>
        </w:rPr>
        <w:t>Government agencies may impose new or additional rules on money transmission, which may increase our costs of doing business, including, but not limited to regulations that:</w:t>
      </w:r>
    </w:p>
    <w:p>
      <w:pPr>
        <w:spacing w:after="0" w:line="133" w:lineRule="exact"/>
        <w:rPr>
          <w:sz w:val="20"/>
          <w:szCs w:val="20"/>
          <w:color w:val="auto"/>
        </w:rPr>
      </w:pPr>
    </w:p>
    <w:p>
      <w:pPr>
        <w:ind w:left="860" w:hanging="255"/>
        <w:spacing w:after="0" w:line="282"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prohibit, restrict, and/or impose taxes or fees on money transmission transactions in, to or from certain countries or with certain governments, individuals, and entities;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impose additional client identification and client due diligence requirements;</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impose additional reporting or recordkeeping requirements, or require enhanced transaction monitoring;</w:t>
      </w:r>
    </w:p>
    <w:p>
      <w:pPr>
        <w:spacing w:after="0" w:line="213" w:lineRule="exact"/>
        <w:rPr>
          <w:rFonts w:ascii="Arial" w:cs="Arial" w:eastAsia="Arial" w:hAnsi="Arial"/>
          <w:sz w:val="20"/>
          <w:szCs w:val="20"/>
          <w:color w:val="auto"/>
        </w:rPr>
      </w:pPr>
    </w:p>
    <w:p>
      <w:pPr>
        <w:ind w:left="860" w:right="320" w:hanging="255"/>
        <w:spacing w:after="0" w:line="282"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limit the types of entities capable of providing money transmission services, or impose additional licensing or registration requirements;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impose minimum capital or other financial requirements;</w:t>
      </w:r>
    </w:p>
    <w:p>
      <w:pPr>
        <w:spacing w:after="0" w:line="213" w:lineRule="exact"/>
        <w:rPr>
          <w:rFonts w:ascii="Arial" w:cs="Arial" w:eastAsia="Arial" w:hAnsi="Arial"/>
          <w:sz w:val="20"/>
          <w:szCs w:val="20"/>
          <w:color w:val="auto"/>
        </w:rPr>
      </w:pPr>
    </w:p>
    <w:p>
      <w:pPr>
        <w:ind w:left="860" w:right="60" w:hanging="255"/>
        <w:spacing w:after="0" w:line="261"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53" w:lineRule="exact"/>
        <w:rPr>
          <w:rFonts w:ascii="Arial" w:cs="Arial" w:eastAsia="Arial" w:hAnsi="Arial"/>
          <w:sz w:val="20"/>
          <w:szCs w:val="20"/>
          <w:color w:val="auto"/>
        </w:rPr>
      </w:pPr>
    </w:p>
    <w:p>
      <w:pPr>
        <w:ind w:left="860" w:hanging="255"/>
        <w:spacing w:after="0"/>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require enhanced disclosures to our money transmission clients or their customers;</w:t>
      </w:r>
    </w:p>
    <w:p>
      <w:pPr>
        <w:spacing w:after="0" w:line="213" w:lineRule="exact"/>
        <w:rPr>
          <w:rFonts w:ascii="Arial" w:cs="Arial" w:eastAsia="Arial" w:hAnsi="Arial"/>
          <w:sz w:val="20"/>
          <w:szCs w:val="20"/>
          <w:color w:val="auto"/>
        </w:rPr>
      </w:pPr>
    </w:p>
    <w:p>
      <w:pPr>
        <w:ind w:left="860" w:right="300" w:hanging="255"/>
        <w:spacing w:after="0" w:line="282"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require the principal amount of money transmission transactions originated in a country to be invested in that country or held in trust until paid;</w:t>
      </w:r>
    </w:p>
    <w:p>
      <w:pPr>
        <w:spacing w:after="0" w:line="132" w:lineRule="exact"/>
        <w:rPr>
          <w:rFonts w:ascii="Arial" w:cs="Arial" w:eastAsia="Arial" w:hAnsi="Arial"/>
          <w:sz w:val="20"/>
          <w:szCs w:val="20"/>
          <w:color w:val="auto"/>
        </w:rPr>
      </w:pPr>
    </w:p>
    <w:p>
      <w:pPr>
        <w:ind w:left="860" w:right="900" w:hanging="255"/>
        <w:spacing w:after="0" w:line="282"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limit the number or principal amount of money transmission transactions that may be sent to or from a jurisdiction, whether by an individual or in the aggregate; and</w:t>
      </w:r>
    </w:p>
    <w:p>
      <w:pPr>
        <w:spacing w:after="0" w:line="132" w:lineRule="exact"/>
        <w:rPr>
          <w:rFonts w:ascii="Arial" w:cs="Arial" w:eastAsia="Arial" w:hAnsi="Arial"/>
          <w:sz w:val="20"/>
          <w:szCs w:val="20"/>
          <w:color w:val="auto"/>
        </w:rPr>
      </w:pPr>
    </w:p>
    <w:p>
      <w:pPr>
        <w:ind w:left="860" w:right="380" w:hanging="255"/>
        <w:spacing w:after="0" w:line="282"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restrict or limit our ability to process transactions using centralized databases, for example, by requiring that transactions be processed using a database maintained in a particular country or region.</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27"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We are currently required to comply with U.S. economic and trade sanctions administered by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w:t>
      </w:r>
    </w:p>
    <w:p>
      <w:pPr>
        <w:sectPr>
          <w:pgSz w:w="12240" w:h="15840" w:orient="portrait"/>
          <w:cols w:equalWidth="0" w:num="1">
            <w:col w:w="10740"/>
          </w:cols>
          <w:pgMar w:left="720" w:top="1160" w:right="780" w:bottom="175"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10740"/>
          </w:cols>
          <w:pgMar w:left="720" w:top="1160" w:right="780" w:bottom="175" w:gutter="0" w:footer="0" w:header="0"/>
          <w:type w:val="continuous"/>
        </w:sectPr>
      </w:pPr>
    </w:p>
    <w:bookmarkStart w:id="60" w:name="page61"/>
    <w:bookmarkEnd w:id="60"/>
    <w:p>
      <w:pPr>
        <w:ind w:right="100"/>
        <w:spacing w:after="0" w:line="248" w:lineRule="auto"/>
        <w:rPr>
          <w:sz w:val="20"/>
          <w:szCs w:val="20"/>
          <w:color w:val="auto"/>
        </w:rPr>
      </w:pPr>
      <w:r>
        <w:rPr>
          <w:rFonts w:ascii="Arial" w:cs="Arial" w:eastAsia="Arial" w:hAnsi="Arial"/>
          <w:sz w:val="20"/>
          <w:szCs w:val="20"/>
          <w:color w:val="auto"/>
        </w:rPr>
        <w:t>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to report the potential violations.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54" w:lineRule="exact"/>
        <w:rPr>
          <w:sz w:val="20"/>
          <w:szCs w:val="20"/>
          <w:color w:val="auto"/>
        </w:rPr>
      </w:pPr>
    </w:p>
    <w:p>
      <w:pPr>
        <w:ind w:right="120" w:firstLine="490"/>
        <w:spacing w:after="0" w:line="245" w:lineRule="auto"/>
        <w:rPr>
          <w:sz w:val="20"/>
          <w:szCs w:val="20"/>
          <w:color w:val="auto"/>
        </w:rPr>
      </w:pPr>
      <w:r>
        <w:rPr>
          <w:rFonts w:ascii="Arial" w:cs="Arial" w:eastAsia="Arial" w:hAnsi="Arial"/>
          <w:sz w:val="20"/>
          <w:szCs w:val="20"/>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57"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64" w:lineRule="exact"/>
        <w:rPr>
          <w:sz w:val="20"/>
          <w:szCs w:val="20"/>
          <w:color w:val="auto"/>
        </w:rPr>
      </w:pPr>
    </w:p>
    <w:p>
      <w:pPr>
        <w:jc w:val="both"/>
        <w:ind w:right="260"/>
        <w:spacing w:after="0" w:line="284" w:lineRule="auto"/>
        <w:rPr>
          <w:sz w:val="20"/>
          <w:szCs w:val="20"/>
          <w:color w:val="auto"/>
        </w:rPr>
      </w:pPr>
      <w:r>
        <w:rPr>
          <w:rFonts w:ascii="Arial" w:cs="Arial" w:eastAsia="Arial" w:hAnsi="Arial"/>
          <w:sz w:val="19"/>
          <w:szCs w:val="19"/>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10"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4"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w:t>
      </w:r>
    </w:p>
    <w:p>
      <w:pPr>
        <w:sectPr>
          <w:pgSz w:w="12240" w:h="15840" w:orient="portrait"/>
          <w:cols w:equalWidth="0" w:num="1">
            <w:col w:w="10800"/>
          </w:cols>
          <w:pgMar w:left="720" w:top="1160" w:right="720" w:bottom="175"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10800"/>
          </w:cols>
          <w:pgMar w:left="720" w:top="1160" w:right="720" w:bottom="175" w:gutter="0" w:footer="0" w:header="0"/>
          <w:type w:val="continuous"/>
        </w:sectPr>
      </w:pPr>
    </w:p>
    <w:bookmarkStart w:id="61" w:name="page62"/>
    <w:bookmarkEnd w:id="61"/>
    <w:p>
      <w:pPr>
        <w:ind w:right="80"/>
        <w:spacing w:after="0" w:line="250" w:lineRule="auto"/>
        <w:rPr>
          <w:sz w:val="20"/>
          <w:szCs w:val="20"/>
          <w:color w:val="auto"/>
        </w:rPr>
      </w:pPr>
      <w:r>
        <w:rPr>
          <w:rFonts w:ascii="Arial" w:cs="Arial" w:eastAsia="Arial" w:hAnsi="Arial"/>
          <w:sz w:val="20"/>
          <w:szCs w:val="20"/>
          <w:color w:val="auto"/>
        </w:rPr>
        <w:t>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52"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53"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2" w:lineRule="exact"/>
        <w:rPr>
          <w:sz w:val="20"/>
          <w:szCs w:val="20"/>
          <w:color w:val="auto"/>
        </w:rPr>
      </w:pPr>
    </w:p>
    <w:p>
      <w:pPr>
        <w:ind w:right="100" w:firstLine="490"/>
        <w:spacing w:after="0" w:line="257" w:lineRule="auto"/>
        <w:rPr>
          <w:sz w:val="20"/>
          <w:szCs w:val="20"/>
          <w:color w:val="auto"/>
        </w:rPr>
      </w:pPr>
      <w:r>
        <w:rPr>
          <w:rFonts w:ascii="Arial" w:cs="Arial" w:eastAsia="Arial" w:hAnsi="Arial"/>
          <w:sz w:val="19"/>
          <w:szCs w:val="19"/>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44" w:lineRule="exact"/>
        <w:rPr>
          <w:sz w:val="20"/>
          <w:szCs w:val="20"/>
          <w:color w:val="auto"/>
        </w:rPr>
      </w:pPr>
    </w:p>
    <w:p>
      <w:pPr>
        <w:ind w:firstLine="490"/>
        <w:spacing w:after="0" w:line="256" w:lineRule="auto"/>
        <w:rPr>
          <w:sz w:val="20"/>
          <w:szCs w:val="20"/>
          <w:color w:val="auto"/>
        </w:rPr>
      </w:pPr>
      <w:r>
        <w:rPr>
          <w:rFonts w:ascii="Arial" w:cs="Arial" w:eastAsia="Arial" w:hAnsi="Arial"/>
          <w:sz w:val="19"/>
          <w:szCs w:val="19"/>
          <w:color w:val="auto"/>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9"/>
          <w:szCs w:val="19"/>
          <w:i w:val="1"/>
          <w:iCs w:val="1"/>
          <w:color w:val="auto"/>
        </w:rPr>
        <w:t>Schrems II</w:t>
      </w:r>
      <w:r>
        <w:rPr>
          <w:rFonts w:ascii="Arial" w:cs="Arial" w:eastAsia="Arial" w:hAnsi="Arial"/>
          <w:sz w:val="19"/>
          <w:szCs w:val="19"/>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9"/>
          <w:szCs w:val="19"/>
          <w:i w:val="1"/>
          <w:iCs w:val="1"/>
          <w:color w:val="auto"/>
        </w:rPr>
        <w:t>Schrems II</w:t>
      </w:r>
      <w:r>
        <w:rPr>
          <w:rFonts w:ascii="Arial" w:cs="Arial" w:eastAsia="Arial" w:hAnsi="Arial"/>
          <w:sz w:val="19"/>
          <w:szCs w:val="19"/>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9"/>
          <w:szCs w:val="19"/>
          <w:i w:val="1"/>
          <w:iCs w:val="1"/>
          <w:color w:val="auto"/>
        </w:rPr>
        <w:t>Schrems II</w:t>
      </w:r>
      <w:r>
        <w:rPr>
          <w:rFonts w:ascii="Arial" w:cs="Arial" w:eastAsia="Arial" w:hAnsi="Arial"/>
          <w:sz w:val="19"/>
          <w:szCs w:val="19"/>
          <w:color w:val="auto"/>
        </w:rPr>
        <w:t xml:space="preserve"> decision), and may be further challenged, suspended or invalidated for transfers to some or all countries. For example, guidance regarding </w:t>
      </w:r>
      <w:r>
        <w:rPr>
          <w:rFonts w:ascii="Arial" w:cs="Arial" w:eastAsia="Arial" w:hAnsi="Arial"/>
          <w:sz w:val="19"/>
          <w:szCs w:val="19"/>
          <w:i w:val="1"/>
          <w:iCs w:val="1"/>
          <w:color w:val="auto"/>
        </w:rPr>
        <w:t>Schrems II</w:t>
      </w:r>
      <w:r>
        <w:rPr>
          <w:rFonts w:ascii="Arial" w:cs="Arial" w:eastAsia="Arial" w:hAnsi="Arial"/>
          <w:sz w:val="19"/>
          <w:szCs w:val="19"/>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10780"/>
          </w:cols>
          <w:pgMar w:left="720" w:top="1160" w:right="740" w:bottom="175" w:gutter="0" w:footer="0" w:header="0"/>
          <w:type w:val="continuous"/>
        </w:sectPr>
      </w:pPr>
    </w:p>
    <w:bookmarkStart w:id="62" w:name="page63"/>
    <w:bookmarkEnd w:id="62"/>
    <w:p>
      <w:pPr>
        <w:ind w:right="40"/>
        <w:spacing w:after="0" w:line="282" w:lineRule="auto"/>
        <w:rPr>
          <w:sz w:val="20"/>
          <w:szCs w:val="20"/>
          <w:color w:val="auto"/>
        </w:rPr>
      </w:pPr>
      <w:r>
        <w:rPr>
          <w:rFonts w:ascii="Arial" w:cs="Arial" w:eastAsia="Arial" w:hAnsi="Arial"/>
          <w:sz w:val="20"/>
          <w:szCs w:val="20"/>
          <w:color w:val="auto"/>
        </w:rPr>
        <w:t>changes to internal business processes, changes to clients and clients' customer facing solutions, or may otherwise affect or restrict our sales and operations.</w:t>
      </w:r>
    </w:p>
    <w:p>
      <w:pPr>
        <w:spacing w:after="0" w:line="12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62"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52" w:lineRule="exact"/>
        <w:rPr>
          <w:sz w:val="20"/>
          <w:szCs w:val="20"/>
          <w:color w:val="auto"/>
        </w:rPr>
      </w:pPr>
    </w:p>
    <w:p>
      <w:pPr>
        <w:ind w:right="200" w:firstLine="490"/>
        <w:spacing w:after="0" w:line="245" w:lineRule="auto"/>
        <w:rPr>
          <w:sz w:val="20"/>
          <w:szCs w:val="20"/>
          <w:color w:val="auto"/>
        </w:rPr>
      </w:pPr>
      <w:r>
        <w:rPr>
          <w:rFonts w:ascii="Arial" w:cs="Arial" w:eastAsia="Arial" w:hAnsi="Arial"/>
          <w:sz w:val="20"/>
          <w:szCs w:val="20"/>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7" w:lineRule="exact"/>
        <w:rPr>
          <w:sz w:val="20"/>
          <w:szCs w:val="20"/>
          <w:color w:val="auto"/>
        </w:rPr>
      </w:pPr>
    </w:p>
    <w:p>
      <w:pPr>
        <w:ind w:right="180" w:firstLine="490"/>
        <w:spacing w:after="0" w:line="245" w:lineRule="auto"/>
        <w:rPr>
          <w:sz w:val="20"/>
          <w:szCs w:val="20"/>
          <w:color w:val="auto"/>
        </w:rPr>
      </w:pPr>
      <w:r>
        <w:rPr>
          <w:rFonts w:ascii="Arial" w:cs="Arial" w:eastAsia="Arial" w:hAnsi="Arial"/>
          <w:sz w:val="20"/>
          <w:szCs w:val="20"/>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7"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53"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52"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w:t>
      </w:r>
    </w:p>
    <w:p>
      <w:pPr>
        <w:sectPr>
          <w:pgSz w:w="12240" w:h="15840" w:orient="portrait"/>
          <w:cols w:equalWidth="0" w:num="1">
            <w:col w:w="10800"/>
          </w:cols>
          <w:pgMar w:left="720" w:top="1160" w:right="720" w:bottom="175"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10800"/>
          </w:cols>
          <w:pgMar w:left="720" w:top="1160" w:right="720" w:bottom="175" w:gutter="0" w:footer="0" w:header="0"/>
          <w:type w:val="continuous"/>
        </w:sectPr>
      </w:pPr>
    </w:p>
    <w:bookmarkStart w:id="63" w:name="page64"/>
    <w:bookmarkEnd w:id="63"/>
    <w:p>
      <w:pPr>
        <w:ind w:right="360"/>
        <w:spacing w:after="0" w:line="282" w:lineRule="auto"/>
        <w:rPr>
          <w:sz w:val="20"/>
          <w:szCs w:val="20"/>
          <w:color w:val="auto"/>
        </w:rPr>
      </w:pPr>
      <w:r>
        <w:rPr>
          <w:rFonts w:ascii="Arial" w:cs="Arial" w:eastAsia="Arial" w:hAnsi="Arial"/>
          <w:sz w:val="20"/>
          <w:szCs w:val="20"/>
          <w:color w:val="auto"/>
        </w:rPr>
        <w:t>APPI. We have taken steps to address compliance obligations that apply to us under the Amended APPI, but cannot assure you that such steps will be effective, and we may face the risk of increased costs, liability and loss of business.</w:t>
      </w:r>
    </w:p>
    <w:p>
      <w:pPr>
        <w:spacing w:after="0" w:line="120"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154" w:lineRule="exact"/>
        <w:rPr>
          <w:sz w:val="20"/>
          <w:szCs w:val="20"/>
          <w:color w:val="auto"/>
        </w:rPr>
      </w:pPr>
    </w:p>
    <w:p>
      <w:pPr>
        <w:ind w:right="160" w:firstLine="490"/>
        <w:spacing w:after="0" w:line="246" w:lineRule="auto"/>
        <w:rPr>
          <w:sz w:val="20"/>
          <w:szCs w:val="20"/>
          <w:color w:val="auto"/>
        </w:rPr>
      </w:pPr>
      <w:r>
        <w:rPr>
          <w:rFonts w:ascii="Arial" w:cs="Arial" w:eastAsia="Arial" w:hAnsi="Arial"/>
          <w:sz w:val="20"/>
          <w:szCs w:val="20"/>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54" w:lineRule="exact"/>
        <w:rPr>
          <w:sz w:val="20"/>
          <w:szCs w:val="20"/>
          <w:color w:val="auto"/>
        </w:rPr>
      </w:pPr>
    </w:p>
    <w:p>
      <w:pPr>
        <w:ind w:right="180" w:firstLine="490"/>
        <w:spacing w:after="0" w:line="261" w:lineRule="auto"/>
        <w:rPr>
          <w:sz w:val="20"/>
          <w:szCs w:val="20"/>
          <w:color w:val="auto"/>
        </w:rPr>
      </w:pPr>
      <w:r>
        <w:rPr>
          <w:rFonts w:ascii="Arial" w:cs="Arial" w:eastAsia="Arial" w:hAnsi="Arial"/>
          <w:sz w:val="20"/>
          <w:szCs w:val="20"/>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40"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64"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We are subject to anti-corruption, anti-bribery, and similar laws, and non-compliance with such laws can subject us to criminal or civil liability and harm our business.</w:t>
      </w:r>
    </w:p>
    <w:p>
      <w:pPr>
        <w:spacing w:after="0" w:line="102"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w:t>
      </w:r>
    </w:p>
    <w:p>
      <w:pPr>
        <w:sectPr>
          <w:pgSz w:w="12240" w:h="15840" w:orient="portrait"/>
          <w:cols w:equalWidth="0" w:num="1">
            <w:col w:w="10780"/>
          </w:cols>
          <w:pgMar w:left="720" w:top="1160" w:right="740" w:bottom="175" w:gutter="0" w:footer="0" w:header="0"/>
        </w:sectPr>
      </w:pP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10780"/>
          </w:cols>
          <w:pgMar w:left="720" w:top="1160" w:right="740" w:bottom="175" w:gutter="0" w:footer="0" w:header="0"/>
          <w:type w:val="continuous"/>
        </w:sectPr>
      </w:pPr>
    </w:p>
    <w:bookmarkStart w:id="64" w:name="page65"/>
    <w:bookmarkEnd w:id="64"/>
    <w:p>
      <w:pPr>
        <w:ind w:right="40"/>
        <w:spacing w:after="0" w:line="246" w:lineRule="auto"/>
        <w:rPr>
          <w:sz w:val="20"/>
          <w:szCs w:val="20"/>
          <w:color w:val="auto"/>
        </w:rPr>
      </w:pPr>
      <w:r>
        <w:rPr>
          <w:rFonts w:ascii="Arial" w:cs="Arial" w:eastAsia="Arial" w:hAnsi="Arial"/>
          <w:sz w:val="20"/>
          <w:szCs w:val="20"/>
          <w:color w:val="auto"/>
        </w:rPr>
        <w:t>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54"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54" w:lineRule="exact"/>
        <w:rPr>
          <w:sz w:val="20"/>
          <w:szCs w:val="20"/>
          <w:color w:val="auto"/>
        </w:rPr>
      </w:pPr>
    </w:p>
    <w:p>
      <w:pPr>
        <w:ind w:right="200" w:firstLine="490"/>
        <w:spacing w:after="0" w:line="245" w:lineRule="auto"/>
        <w:rPr>
          <w:sz w:val="20"/>
          <w:szCs w:val="20"/>
          <w:color w:val="auto"/>
        </w:rPr>
      </w:pPr>
      <w:r>
        <w:rPr>
          <w:rFonts w:ascii="Arial" w:cs="Arial" w:eastAsia="Arial" w:hAnsi="Arial"/>
          <w:sz w:val="20"/>
          <w:szCs w:val="20"/>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7"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66" w:lineRule="exact"/>
        <w:rPr>
          <w:sz w:val="20"/>
          <w:szCs w:val="20"/>
          <w:color w:val="auto"/>
        </w:rPr>
      </w:pPr>
    </w:p>
    <w:p>
      <w:pPr>
        <w:ind w:right="420"/>
        <w:spacing w:after="0" w:line="289" w:lineRule="auto"/>
        <w:rPr>
          <w:sz w:val="20"/>
          <w:szCs w:val="20"/>
          <w:color w:val="auto"/>
        </w:rPr>
      </w:pPr>
      <w:r>
        <w:rPr>
          <w:rFonts w:ascii="Arial" w:cs="Arial" w:eastAsia="Arial" w:hAnsi="Arial"/>
          <w:sz w:val="20"/>
          <w:szCs w:val="20"/>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102"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8"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w:t>
      </w:r>
    </w:p>
    <w:p>
      <w:pPr>
        <w:sectPr>
          <w:pgSz w:w="12240" w:h="15840" w:orient="portrait"/>
          <w:cols w:equalWidth="0" w:num="1">
            <w:col w:w="10780"/>
          </w:cols>
          <w:pgMar w:left="720" w:top="1160" w:right="740" w:bottom="175"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10780"/>
          </w:cols>
          <w:pgMar w:left="720" w:top="1160" w:right="740" w:bottom="175" w:gutter="0" w:footer="0" w:header="0"/>
          <w:type w:val="continuous"/>
        </w:sectPr>
      </w:pPr>
    </w:p>
    <w:bookmarkStart w:id="65" w:name="page66"/>
    <w:bookmarkEnd w:id="65"/>
    <w:p>
      <w:pPr>
        <w:ind w:right="200"/>
        <w:spacing w:after="0" w:line="250" w:lineRule="auto"/>
        <w:rPr>
          <w:sz w:val="20"/>
          <w:szCs w:val="20"/>
          <w:color w:val="auto"/>
        </w:rPr>
      </w:pPr>
      <w:r>
        <w:rPr>
          <w:rFonts w:ascii="Arial" w:cs="Arial" w:eastAsia="Arial" w:hAnsi="Arial"/>
          <w:sz w:val="20"/>
          <w:szCs w:val="20"/>
          <w:color w:val="auto"/>
        </w:rPr>
        <w:t>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52" w:lineRule="exact"/>
        <w:rPr>
          <w:sz w:val="20"/>
          <w:szCs w:val="20"/>
          <w:color w:val="auto"/>
        </w:rPr>
      </w:pPr>
    </w:p>
    <w:p>
      <w:pPr>
        <w:ind w:right="220" w:firstLine="490"/>
        <w:spacing w:after="0" w:line="244" w:lineRule="auto"/>
        <w:rPr>
          <w:sz w:val="20"/>
          <w:szCs w:val="20"/>
          <w:color w:val="auto"/>
        </w:rPr>
      </w:pPr>
      <w:r>
        <w:rPr>
          <w:rFonts w:ascii="Arial" w:cs="Arial" w:eastAsia="Arial" w:hAnsi="Arial"/>
          <w:sz w:val="20"/>
          <w:szCs w:val="20"/>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62"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70" w:lineRule="exact"/>
        <w:rPr>
          <w:sz w:val="20"/>
          <w:szCs w:val="20"/>
          <w:color w:val="auto"/>
        </w:rPr>
      </w:pPr>
    </w:p>
    <w:p>
      <w:pPr>
        <w:ind w:right="880"/>
        <w:spacing w:after="0" w:line="289" w:lineRule="auto"/>
        <w:rPr>
          <w:sz w:val="20"/>
          <w:szCs w:val="20"/>
          <w:color w:val="auto"/>
        </w:rPr>
      </w:pPr>
      <w:r>
        <w:rPr>
          <w:rFonts w:ascii="Arial" w:cs="Arial" w:eastAsia="Arial" w:hAnsi="Arial"/>
          <w:sz w:val="20"/>
          <w:szCs w:val="20"/>
          <w:b w:val="1"/>
          <w:bCs w:val="1"/>
          <w:i w:val="1"/>
          <w:iCs w:val="1"/>
          <w:color w:val="auto"/>
        </w:rPr>
        <w:t>We may in the future be subject to intellectual property disputes, which are costly and may subject us to significant liability and increased costs of doing business.</w:t>
      </w:r>
    </w:p>
    <w:p>
      <w:pPr>
        <w:spacing w:after="0" w:line="102" w:lineRule="exact"/>
        <w:rPr>
          <w:sz w:val="20"/>
          <w:szCs w:val="20"/>
          <w:color w:val="auto"/>
        </w:rPr>
      </w:pPr>
    </w:p>
    <w:p>
      <w:pPr>
        <w:ind w:right="160" w:firstLine="490"/>
        <w:spacing w:after="0" w:line="243" w:lineRule="auto"/>
        <w:rPr>
          <w:sz w:val="20"/>
          <w:szCs w:val="20"/>
          <w:color w:val="auto"/>
        </w:rPr>
      </w:pPr>
      <w:r>
        <w:rPr>
          <w:rFonts w:ascii="Arial" w:cs="Arial" w:eastAsia="Arial" w:hAnsi="Arial"/>
          <w:sz w:val="20"/>
          <w:szCs w:val="20"/>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20"/>
          <w:szCs w:val="20"/>
          <w:b w:val="1"/>
          <w:bCs w:val="1"/>
          <w:i w:val="1"/>
          <w:iCs w:val="1"/>
          <w:color w:val="auto"/>
        </w:rPr>
        <w:t>Our use of “open source” software could negatively affect our ability to offer and sell access to our solutions and subject us to possible litigation.</w:t>
      </w:r>
    </w:p>
    <w:p>
      <w:pPr>
        <w:spacing w:after="0" w:line="102" w:lineRule="exact"/>
        <w:rPr>
          <w:sz w:val="20"/>
          <w:szCs w:val="20"/>
          <w:color w:val="auto"/>
        </w:rPr>
      </w:pPr>
    </w:p>
    <w:p>
      <w:pPr>
        <w:ind w:right="160" w:firstLine="490"/>
        <w:spacing w:after="0" w:line="246" w:lineRule="auto"/>
        <w:rPr>
          <w:sz w:val="20"/>
          <w:szCs w:val="20"/>
          <w:color w:val="auto"/>
        </w:rPr>
      </w:pPr>
      <w:r>
        <w:rPr>
          <w:rFonts w:ascii="Arial" w:cs="Arial" w:eastAsia="Arial" w:hAnsi="Arial"/>
          <w:sz w:val="20"/>
          <w:szCs w:val="20"/>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10800"/>
          </w:cols>
          <w:pgMar w:left="720" w:top="1160" w:right="720" w:bottom="175" w:gutter="0" w:footer="0" w:header="0"/>
          <w:type w:val="continuous"/>
        </w:sectPr>
      </w:pPr>
    </w:p>
    <w:bookmarkStart w:id="66" w:name="page67"/>
    <w:bookmarkEnd w:id="66"/>
    <w:p>
      <w:pPr>
        <w:jc w:val="both"/>
        <w:ind w:right="20" w:firstLine="490"/>
        <w:spacing w:after="0" w:line="262" w:lineRule="auto"/>
        <w:rPr>
          <w:sz w:val="20"/>
          <w:szCs w:val="20"/>
          <w:color w:val="auto"/>
        </w:rPr>
      </w:pPr>
      <w:r>
        <w:rPr>
          <w:rFonts w:ascii="Arial" w:cs="Arial" w:eastAsia="Arial" w:hAnsi="Arial"/>
          <w:sz w:val="19"/>
          <w:szCs w:val="19"/>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w:t>
      </w:r>
    </w:p>
    <w:p>
      <w:pPr>
        <w:spacing w:after="0" w:line="241" w:lineRule="auto"/>
        <w:rPr>
          <w:sz w:val="20"/>
          <w:szCs w:val="20"/>
          <w:color w:val="auto"/>
        </w:rPr>
      </w:pPr>
      <w:r>
        <w:rPr>
          <w:rFonts w:ascii="Arial" w:cs="Arial" w:eastAsia="Arial" w:hAnsi="Arial"/>
          <w:sz w:val="20"/>
          <w:szCs w:val="20"/>
          <w:color w:val="auto"/>
        </w:rPr>
        <w:t>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68" w:lineRule="exact"/>
        <w:rPr>
          <w:sz w:val="20"/>
          <w:szCs w:val="20"/>
          <w:color w:val="auto"/>
        </w:rPr>
      </w:pPr>
    </w:p>
    <w:p>
      <w:pPr>
        <w:ind w:right="920"/>
        <w:spacing w:after="0" w:line="289" w:lineRule="auto"/>
        <w:rPr>
          <w:sz w:val="20"/>
          <w:szCs w:val="20"/>
          <w:color w:val="auto"/>
        </w:rPr>
      </w:pPr>
      <w:r>
        <w:rPr>
          <w:rFonts w:ascii="Arial" w:cs="Arial" w:eastAsia="Arial" w:hAnsi="Arial"/>
          <w:sz w:val="20"/>
          <w:szCs w:val="20"/>
          <w:b w:val="1"/>
          <w:bCs w:val="1"/>
          <w:i w:val="1"/>
          <w:iCs w:val="1"/>
          <w:color w:val="auto"/>
        </w:rPr>
        <w:t>Indemnity and liability provisions in various agreements potentially expose us to substantial liability for intellectual property infringement, data protection, and other losses.</w:t>
      </w:r>
    </w:p>
    <w:p>
      <w:pPr>
        <w:spacing w:after="0" w:line="10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70"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b w:val="1"/>
          <w:bCs w:val="1"/>
          <w:i w:val="1"/>
          <w:iCs w:val="1"/>
          <w:color w:val="auto"/>
        </w:rPr>
        <w:t>New or revised tax regulations, unfavorable resolution of tax contingencies or changes to enacted tax rates could adversely affect our tax expense.</w:t>
      </w:r>
    </w:p>
    <w:p>
      <w:pPr>
        <w:spacing w:after="0" w:line="102" w:lineRule="exact"/>
        <w:rPr>
          <w:sz w:val="20"/>
          <w:szCs w:val="20"/>
          <w:color w:val="auto"/>
        </w:rPr>
      </w:pPr>
    </w:p>
    <w:p>
      <w:pPr>
        <w:ind w:right="140" w:firstLine="490"/>
        <w:spacing w:after="0" w:line="264" w:lineRule="auto"/>
        <w:rPr>
          <w:sz w:val="20"/>
          <w:szCs w:val="20"/>
          <w:color w:val="auto"/>
        </w:rPr>
      </w:pPr>
      <w:r>
        <w:rPr>
          <w:rFonts w:ascii="Arial" w:cs="Arial" w:eastAsia="Arial" w:hAnsi="Arial"/>
          <w:sz w:val="19"/>
          <w:szCs w:val="19"/>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38"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5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10780"/>
          </w:cols>
          <w:pgMar w:left="720" w:top="1160" w:right="740" w:bottom="175" w:gutter="0" w:footer="0" w:header="0"/>
          <w:type w:val="continuous"/>
        </w:sectPr>
      </w:pPr>
    </w:p>
    <w:bookmarkStart w:id="67" w:name="page68"/>
    <w:bookmarkEnd w:id="67"/>
    <w:p>
      <w:pPr>
        <w:ind w:right="60" w:firstLine="490"/>
        <w:spacing w:after="0" w:line="247" w:lineRule="auto"/>
        <w:rPr>
          <w:sz w:val="20"/>
          <w:szCs w:val="20"/>
          <w:color w:val="auto"/>
        </w:rPr>
      </w:pPr>
      <w:r>
        <w:rPr>
          <w:rFonts w:ascii="Arial" w:cs="Arial" w:eastAsia="Arial" w:hAnsi="Arial"/>
          <w:sz w:val="20"/>
          <w:szCs w:val="20"/>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3"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61" w:lineRule="exact"/>
        <w:rPr>
          <w:sz w:val="20"/>
          <w:szCs w:val="20"/>
          <w:color w:val="auto"/>
        </w:rPr>
      </w:pPr>
    </w:p>
    <w:p>
      <w:pPr>
        <w:ind w:right="740"/>
        <w:spacing w:after="0" w:line="289" w:lineRule="auto"/>
        <w:rPr>
          <w:sz w:val="20"/>
          <w:szCs w:val="20"/>
          <w:color w:val="auto"/>
        </w:rPr>
      </w:pPr>
      <w:r>
        <w:rPr>
          <w:rFonts w:ascii="Arial" w:cs="Arial" w:eastAsia="Arial" w:hAnsi="Arial"/>
          <w:sz w:val="20"/>
          <w:szCs w:val="20"/>
          <w:b w:val="1"/>
          <w:bCs w:val="1"/>
          <w:i w:val="1"/>
          <w:iCs w:val="1"/>
          <w:color w:val="auto"/>
        </w:rPr>
        <w:t>Our ability to use our net operating losses (NOL) to offset future taxable income may be subject to certain limitations.</w:t>
      </w:r>
    </w:p>
    <w:p>
      <w:pPr>
        <w:spacing w:after="0" w:line="102"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As of December 31, 2023, we had U.S. federal NOL carryforwards of approximately $86.3 million and state NOL carryforwards of approximately $101.4 million. The federal and material state NOL carryforwards will begin to expire in 2032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62"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During 2022, the Company completed a Section 382 study and as a result of the ownership changes identified, $1.6 million of Flywire’s NOLs and $0.2 million of Simplee’s NOLs will expire unutilized, assuming sufficient taxable income is generated in the future. The Company is in the process of updating its Section 382 study and preliminary indications show there will be no additional limitations in using Federal and State NOL carryforwards.</w:t>
      </w:r>
    </w:p>
    <w:p>
      <w:pPr>
        <w:spacing w:after="0" w:line="14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Being a Public Company</w:t>
      </w:r>
    </w:p>
    <w:p>
      <w:pPr>
        <w:spacing w:after="0" w:line="208"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35" w:lineRule="exact"/>
        <w:rPr>
          <w:sz w:val="20"/>
          <w:szCs w:val="20"/>
          <w:color w:val="auto"/>
        </w:rPr>
      </w:pPr>
    </w:p>
    <w:p>
      <w:pPr>
        <w:ind w:right="40" w:firstLine="490"/>
        <w:spacing w:after="0" w:line="271" w:lineRule="auto"/>
        <w:rPr>
          <w:sz w:val="20"/>
          <w:szCs w:val="20"/>
          <w:color w:val="auto"/>
        </w:rPr>
      </w:pPr>
      <w:r>
        <w:rPr>
          <w:rFonts w:ascii="Arial" w:cs="Arial" w:eastAsia="Arial" w:hAnsi="Arial"/>
          <w:sz w:val="19"/>
          <w:szCs w:val="19"/>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w:t>
      </w:r>
    </w:p>
    <w:p>
      <w:pPr>
        <w:sectPr>
          <w:pgSz w:w="12240" w:h="15840" w:orient="portrait"/>
          <w:cols w:equalWidth="0" w:num="1">
            <w:col w:w="10780"/>
          </w:cols>
          <w:pgMar w:left="720" w:top="1160" w:right="740" w:bottom="175"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10780"/>
          </w:cols>
          <w:pgMar w:left="720" w:top="1160" w:right="740" w:bottom="175" w:gutter="0" w:footer="0" w:header="0"/>
          <w:type w:val="continuous"/>
        </w:sectPr>
      </w:pPr>
    </w:p>
    <w:bookmarkStart w:id="68" w:name="page69"/>
    <w:bookmarkEnd w:id="68"/>
    <w:p>
      <w:pPr>
        <w:ind w:right="80"/>
        <w:spacing w:after="0" w:line="245" w:lineRule="auto"/>
        <w:rPr>
          <w:sz w:val="20"/>
          <w:szCs w:val="20"/>
          <w:color w:val="auto"/>
        </w:rPr>
      </w:pPr>
      <w:r>
        <w:rPr>
          <w:rFonts w:ascii="Arial" w:cs="Arial" w:eastAsia="Arial" w:hAnsi="Arial"/>
          <w:sz w:val="20"/>
          <w:szCs w:val="20"/>
          <w:color w:val="auto"/>
        </w:rPr>
        <w:t>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57"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53"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54"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53" w:lineRule="exact"/>
        <w:rPr>
          <w:sz w:val="20"/>
          <w:szCs w:val="20"/>
          <w:color w:val="auto"/>
        </w:rPr>
      </w:pPr>
    </w:p>
    <w:p>
      <w:pPr>
        <w:ind w:right="280" w:firstLine="490"/>
        <w:spacing w:after="0" w:line="254" w:lineRule="auto"/>
        <w:rPr>
          <w:sz w:val="20"/>
          <w:szCs w:val="20"/>
          <w:color w:val="auto"/>
        </w:rPr>
      </w:pPr>
      <w:r>
        <w:rPr>
          <w:rFonts w:ascii="Arial" w:cs="Arial" w:eastAsia="Arial" w:hAnsi="Arial"/>
          <w:sz w:val="20"/>
          <w:szCs w:val="20"/>
          <w:color w:val="auto"/>
        </w:rPr>
        <w:t>We are actively engaged in the ongoing costly and challenging process of performing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6"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35" w:lineRule="exact"/>
        <w:rPr>
          <w:sz w:val="20"/>
          <w:szCs w:val="20"/>
          <w:color w:val="auto"/>
        </w:rPr>
      </w:pPr>
    </w:p>
    <w:p>
      <w:pPr>
        <w:ind w:right="120" w:firstLine="490"/>
        <w:spacing w:after="0" w:line="259" w:lineRule="auto"/>
        <w:rPr>
          <w:sz w:val="20"/>
          <w:szCs w:val="20"/>
          <w:color w:val="auto"/>
        </w:rPr>
      </w:pPr>
      <w:r>
        <w:rPr>
          <w:rFonts w:ascii="Arial" w:cs="Arial" w:eastAsia="Arial" w:hAnsi="Arial"/>
          <w:sz w:val="19"/>
          <w:szCs w:val="19"/>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w:t>
      </w:r>
    </w:p>
    <w:p>
      <w:pPr>
        <w:sectPr>
          <w:pgSz w:w="12240" w:h="15840" w:orient="portrait"/>
          <w:cols w:equalWidth="0" w:num="1">
            <w:col w:w="10800"/>
          </w:cols>
          <w:pgMar w:left="720" w:top="1160" w:right="720" w:bottom="175"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10800"/>
          </w:cols>
          <w:pgMar w:left="720" w:top="1160" w:right="720" w:bottom="175" w:gutter="0" w:footer="0" w:header="0"/>
          <w:type w:val="continuous"/>
        </w:sectPr>
      </w:pPr>
    </w:p>
    <w:bookmarkStart w:id="69" w:name="page70"/>
    <w:bookmarkEnd w:id="69"/>
    <w:p>
      <w:pPr>
        <w:ind w:right="40"/>
        <w:spacing w:after="0" w:line="248" w:lineRule="auto"/>
        <w:rPr>
          <w:sz w:val="20"/>
          <w:szCs w:val="20"/>
          <w:color w:val="auto"/>
        </w:rPr>
      </w:pPr>
      <w:r>
        <w:rPr>
          <w:rFonts w:ascii="Arial" w:cs="Arial" w:eastAsia="Arial" w:hAnsi="Arial"/>
          <w:sz w:val="20"/>
          <w:szCs w:val="20"/>
          <w:color w:val="auto"/>
        </w:rPr>
        <w:t>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5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64"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127"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08"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An active or liquid market in our common stock may not be sustainable.</w:t>
      </w:r>
    </w:p>
    <w:p>
      <w:pPr>
        <w:spacing w:after="0" w:line="200"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The market price of our common stock may fluctuate significantly in response to numerous factors, many of which are beyond our control, including:</w:t>
      </w:r>
    </w:p>
    <w:p>
      <w:pPr>
        <w:spacing w:after="0" w:line="133" w:lineRule="exact"/>
        <w:rPr>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overall performance of the equity markets;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our operating performance and the performance of other similar companies;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delays in the roll out of new solutions;</w:t>
      </w:r>
    </w:p>
    <w:p>
      <w:pPr>
        <w:spacing w:after="0" w:line="21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changes in our projected operating results that we provide to the public, our failure to meet these projections or changes in recommendations by securities analysts that elect to follow our common stock;</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regulatory actions with respect to our payment solutions;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regulatory or legal developments in the United States and other countries;</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10780"/>
          </w:cols>
          <w:pgMar w:left="720" w:top="1160" w:right="740" w:bottom="175" w:gutter="0" w:footer="0" w:header="0"/>
          <w:type w:val="continuous"/>
        </w:sectPr>
      </w:pPr>
    </w:p>
    <w:bookmarkStart w:id="70" w:name="page71"/>
    <w:bookmarkEnd w:id="70"/>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level of expenses related to our solutions;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announcements of acquisitions, strategic alliances or significant agreements by us or by our competitors;</w:t>
      </w:r>
    </w:p>
    <w:p>
      <w:pPr>
        <w:spacing w:after="0" w:line="213" w:lineRule="exact"/>
        <w:rPr>
          <w:rFonts w:ascii="Arial" w:cs="Arial" w:eastAsia="Arial" w:hAnsi="Arial"/>
          <w:sz w:val="20"/>
          <w:szCs w:val="20"/>
          <w:color w:val="auto"/>
        </w:rPr>
      </w:pPr>
    </w:p>
    <w:p>
      <w:pPr>
        <w:ind w:left="980" w:right="600" w:hanging="491"/>
        <w:spacing w:after="0" w:line="282"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developments or disputes concerning patent applications, issued patents or other intellectual property or proprietary rights;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recruitment or departure of key personnel;</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economy as a whole and market conditions in our industry;</w:t>
      </w:r>
    </w:p>
    <w:p>
      <w:pPr>
        <w:spacing w:after="0" w:line="213" w:lineRule="exact"/>
        <w:rPr>
          <w:rFonts w:ascii="Arial" w:cs="Arial" w:eastAsia="Arial" w:hAnsi="Arial"/>
          <w:sz w:val="20"/>
          <w:szCs w:val="20"/>
          <w:color w:val="auto"/>
        </w:rPr>
      </w:pPr>
    </w:p>
    <w:p>
      <w:pPr>
        <w:ind w:left="980" w:right="340" w:hanging="491"/>
        <w:spacing w:after="0" w:line="261"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political or social unrest, war or other military conflict, including an escalation of the conflict between Russia and Ukraine, or between Israel and Hamas, respectively, economic instability, repression, or human rights issues;</w:t>
      </w:r>
    </w:p>
    <w:p>
      <w:pPr>
        <w:spacing w:after="0" w:line="15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variations in our financial results or the financial results of companies that are perceived to be similar to us;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financing or other corporate transactions, or inability to obtain additional funding;</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restrictions that negatively impact international travel, study or commerce;</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in the structure of payment systems;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effects of ongoing United States-China and Canada-India diplomatic and trade friction;</w:t>
      </w:r>
    </w:p>
    <w:p>
      <w:pPr>
        <w:spacing w:after="0" w:line="213" w:lineRule="exact"/>
        <w:rPr>
          <w:rFonts w:ascii="Arial" w:cs="Arial" w:eastAsia="Arial" w:hAnsi="Arial"/>
          <w:sz w:val="20"/>
          <w:szCs w:val="20"/>
          <w:color w:val="auto"/>
        </w:rPr>
      </w:pPr>
    </w:p>
    <w:p>
      <w:pPr>
        <w:ind w:left="980" w:right="60" w:hanging="491"/>
        <w:spacing w:after="0" w:line="282"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trading activity by a limited number of stockholders who together beneficially own a majority of our outstanding common stock;</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expiration of market standoff or contractual lock-up agreements;</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size of our market float; and</w:t>
      </w:r>
    </w:p>
    <w:p>
      <w:pPr>
        <w:spacing w:after="0" w:line="21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other factors discussed in this Annual Report on Form 10-K and our other SEC filings.</w:t>
      </w:r>
    </w:p>
    <w:p>
      <w:pPr>
        <w:spacing w:after="0" w:line="200"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auto"/>
        </w:rPr>
        <w:t>In addition, the stock markets have experienced extreme price and volume fluctuations that have affected and continue to affect the market prices of equity securities of many companies.</w:t>
      </w:r>
    </w:p>
    <w:p>
      <w:pPr>
        <w:spacing w:after="0" w:line="120"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Concerns over economic recession,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54"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56"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02" w:lineRule="exact"/>
        <w:rPr>
          <w:sz w:val="20"/>
          <w:szCs w:val="20"/>
          <w:color w:val="auto"/>
        </w:rPr>
      </w:pPr>
    </w:p>
    <w:p>
      <w:pPr>
        <w:ind w:right="20" w:firstLine="490"/>
        <w:spacing w:after="0" w:line="267" w:lineRule="auto"/>
        <w:rPr>
          <w:sz w:val="20"/>
          <w:szCs w:val="20"/>
          <w:color w:val="auto"/>
        </w:rPr>
      </w:pPr>
      <w:r>
        <w:rPr>
          <w:rFonts w:ascii="Arial" w:cs="Arial" w:eastAsia="Arial" w:hAnsi="Arial"/>
          <w:sz w:val="19"/>
          <w:szCs w:val="19"/>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w:t>
      </w:r>
    </w:p>
    <w:p>
      <w:pPr>
        <w:sectPr>
          <w:pgSz w:w="12240" w:h="15840" w:orient="portrait"/>
          <w:cols w:equalWidth="0" w:num="1">
            <w:col w:w="10780"/>
          </w:cols>
          <w:pgMar w:left="720" w:top="1174" w:right="740" w:bottom="175"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10780"/>
          </w:cols>
          <w:pgMar w:left="720" w:top="1174" w:right="740" w:bottom="175" w:gutter="0" w:footer="0" w:header="0"/>
          <w:type w:val="continuous"/>
        </w:sectPr>
      </w:pPr>
    </w:p>
    <w:bookmarkStart w:id="71" w:name="page72"/>
    <w:bookmarkEnd w:id="71"/>
    <w:p>
      <w:pPr>
        <w:ind w:right="80"/>
        <w:spacing w:after="0" w:line="245" w:lineRule="auto"/>
        <w:rPr>
          <w:sz w:val="20"/>
          <w:szCs w:val="20"/>
          <w:color w:val="auto"/>
        </w:rPr>
      </w:pPr>
      <w:r>
        <w:rPr>
          <w:rFonts w:ascii="Arial" w:cs="Arial" w:eastAsia="Arial" w:hAnsi="Arial"/>
          <w:sz w:val="20"/>
          <w:szCs w:val="20"/>
          <w:color w:val="auto"/>
        </w:rPr>
        <w:t>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57" w:lineRule="exact"/>
        <w:rPr>
          <w:sz w:val="20"/>
          <w:szCs w:val="20"/>
          <w:color w:val="auto"/>
        </w:rPr>
      </w:pPr>
    </w:p>
    <w:p>
      <w:pPr>
        <w:ind w:right="320" w:firstLine="490"/>
        <w:spacing w:after="0" w:line="261" w:lineRule="auto"/>
        <w:rPr>
          <w:sz w:val="20"/>
          <w:szCs w:val="20"/>
          <w:color w:val="auto"/>
        </w:rPr>
      </w:pPr>
      <w:r>
        <w:rPr>
          <w:rFonts w:ascii="Arial" w:cs="Arial" w:eastAsia="Arial" w:hAnsi="Arial"/>
          <w:sz w:val="20"/>
          <w:szCs w:val="20"/>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allocate our cash and cash equivalents in ways that you and other stockholders may not approve.</w:t>
      </w:r>
    </w:p>
    <w:p>
      <w:pPr>
        <w:spacing w:after="0" w:line="19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b w:val="1"/>
          <w:bCs w:val="1"/>
          <w:i w:val="1"/>
          <w:iCs w:val="1"/>
          <w:color w:val="auto"/>
        </w:rPr>
        <w:t>If securities or industry analysts do not publish research or publish inaccurate or unfavorable research about our business, our stock price and trading volume could decline.</w:t>
      </w:r>
    </w:p>
    <w:p>
      <w:pPr>
        <w:spacing w:after="0" w:line="102"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58" w:lineRule="exact"/>
        <w:rPr>
          <w:sz w:val="20"/>
          <w:szCs w:val="20"/>
          <w:color w:val="auto"/>
        </w:rPr>
      </w:pPr>
    </w:p>
    <w:p>
      <w:pPr>
        <w:ind w:right="460"/>
        <w:spacing w:after="0" w:line="289" w:lineRule="auto"/>
        <w:rPr>
          <w:sz w:val="20"/>
          <w:szCs w:val="20"/>
          <w:color w:val="auto"/>
        </w:rPr>
      </w:pPr>
      <w:r>
        <w:rPr>
          <w:rFonts w:ascii="Arial" w:cs="Arial" w:eastAsia="Arial" w:hAnsi="Arial"/>
          <w:sz w:val="20"/>
          <w:szCs w:val="20"/>
          <w:b w:val="1"/>
          <w:bCs w:val="1"/>
          <w:i w:val="1"/>
          <w:iCs w:val="1"/>
          <w:color w:val="auto"/>
        </w:rPr>
        <w:t>Sales of substantial amounts of our common stock in the public markets could cause the market price of our common stock to decline.</w:t>
      </w:r>
    </w:p>
    <w:p>
      <w:pPr>
        <w:spacing w:after="0" w:line="102"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120,695,162 shares of our voting common stock and 1,873,320 shares of our non-voting common stock outstanding as of December 31, 2023.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53" w:lineRule="exact"/>
        <w:rPr>
          <w:sz w:val="20"/>
          <w:szCs w:val="20"/>
          <w:color w:val="auto"/>
        </w:rPr>
      </w:pPr>
    </w:p>
    <w:p>
      <w:pPr>
        <w:ind w:right="260" w:firstLine="490"/>
        <w:spacing w:after="0" w:line="250" w:lineRule="auto"/>
        <w:rPr>
          <w:sz w:val="20"/>
          <w:szCs w:val="20"/>
          <w:color w:val="auto"/>
        </w:rPr>
      </w:pPr>
      <w:r>
        <w:rPr>
          <w:rFonts w:ascii="Arial" w:cs="Arial" w:eastAsia="Arial" w:hAnsi="Arial"/>
          <w:sz w:val="20"/>
          <w:szCs w:val="20"/>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52"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44" w:lineRule="exact"/>
        <w:rPr>
          <w:sz w:val="20"/>
          <w:szCs w:val="20"/>
          <w:color w:val="auto"/>
        </w:rPr>
      </w:pPr>
    </w:p>
    <w:p>
      <w:pPr>
        <w:ind w:right="360"/>
        <w:spacing w:after="0" w:line="316" w:lineRule="auto"/>
        <w:rPr>
          <w:sz w:val="20"/>
          <w:szCs w:val="20"/>
          <w:color w:val="auto"/>
        </w:rPr>
      </w:pPr>
      <w:r>
        <w:rPr>
          <w:rFonts w:ascii="Arial" w:cs="Arial" w:eastAsia="Arial" w:hAnsi="Arial"/>
          <w:sz w:val="19"/>
          <w:szCs w:val="19"/>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10800"/>
          </w:cols>
          <w:pgMar w:left="720" w:top="1160" w:right="720" w:bottom="175" w:gutter="0" w:footer="0" w:header="0"/>
          <w:type w:val="continuous"/>
        </w:sectPr>
      </w:pPr>
    </w:p>
    <w:bookmarkStart w:id="72" w:name="page73"/>
    <w:bookmarkEnd w:id="72"/>
    <w:p>
      <w:pPr>
        <w:ind w:right="220" w:firstLine="490"/>
        <w:spacing w:after="0" w:line="247" w:lineRule="auto"/>
        <w:rPr>
          <w:sz w:val="20"/>
          <w:szCs w:val="20"/>
          <w:color w:val="auto"/>
        </w:rPr>
      </w:pPr>
      <w:r>
        <w:rPr>
          <w:rFonts w:ascii="Arial" w:cs="Arial" w:eastAsia="Arial" w:hAnsi="Arial"/>
          <w:sz w:val="20"/>
          <w:szCs w:val="20"/>
          <w:color w:val="auto"/>
        </w:rPr>
        <w:t>As of December 31, 2023,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7" w:lineRule="exact"/>
        <w:rPr>
          <w:sz w:val="20"/>
          <w:szCs w:val="20"/>
          <w:color w:val="auto"/>
        </w:rPr>
      </w:pPr>
    </w:p>
    <w:p>
      <w:pPr>
        <w:ind w:right="260"/>
        <w:spacing w:after="0" w:line="289" w:lineRule="auto"/>
        <w:rPr>
          <w:sz w:val="20"/>
          <w:szCs w:val="20"/>
          <w:color w:val="auto"/>
        </w:rPr>
      </w:pPr>
      <w:r>
        <w:rPr>
          <w:rFonts w:ascii="Arial" w:cs="Arial" w:eastAsia="Arial" w:hAnsi="Arial"/>
          <w:sz w:val="20"/>
          <w:szCs w:val="20"/>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02"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61"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27" w:lineRule="exact"/>
        <w:rPr>
          <w:sz w:val="20"/>
          <w:szCs w:val="20"/>
          <w:color w:val="auto"/>
        </w:rPr>
      </w:pPr>
    </w:p>
    <w:p>
      <w:pPr>
        <w:ind w:right="140" w:firstLine="490"/>
        <w:spacing w:after="0" w:line="248" w:lineRule="auto"/>
        <w:rPr>
          <w:sz w:val="20"/>
          <w:szCs w:val="20"/>
          <w:color w:val="auto"/>
        </w:rPr>
      </w:pPr>
      <w:r>
        <w:rPr>
          <w:rFonts w:ascii="Arial" w:cs="Arial" w:eastAsia="Arial" w:hAnsi="Arial"/>
          <w:sz w:val="20"/>
          <w:szCs w:val="20"/>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67" w:lineRule="exact"/>
        <w:rPr>
          <w:sz w:val="20"/>
          <w:szCs w:val="20"/>
          <w:color w:val="auto"/>
        </w:rPr>
      </w:pPr>
    </w:p>
    <w:p>
      <w:pPr>
        <w:ind w:left="860" w:right="240" w:hanging="255"/>
        <w:spacing w:after="0" w:line="282" w:lineRule="auto"/>
        <w:tabs>
          <w:tab w:leader="none" w:pos="8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classified board of directors with three-year staggered terms, which could delay the ability of stockholders to change the membership of a majority of our board of directors;</w:t>
      </w:r>
    </w:p>
    <w:p>
      <w:pPr>
        <w:spacing w:after="0" w:line="132" w:lineRule="exact"/>
        <w:rPr>
          <w:rFonts w:ascii="Arial" w:cs="Arial" w:eastAsia="Arial" w:hAnsi="Arial"/>
          <w:sz w:val="20"/>
          <w:szCs w:val="20"/>
          <w:color w:val="auto"/>
        </w:rPr>
      </w:pPr>
    </w:p>
    <w:p>
      <w:pPr>
        <w:ind w:left="860" w:right="60" w:hanging="255"/>
        <w:spacing w:after="0" w:line="261" w:lineRule="auto"/>
        <w:tabs>
          <w:tab w:leader="none" w:pos="8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53" w:lineRule="exact"/>
        <w:rPr>
          <w:rFonts w:ascii="Arial" w:cs="Arial" w:eastAsia="Arial" w:hAnsi="Arial"/>
          <w:sz w:val="20"/>
          <w:szCs w:val="20"/>
          <w:color w:val="auto"/>
        </w:rPr>
      </w:pPr>
    </w:p>
    <w:p>
      <w:pPr>
        <w:ind w:left="860" w:hanging="255"/>
        <w:spacing w:after="0" w:line="261" w:lineRule="auto"/>
        <w:tabs>
          <w:tab w:leader="none" w:pos="8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3" w:lineRule="exact"/>
        <w:rPr>
          <w:rFonts w:ascii="Arial" w:cs="Arial" w:eastAsia="Arial" w:hAnsi="Arial"/>
          <w:sz w:val="20"/>
          <w:szCs w:val="20"/>
          <w:color w:val="auto"/>
        </w:rPr>
      </w:pPr>
    </w:p>
    <w:p>
      <w:pPr>
        <w:ind w:left="860" w:right="140" w:hanging="255"/>
        <w:spacing w:after="0" w:line="282" w:lineRule="auto"/>
        <w:tabs>
          <w:tab w:leader="none" w:pos="8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prohibition on stockholder action by written consent, which forces stockholder action to be taken at an annual or special meeting of our stockholders;</w:t>
      </w:r>
    </w:p>
    <w:p>
      <w:pPr>
        <w:spacing w:after="0" w:line="132" w:lineRule="exact"/>
        <w:rPr>
          <w:rFonts w:ascii="Arial" w:cs="Arial" w:eastAsia="Arial" w:hAnsi="Arial"/>
          <w:sz w:val="20"/>
          <w:szCs w:val="20"/>
          <w:color w:val="auto"/>
        </w:rPr>
      </w:pPr>
    </w:p>
    <w:p>
      <w:pPr>
        <w:jc w:val="both"/>
        <w:ind w:left="860" w:right="100" w:hanging="255"/>
        <w:spacing w:after="0" w:line="281" w:lineRule="auto"/>
        <w:tabs>
          <w:tab w:leader="none" w:pos="8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5" w:lineRule="exact"/>
        <w:rPr>
          <w:rFonts w:ascii="Arial" w:cs="Arial" w:eastAsia="Arial" w:hAnsi="Arial"/>
          <w:sz w:val="19"/>
          <w:szCs w:val="19"/>
          <w:color w:val="auto"/>
        </w:rPr>
      </w:pPr>
    </w:p>
    <w:p>
      <w:pPr>
        <w:ind w:left="860" w:right="320" w:hanging="255"/>
        <w:spacing w:after="0" w:line="254" w:lineRule="auto"/>
        <w:tabs>
          <w:tab w:leader="none" w:pos="8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59" w:lineRule="exact"/>
        <w:rPr>
          <w:rFonts w:ascii="Arial" w:cs="Arial" w:eastAsia="Arial" w:hAnsi="Arial"/>
          <w:sz w:val="20"/>
          <w:szCs w:val="20"/>
          <w:color w:val="auto"/>
        </w:rPr>
      </w:pPr>
    </w:p>
    <w:p>
      <w:pPr>
        <w:ind w:left="860" w:right="280" w:hanging="255"/>
        <w:spacing w:after="0" w:line="254" w:lineRule="auto"/>
        <w:tabs>
          <w:tab w:leader="none" w:pos="8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ectPr>
          <w:pgSz w:w="12240" w:h="15840" w:orient="portrait"/>
          <w:cols w:equalWidth="0" w:num="1">
            <w:col w:w="10780"/>
          </w:cols>
          <w:pgMar w:left="720" w:top="1160" w:right="740" w:bottom="175"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10780"/>
          </w:cols>
          <w:pgMar w:left="720" w:top="1160" w:right="740" w:bottom="175" w:gutter="0" w:footer="0" w:header="0"/>
          <w:type w:val="continuous"/>
        </w:sectPr>
      </w:pPr>
    </w:p>
    <w:bookmarkStart w:id="73" w:name="page74"/>
    <w:bookmarkEnd w:id="73"/>
    <w:p>
      <w:pPr>
        <w:ind w:firstLine="490"/>
        <w:spacing w:after="0" w:line="250" w:lineRule="auto"/>
        <w:rPr>
          <w:sz w:val="20"/>
          <w:szCs w:val="20"/>
          <w:color w:val="auto"/>
        </w:rPr>
      </w:pPr>
      <w:r>
        <w:rPr>
          <w:rFonts w:ascii="Arial" w:cs="Arial" w:eastAsia="Arial" w:hAnsi="Arial"/>
          <w:sz w:val="20"/>
          <w:szCs w:val="20"/>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52"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56" w:lineRule="exact"/>
        <w:rPr>
          <w:sz w:val="20"/>
          <w:szCs w:val="20"/>
          <w:color w:val="auto"/>
        </w:rPr>
      </w:pPr>
    </w:p>
    <w:p>
      <w:pPr>
        <w:ind w:right="640"/>
        <w:spacing w:after="0" w:line="256" w:lineRule="auto"/>
        <w:rPr>
          <w:sz w:val="20"/>
          <w:szCs w:val="20"/>
          <w:color w:val="auto"/>
        </w:rPr>
      </w:pPr>
      <w:r>
        <w:rPr>
          <w:rFonts w:ascii="Arial" w:cs="Arial" w:eastAsia="Arial" w:hAnsi="Arial"/>
          <w:sz w:val="20"/>
          <w:szCs w:val="20"/>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35"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10800"/>
          </w:cols>
          <w:pgMar w:left="720" w:top="1160" w:right="720" w:bottom="175"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04" w:lineRule="exact"/>
        <w:rPr>
          <w:sz w:val="20"/>
          <w:szCs w:val="20"/>
          <w:color w:val="auto"/>
        </w:rPr>
      </w:pPr>
    </w:p>
    <w:p>
      <w:pPr>
        <w:ind w:right="620" w:firstLine="490"/>
        <w:spacing w:after="0" w:line="310" w:lineRule="auto"/>
        <w:rPr>
          <w:sz w:val="20"/>
          <w:szCs w:val="20"/>
          <w:color w:val="auto"/>
        </w:rPr>
      </w:pPr>
      <w:r>
        <w:rPr>
          <w:rFonts w:ascii="Arial" w:cs="Arial" w:eastAsia="Arial" w:hAnsi="Arial"/>
          <w:sz w:val="19"/>
          <w:szCs w:val="19"/>
          <w:color w:val="auto"/>
        </w:rPr>
        <w:t>Flywire recognizes the critical importance of developing, implementing and maintaining robust cybersecurity measures to safeguard our information systems and protect the confidentiality, integrity, and availability of our data.</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Managing Material Risks and Integrated Overall Risk Management</w:t>
      </w:r>
    </w:p>
    <w:p>
      <w:pPr>
        <w:spacing w:after="0" w:line="192"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Flywire has strategically integrated cybersecurity risk management into our broader risk management framework to promote a company-wide culture of cybersecurity risk management. This integration ensures that cybersecurity considerations are an integral part of our decision-making processes at every level. Our security and risk management team works closely with our IT department to continuously evaluate and address cybersecurity risks in alignment with our business objectives and operational needs.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Engage Third-parties on Risk Management</w:t>
      </w:r>
    </w:p>
    <w:p>
      <w:pPr>
        <w:spacing w:after="0" w:line="192" w:lineRule="exact"/>
        <w:rPr>
          <w:sz w:val="20"/>
          <w:szCs w:val="20"/>
          <w:color w:val="auto"/>
        </w:rPr>
      </w:pPr>
    </w:p>
    <w:p>
      <w:pPr>
        <w:ind w:right="240" w:firstLine="490"/>
        <w:spacing w:after="0" w:line="250" w:lineRule="auto"/>
        <w:rPr>
          <w:sz w:val="20"/>
          <w:szCs w:val="20"/>
          <w:color w:val="auto"/>
        </w:rPr>
      </w:pPr>
      <w:r>
        <w:rPr>
          <w:rFonts w:ascii="Arial" w:cs="Arial" w:eastAsia="Arial" w:hAnsi="Arial"/>
          <w:sz w:val="20"/>
          <w:szCs w:val="20"/>
          <w:color w:val="auto"/>
        </w:rPr>
        <w:t>Recognizing the complexity and evolving nature of cybersecurity threats, Flywire engages with a range of external experts, including cybersecurity assessors, consultants and auditors in evaluating and testing our risk management systems. These partnerships enable us to leverage specialized knowledge and insights, ensuring our cybersecurity strategies and processes remain at the forefront of industry best practices. Our collaboration with these third-parties includes regular audits, threat assessments and consultation on security enhancements.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Oversee Third-party Risk</w:t>
      </w:r>
    </w:p>
    <w:p>
      <w:pPr>
        <w:spacing w:after="0" w:line="192"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Flywire implements stringent processes to oversee and manage the risks associated with third-party service providers. We conduct thorough security assessments of all third-party providers before engagement and maintain ongoing monitoring to ensure compliance with our cybersecurity standards. The monitoring includes annual assessments by our Chief Information Security Officer (CISO) and on an ongoing basis by our security and risk management team and our security engineers. This approach is designed to mitigate risks related to data breaches or other security incidents originating from third-parties.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from Cybersecurity Threats</w:t>
      </w:r>
    </w:p>
    <w:p>
      <w:pPr>
        <w:spacing w:after="0" w:line="192" w:lineRule="exact"/>
        <w:rPr>
          <w:sz w:val="20"/>
          <w:szCs w:val="20"/>
          <w:color w:val="auto"/>
        </w:rPr>
      </w:pPr>
    </w:p>
    <w:p>
      <w:pPr>
        <w:ind w:right="800" w:firstLine="490"/>
        <w:spacing w:after="0" w:line="282" w:lineRule="auto"/>
        <w:rPr>
          <w:sz w:val="20"/>
          <w:szCs w:val="20"/>
          <w:color w:val="auto"/>
        </w:rPr>
      </w:pPr>
      <w:r>
        <w:rPr>
          <w:rFonts w:ascii="Arial" w:cs="Arial" w:eastAsia="Arial" w:hAnsi="Arial"/>
          <w:sz w:val="20"/>
          <w:szCs w:val="20"/>
          <w:color w:val="auto"/>
        </w:rPr>
        <w:t>We have not encountered cybersecurity challenges that have materially impaired our operations or financial standing.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Governance</w:t>
      </w:r>
    </w:p>
    <w:p>
      <w:pPr>
        <w:spacing w:after="0" w:line="196"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Our Board of Directors is acutely aware of the critical nature of managing risks associated with cybersecurity threats. Our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 of Directors Oversight</w:t>
      </w:r>
    </w:p>
    <w:p>
      <w:pPr>
        <w:spacing w:after="0" w:line="192"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Our Audit Committee is central to the Board’s oversight of cybersecurity risks and bears the primary responsibility for this domain. The Audit Committee is composed of board members with diverse expertise including risk management, technology and finance, which we believe equips them to oversee cybersecurity risks effectively.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Management’s Role Managing Risk</w:t>
      </w:r>
    </w:p>
    <w:p>
      <w:pPr>
        <w:spacing w:after="0" w:line="192"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CISO, General Counsel &amp; Chief Compliance Officer (GC &amp; CCO), Chief Operating Officer (COO) and the Chief Executive Officer (CEO) play a pivotal role in informing the Audit Committee on cybersecurity risks. They provide comprehensive briefings to the Audit Committee on a quarterly basis. These briefings encompass a broad range of topics, including:</w:t>
      </w:r>
    </w:p>
    <w:p>
      <w:pPr>
        <w:sectPr>
          <w:pgSz w:w="12240" w:h="15840" w:orient="portrait"/>
          <w:cols w:equalWidth="0" w:num="1">
            <w:col w:w="10800"/>
          </w:cols>
          <w:pgMar w:left="720" w:top="1356" w:right="720" w:bottom="175"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10800"/>
          </w:cols>
          <w:pgMar w:left="720" w:top="1356" w:right="720" w:bottom="175" w:gutter="0" w:footer="0" w:header="0"/>
          <w:type w:val="continuous"/>
        </w:sectPr>
      </w:pPr>
    </w:p>
    <w:bookmarkStart w:id="75" w:name="page76"/>
    <w:bookmarkEnd w:id="75"/>
    <w:p>
      <w:pPr>
        <w:ind w:left="980" w:hanging="491"/>
        <w:spacing w:after="0"/>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Current cybersecurity landscape and emerging threats;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Status of ongoing cybersecurity initiatives and strategies;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Incident reports and learnings from any cybersecurity events;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Risk mitigation efforts and insurance;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Compliance with regulatory requirements and industry standards.</w:t>
      </w:r>
    </w:p>
    <w:p>
      <w:pPr>
        <w:spacing w:after="0" w:line="200"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In addition to our scheduled meetings, the Audit Committee, CISO, GC &amp; CCO, COO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Flywire. Our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 Management Personnel</w:t>
      </w:r>
    </w:p>
    <w:p>
      <w:pPr>
        <w:spacing w:after="0" w:line="192"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Primary responsibility for assessing, monitoring and managing our cybersecurity risks rests with the CISO. With over 30 years of experience in the field of cybersecurity, the CISO brings a wealth of expertise to her role. Her background includes extensive experience as an enterprise CISO and is well-recognized within the industry. Her in-depth knowledge and experience are instrumental in developing and executing our cybersecurity strategies. Our CISO oversees our governance programs, tests our compliance with standards, remediates known risks, and leads our employee training program.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Monitor Cybersecurity Incidents</w:t>
      </w:r>
    </w:p>
    <w:p>
      <w:pPr>
        <w:spacing w:after="0" w:line="192"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The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 and is subject to periodic testing for effectiveness of response and remediation.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Reporting to Board of Directors</w:t>
      </w:r>
    </w:p>
    <w:p>
      <w:pPr>
        <w:spacing w:after="0" w:line="192"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Our CISO, in her capacity, regularly informs our Chief Financial Officer (CFO), GC &amp; CCO, COO and CEO of all aspects related to cybersecurity risks and incidents. This ensures that the highest levels of management are kept abreast of the cybersecurity posture and potential risks facing Flywire. Furthermore, our CISO reports to the Board of Directors at a minimum twice a year, ensuring that they have comprehensive oversight and can provide guidance on significant cybersecurity matters, and strategic risk management decisions.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04" w:lineRule="exact"/>
        <w:rPr>
          <w:sz w:val="20"/>
          <w:szCs w:val="20"/>
          <w:color w:val="auto"/>
        </w:rPr>
      </w:pPr>
    </w:p>
    <w:p>
      <w:pPr>
        <w:ind w:right="40" w:firstLine="490"/>
        <w:spacing w:after="0" w:line="281" w:lineRule="auto"/>
        <w:rPr>
          <w:sz w:val="20"/>
          <w:szCs w:val="20"/>
          <w:color w:val="auto"/>
        </w:rPr>
      </w:pPr>
      <w:r>
        <w:rPr>
          <w:rFonts w:ascii="Arial" w:cs="Arial" w:eastAsia="Arial" w:hAnsi="Arial"/>
          <w:sz w:val="19"/>
          <w:szCs w:val="19"/>
          <w:color w:val="auto"/>
        </w:rPr>
        <w:t>Our corporate headquarters are located in Boston, Massachusetts, where we occupy facilities totaling approximately 10,946 square feet under a lease that expires in June 2027. We use these facilities for administration, finance, legal, compliance, human resources, global payments, IT, sales and marketing, engineering, and customer success.</w:t>
      </w:r>
    </w:p>
    <w:p>
      <w:pPr>
        <w:spacing w:after="0" w:line="123" w:lineRule="exact"/>
        <w:rPr>
          <w:sz w:val="20"/>
          <w:szCs w:val="20"/>
          <w:color w:val="auto"/>
        </w:rPr>
      </w:pPr>
    </w:p>
    <w:p>
      <w:pPr>
        <w:jc w:val="both"/>
        <w:ind w:right="140" w:firstLine="490"/>
        <w:spacing w:after="0" w:line="254" w:lineRule="auto"/>
        <w:rPr>
          <w:sz w:val="20"/>
          <w:szCs w:val="20"/>
          <w:color w:val="auto"/>
        </w:rPr>
      </w:pPr>
      <w:r>
        <w:rPr>
          <w:rFonts w:ascii="Arial" w:cs="Arial" w:eastAsia="Arial" w:hAnsi="Arial"/>
          <w:sz w:val="20"/>
          <w:szCs w:val="20"/>
          <w:color w:val="auto"/>
        </w:rPr>
        <w:t>We maintain other leased locations in the United States and throughout the world. We intend to procure additional space as we add FlyMates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Item 3. Legal Proceedings</w:t>
      </w:r>
    </w:p>
    <w:p>
      <w:pPr>
        <w:spacing w:after="0" w:line="204" w:lineRule="exact"/>
        <w:rPr>
          <w:sz w:val="20"/>
          <w:szCs w:val="20"/>
          <w:color w:val="auto"/>
        </w:rPr>
      </w:pPr>
    </w:p>
    <w:p>
      <w:pPr>
        <w:ind w:right="180" w:firstLine="490"/>
        <w:spacing w:after="0" w:line="282" w:lineRule="auto"/>
        <w:rPr>
          <w:sz w:val="20"/>
          <w:szCs w:val="20"/>
          <w:color w:val="auto"/>
        </w:rPr>
      </w:pPr>
      <w:r>
        <w:rPr>
          <w:rFonts w:ascii="Arial" w:cs="Arial" w:eastAsia="Arial" w:hAnsi="Arial"/>
          <w:sz w:val="20"/>
          <w:szCs w:val="20"/>
          <w:color w:val="auto"/>
        </w:rPr>
        <w:t>From time to time, we may be subject to legal proceedings and claims in the ordinary course of business, including patent, commercial, product liability, employment, class action, whistleblower, and other litigation and claims, as well as</w:t>
      </w:r>
    </w:p>
    <w:p>
      <w:pPr>
        <w:sectPr>
          <w:pgSz w:w="12240" w:h="15840" w:orient="portrait"/>
          <w:cols w:equalWidth="0" w:num="1">
            <w:col w:w="10800"/>
          </w:cols>
          <w:pgMar w:left="720" w:top="1174" w:right="720" w:bottom="175"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10800"/>
          </w:cols>
          <w:pgMar w:left="720" w:top="1174" w:right="720" w:bottom="175" w:gutter="0" w:footer="0" w:header="0"/>
          <w:type w:val="continuous"/>
        </w:sectPr>
      </w:pPr>
    </w:p>
    <w:bookmarkStart w:id="76" w:name="page77"/>
    <w:bookmarkEnd w:id="76"/>
    <w:p>
      <w:pPr>
        <w:ind w:right="160"/>
        <w:spacing w:after="0" w:line="267" w:lineRule="auto"/>
        <w:rPr>
          <w:sz w:val="20"/>
          <w:szCs w:val="20"/>
          <w:color w:val="auto"/>
        </w:rPr>
      </w:pPr>
      <w:r>
        <w:rPr>
          <w:rFonts w:ascii="Arial" w:cs="Arial" w:eastAsia="Arial" w:hAnsi="Arial"/>
          <w:sz w:val="19"/>
          <w:szCs w:val="19"/>
          <w:color w:val="auto"/>
        </w:rPr>
        <w:t>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35"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In the course of implementing geolocation data-based sanctions screening measures, we identified certain payments which, based on geolocation data, appear to have been initiated from Cuba, Iran, or Syria, in potential violation of applicable sanctions regimes. Although Flywire continues to evaluate whether these or other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we do not believe that the amount of any loss incurred as a result of this matter would be material to its business, financial condition,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10780"/>
          </w:cols>
          <w:pgMar w:left="720" w:top="1160" w:right="740" w:bottom="175"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04" w:lineRule="exact"/>
        <w:rPr>
          <w:sz w:val="20"/>
          <w:szCs w:val="20"/>
          <w:color w:val="auto"/>
        </w:rPr>
      </w:pPr>
    </w:p>
    <w:p>
      <w:pPr>
        <w:ind w:right="400" w:firstLine="490"/>
        <w:spacing w:after="0" w:line="282" w:lineRule="auto"/>
        <w:rPr>
          <w:sz w:val="20"/>
          <w:szCs w:val="20"/>
          <w:color w:val="auto"/>
        </w:rPr>
      </w:pPr>
      <w:r>
        <w:rPr>
          <w:rFonts w:ascii="Arial" w:cs="Arial" w:eastAsia="Arial" w:hAnsi="Arial"/>
          <w:sz w:val="20"/>
          <w:szCs w:val="20"/>
          <w:color w:val="auto"/>
        </w:rPr>
        <w:t>Our voting common stock trades on the Nasdaq Global Select Market under the symbol “FLYW.” Our non-voting common stock is not listed on any stock exchange nor traded on any public market.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204" w:lineRule="exact"/>
        <w:rPr>
          <w:sz w:val="20"/>
          <w:szCs w:val="20"/>
          <w:color w:val="auto"/>
        </w:rPr>
      </w:pPr>
    </w:p>
    <w:p>
      <w:pPr>
        <w:jc w:val="both"/>
        <w:ind w:right="260" w:firstLine="490"/>
        <w:spacing w:after="0" w:line="261" w:lineRule="auto"/>
        <w:rPr>
          <w:sz w:val="20"/>
          <w:szCs w:val="20"/>
          <w:color w:val="auto"/>
        </w:rPr>
      </w:pPr>
      <w:r>
        <w:rPr>
          <w:rFonts w:ascii="Arial" w:cs="Arial" w:eastAsia="Arial" w:hAnsi="Arial"/>
          <w:sz w:val="20"/>
          <w:szCs w:val="20"/>
          <w:color w:val="auto"/>
        </w:rPr>
        <w:t>As of February 23, 2024, there were approximately 36 holders of record of our voting common stock. This number does not include beneficial owners whose shares are held by nominees in street name. As of February 23, 2024, there was 1 holder of record of our non-voting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04"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syndication loan restrict our ability to pay dividends.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04"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52"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The following graph depicts the total cumulative stockholder return on our common stock from May 26, 2021, the first day of trading of our common stock on the Nasdaq Global Select Market, through December 31, 2023, relative to the performance of the S&amp;P 500 Index and S&amp;P 500 IT Index. The graph assumes an initial investment of $100.00 at the close of trading on May 26, 2021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109855</wp:posOffset>
            </wp:positionV>
            <wp:extent cx="5040630" cy="2824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5040630" cy="2824480"/>
                    </a:xfrm>
                    <a:prstGeom prst="rect">
                      <a:avLst/>
                    </a:prstGeom>
                    <a:noFill/>
                  </pic:spPr>
                </pic:pic>
              </a:graphicData>
            </a:graphic>
          </wp:anchor>
        </w:drawing>
      </w:r>
    </w:p>
    <w:p>
      <w:pPr>
        <w:sectPr>
          <w:pgSz w:w="12240" w:h="15840" w:orient="portrait"/>
          <w:cols w:equalWidth="0" w:num="1">
            <w:col w:w="10800"/>
          </w:cols>
          <w:pgMar w:left="720" w:top="115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10800"/>
          </w:cols>
          <w:pgMar w:left="720" w:top="1156" w:right="720" w:bottom="175"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2240" w:h="15840" w:orient="portrait"/>
          <w:cols w:equalWidth="0" w:num="1">
            <w:col w:w="10080"/>
          </w:cols>
          <w:pgMar w:left="720" w:top="115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10080"/>
          </w:cols>
          <w:pgMar w:left="720" w:top="1156" w:right="1440" w:bottom="175"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12"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04" w:lineRule="exact"/>
        <w:rPr>
          <w:sz w:val="20"/>
          <w:szCs w:val="20"/>
          <w:color w:val="auto"/>
        </w:rPr>
      </w:pPr>
    </w:p>
    <w:p>
      <w:pPr>
        <w:ind w:right="220" w:firstLine="490"/>
        <w:spacing w:after="0" w:line="247" w:lineRule="auto"/>
        <w:rPr>
          <w:sz w:val="20"/>
          <w:szCs w:val="20"/>
          <w:color w:val="auto"/>
        </w:rPr>
      </w:pPr>
      <w:r>
        <w:rPr>
          <w:rFonts w:ascii="Arial" w:cs="Arial" w:eastAsia="Arial" w:hAnsi="Arial"/>
          <w:sz w:val="20"/>
          <w:szCs w:val="20"/>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53" w:lineRule="exact"/>
        <w:rPr>
          <w:sz w:val="20"/>
          <w:szCs w:val="20"/>
          <w:color w:val="auto"/>
        </w:rPr>
      </w:pPr>
    </w:p>
    <w:p>
      <w:pPr>
        <w:ind w:right="120" w:firstLine="490"/>
        <w:spacing w:after="0" w:line="247"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Flywire Advantage</w:t>
      </w:r>
      <w:r>
        <w:rPr>
          <w:rFonts w:ascii="Arial" w:cs="Arial" w:eastAsia="Arial" w:hAnsi="Arial"/>
          <w:sz w:val="20"/>
          <w:szCs w:val="20"/>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20"/>
          <w:szCs w:val="20"/>
          <w:i w:val="1"/>
          <w:iCs w:val="1"/>
          <w:color w:val="auto"/>
        </w:rPr>
        <w:t>Flywire</w:t>
      </w:r>
      <w:r>
        <w:rPr>
          <w:rFonts w:ascii="Arial" w:cs="Arial" w:eastAsia="Arial" w:hAnsi="Arial"/>
          <w:sz w:val="20"/>
          <w:szCs w:val="20"/>
          <w:color w:val="auto"/>
        </w:rPr>
        <w:t xml:space="preserve"> </w:t>
      </w:r>
      <w:r>
        <w:rPr>
          <w:rFonts w:ascii="Arial" w:cs="Arial" w:eastAsia="Arial" w:hAnsi="Arial"/>
          <w:sz w:val="20"/>
          <w:szCs w:val="20"/>
          <w:i w:val="1"/>
          <w:iCs w:val="1"/>
          <w:color w:val="auto"/>
        </w:rPr>
        <w:t>Advantage</w:t>
      </w:r>
      <w:r>
        <w:rPr>
          <w:rFonts w:ascii="Arial" w:cs="Arial" w:eastAsia="Arial" w:hAnsi="Arial"/>
          <w:sz w:val="20"/>
          <w:szCs w:val="20"/>
          <w:color w:val="auto"/>
        </w:rPr>
        <w:t>, we aim to power the transformation of our clients’ accounts receivable functions by automating paper and</w:t>
      </w:r>
      <w:r>
        <w:rPr>
          <w:rFonts w:ascii="Arial" w:cs="Arial" w:eastAsia="Arial" w:hAnsi="Arial"/>
          <w:sz w:val="20"/>
          <w:szCs w:val="20"/>
          <w:i w:val="1"/>
          <w:iCs w:val="1"/>
          <w:color w:val="auto"/>
        </w:rPr>
        <w:t xml:space="preserve"> </w:t>
      </w:r>
      <w:r>
        <w:rPr>
          <w:rFonts w:ascii="Arial" w:cs="Arial" w:eastAsia="Arial" w:hAnsi="Arial"/>
          <w:sz w:val="20"/>
          <w:szCs w:val="20"/>
          <w:color w:val="auto"/>
        </w:rPr>
        <w:t>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53"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ectPr>
          <w:pgSz w:w="12240" w:h="15840" w:orient="portrait"/>
          <w:cols w:equalWidth="0" w:num="1">
            <w:col w:w="10800"/>
          </w:cols>
          <w:pgMar w:left="720" w:top="115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10800"/>
          </w:cols>
          <w:pgMar w:left="720" w:top="1156" w:right="720" w:bottom="175"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763905</wp:posOffset>
            </wp:positionV>
            <wp:extent cx="6858000" cy="4629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20" w:firstLine="490"/>
        <w:spacing w:after="0" w:line="282" w:lineRule="auto"/>
        <w:rPr>
          <w:sz w:val="20"/>
          <w:szCs w:val="20"/>
          <w:color w:val="auto"/>
        </w:rPr>
      </w:pPr>
      <w:r>
        <w:rPr>
          <w:rFonts w:ascii="Arial" w:cs="Arial" w:eastAsia="Arial" w:hAnsi="Arial"/>
          <w:sz w:val="20"/>
          <w:szCs w:val="20"/>
          <w:color w:val="auto"/>
        </w:rPr>
        <w:t>The combination of our differentiated solution and efficient go-to-market strategy has resulted in strong and consistent client growth.</w:t>
      </w:r>
    </w:p>
    <w:p>
      <w:pPr>
        <w:spacing w:after="0" w:line="53" w:lineRule="exact"/>
        <w:rPr>
          <w:sz w:val="20"/>
          <w:szCs w:val="20"/>
          <w:color w:val="auto"/>
        </w:rPr>
      </w:pPr>
    </w:p>
    <w:p>
      <w:pPr>
        <w:ind w:left="980" w:right="80" w:hanging="491"/>
        <w:spacing w:after="0" w:line="249"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b w:val="1"/>
          <w:bCs w:val="1"/>
          <w:i w:val="1"/>
          <w:iCs w:val="1"/>
          <w:color w:val="auto"/>
        </w:rPr>
        <w:t>Rapid domestic and international payments volume growth</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have grown our total payment volume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approximately 33% period-over-period from $18.1 billion during the year ended December 31, 2022 to $24.0 billion during the year ended December 31, 2023. We grew our total payment volume by approximately</w:t>
      </w:r>
    </w:p>
    <w:p>
      <w:pPr>
        <w:ind w:left="980"/>
        <w:spacing w:after="0" w:line="255" w:lineRule="auto"/>
        <w:rPr>
          <w:rFonts w:ascii="Arial" w:cs="Arial" w:eastAsia="Arial" w:hAnsi="Arial"/>
          <w:sz w:val="20"/>
          <w:szCs w:val="20"/>
          <w:color w:val="auto"/>
        </w:rPr>
      </w:pPr>
      <w:r>
        <w:rPr>
          <w:rFonts w:ascii="Arial" w:cs="Arial" w:eastAsia="Arial" w:hAnsi="Arial"/>
          <w:sz w:val="20"/>
          <w:szCs w:val="20"/>
          <w:color w:val="auto"/>
        </w:rPr>
        <w:t>37% period-over-period from $13.2 billion during the year ended December 31, 2021 to $18.1 billion during the year ended December 31, 2022.</w:t>
      </w:r>
    </w:p>
    <w:p>
      <w:pPr>
        <w:spacing w:after="0" w:line="78" w:lineRule="exact"/>
        <w:rPr>
          <w:rFonts w:ascii="Arial" w:cs="Arial" w:eastAsia="Arial" w:hAnsi="Arial"/>
          <w:sz w:val="20"/>
          <w:szCs w:val="20"/>
          <w:color w:val="auto"/>
        </w:rPr>
      </w:pPr>
    </w:p>
    <w:p>
      <w:pPr>
        <w:ind w:left="980" w:right="40" w:hanging="491"/>
        <w:spacing w:after="0" w:line="261"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b w:val="1"/>
          <w:bCs w:val="1"/>
          <w:i w:val="1"/>
          <w:iCs w:val="1"/>
          <w:color w:val="auto"/>
        </w:rPr>
        <w:t>Expanded global payments network</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have continued to add to the capabilities of our payment network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means of new local bank accounts and payment partners, and have expanded our global reach to over 240 countries and territories and more than 140 currencies.</w:t>
      </w:r>
    </w:p>
    <w:p>
      <w:pPr>
        <w:spacing w:after="0" w:line="73" w:lineRule="exact"/>
        <w:rPr>
          <w:rFonts w:ascii="Arial" w:cs="Arial" w:eastAsia="Arial" w:hAnsi="Arial"/>
          <w:sz w:val="20"/>
          <w:szCs w:val="20"/>
          <w:color w:val="auto"/>
        </w:rPr>
      </w:pPr>
    </w:p>
    <w:p>
      <w:pPr>
        <w:ind w:left="980" w:right="440" w:hanging="491"/>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b w:val="1"/>
          <w:bCs w:val="1"/>
          <w:i w:val="1"/>
          <w:iCs w:val="1"/>
          <w:color w:val="auto"/>
        </w:rPr>
        <w:t>Enjoyable and personalized user experience</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NPS of 62 in fiscal year 2022 demonstrates a strong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affinity among our clients for our platform.</w:t>
      </w:r>
    </w:p>
    <w:p>
      <w:pPr>
        <w:spacing w:after="0" w:line="52" w:lineRule="exact"/>
        <w:rPr>
          <w:rFonts w:ascii="Arial" w:cs="Arial" w:eastAsia="Arial" w:hAnsi="Arial"/>
          <w:sz w:val="20"/>
          <w:szCs w:val="20"/>
          <w:color w:val="auto"/>
        </w:rPr>
      </w:pPr>
    </w:p>
    <w:p>
      <w:pPr>
        <w:ind w:left="980" w:right="140" w:hanging="491"/>
        <w:spacing w:after="0" w:line="245"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b w:val="1"/>
          <w:bCs w:val="1"/>
          <w:i w:val="1"/>
          <w:iCs w:val="1"/>
          <w:color w:val="auto"/>
        </w:rPr>
        <w:t>Strong dollar-based net retention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year ended December 31, 2023, our annual net dollar-based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retention rate was approximately 125%. For the year ended December 31, 2022, our annual net dollar-based retention rate was approximately 124%. For the year ended December 31, 2021, our annual net dollar-based retention rate was approximately 140%.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57" w:lineRule="exact"/>
        <w:rPr>
          <w:sz w:val="20"/>
          <w:szCs w:val="20"/>
          <w:color w:val="auto"/>
        </w:rPr>
      </w:pPr>
    </w:p>
    <w:p>
      <w:pPr>
        <w:ind w:right="120" w:firstLine="490"/>
        <w:spacing w:after="0" w:line="310" w:lineRule="auto"/>
        <w:rPr>
          <w:sz w:val="20"/>
          <w:szCs w:val="20"/>
          <w:color w:val="auto"/>
        </w:rPr>
      </w:pPr>
      <w:r>
        <w:rPr>
          <w:rFonts w:ascii="Arial" w:cs="Arial" w:eastAsia="Arial" w:hAnsi="Arial"/>
          <w:sz w:val="19"/>
          <w:szCs w:val="19"/>
          <w:color w:val="auto"/>
        </w:rPr>
        <w:t>As of December 31, 2023, we serve over 3,800 clients around the world. In education, we serve more than 2,800 institutions. In healthcare, we power more than 90 healthcare systems, including four of the top 10 healthcare systems in</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10760"/>
          </w:cols>
          <w:pgMar w:left="720" w:top="1440" w:right="760" w:bottom="175" w:gutter="0" w:footer="0" w:header="0"/>
        </w:sectPr>
      </w:pPr>
    </w:p>
    <w:bookmarkStart w:id="81" w:name="page82"/>
    <w:bookmarkEnd w:id="81"/>
    <w:p>
      <w:pPr>
        <w:ind w:right="460"/>
        <w:spacing w:after="0" w:line="282" w:lineRule="auto"/>
        <w:rPr>
          <w:sz w:val="20"/>
          <w:szCs w:val="20"/>
          <w:color w:val="auto"/>
        </w:rPr>
      </w:pPr>
      <w:r>
        <w:rPr>
          <w:rFonts w:ascii="Arial" w:cs="Arial" w:eastAsia="Arial" w:hAnsi="Arial"/>
          <w:sz w:val="20"/>
          <w:szCs w:val="20"/>
          <w:color w:val="auto"/>
        </w:rPr>
        <w:t>the United States ranked by hospital size as of December 31, 2023. In our newer payment verticals of travel and B2B payments, we have a growing portfolio of more than 900 clients as of December 31, 2023.</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Our success in building our client base around the world and expanding utilization by our clients’ customers has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allowed us to achieve significant scale. We enabled over $24.0 billion and approximately $18.1 billion in total payment</w:t>
      </w:r>
    </w:p>
    <w:p>
      <w:pPr>
        <w:spacing w:after="0"/>
        <w:rPr>
          <w:sz w:val="20"/>
          <w:szCs w:val="20"/>
          <w:color w:val="auto"/>
        </w:rPr>
      </w:pPr>
      <w:r>
        <w:rPr>
          <w:rFonts w:ascii="Arial" w:cs="Arial" w:eastAsia="Arial" w:hAnsi="Arial"/>
          <w:sz w:val="20"/>
          <w:szCs w:val="20"/>
          <w:color w:val="auto"/>
        </w:rPr>
        <w:t>volume during the years ended December 31, 2023 and 2022, respectively. We generated revenue of $403.1 million,</w:t>
      </w:r>
    </w:p>
    <w:p>
      <w:pPr>
        <w:spacing w:after="0"/>
        <w:rPr>
          <w:sz w:val="20"/>
          <w:szCs w:val="20"/>
          <w:color w:val="auto"/>
        </w:rPr>
      </w:pPr>
      <w:r>
        <w:rPr>
          <w:rFonts w:ascii="Arial" w:cs="Arial" w:eastAsia="Arial" w:hAnsi="Arial"/>
          <w:sz w:val="20"/>
          <w:szCs w:val="20"/>
          <w:color w:val="auto"/>
        </w:rPr>
        <w:t>$289.4 million and $201.1 million for the years ended December 31, 2023, 2022 and 2021, respectively, and incurred net</w:t>
      </w:r>
    </w:p>
    <w:p>
      <w:pPr>
        <w:spacing w:after="0"/>
        <w:rPr>
          <w:sz w:val="20"/>
          <w:szCs w:val="20"/>
          <w:color w:val="auto"/>
        </w:rPr>
      </w:pPr>
      <w:r>
        <w:rPr>
          <w:rFonts w:ascii="Arial" w:cs="Arial" w:eastAsia="Arial" w:hAnsi="Arial"/>
          <w:sz w:val="20"/>
          <w:szCs w:val="20"/>
          <w:color w:val="auto"/>
        </w:rPr>
        <w:t>losses of $8.6 million, $39.3 million, and $28.1 million for those same years.</w:t>
      </w:r>
    </w:p>
    <w:p>
      <w:pPr>
        <w:spacing w:after="0" w:line="174"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5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Follow-On Offering</w:t>
      </w:r>
    </w:p>
    <w:p>
      <w:pPr>
        <w:spacing w:after="0" w:line="204" w:lineRule="exact"/>
        <w:rPr>
          <w:sz w:val="20"/>
          <w:szCs w:val="20"/>
          <w:color w:val="auto"/>
        </w:rPr>
      </w:pPr>
    </w:p>
    <w:p>
      <w:pPr>
        <w:ind w:right="220" w:firstLine="490"/>
        <w:spacing w:after="0" w:line="250" w:lineRule="auto"/>
        <w:rPr>
          <w:sz w:val="20"/>
          <w:szCs w:val="20"/>
          <w:color w:val="auto"/>
        </w:rPr>
      </w:pPr>
      <w:r>
        <w:rPr>
          <w:rFonts w:ascii="Arial" w:cs="Arial" w:eastAsia="Arial" w:hAnsi="Arial"/>
          <w:sz w:val="20"/>
          <w:szCs w:val="20"/>
          <w:color w:val="auto"/>
        </w:rPr>
        <w:t>On August 9, 2023, we entered into an underwriting agreement (Underwriting Agreement) with Goldman Sachs &amp; Co. LLC, as representative of the several underwriters (Underwriters), in connection with the offer and sale of 8,000,000 shares of common stock, at a price to the public of $32.00 per share (the Primary Offering). In addition, pursuant to the terms of the Underwriting Agreement, we granted the Underwriters an option to purchase up to 1,200,000 additional shares of Common Stock (Underwriters’ Option).</w:t>
      </w:r>
    </w:p>
    <w:p>
      <w:pPr>
        <w:spacing w:after="0" w:line="152" w:lineRule="exact"/>
        <w:rPr>
          <w:sz w:val="20"/>
          <w:szCs w:val="20"/>
          <w:color w:val="auto"/>
        </w:rPr>
      </w:pPr>
    </w:p>
    <w:p>
      <w:pPr>
        <w:ind w:right="200" w:firstLine="490"/>
        <w:spacing w:after="0" w:line="254" w:lineRule="auto"/>
        <w:rPr>
          <w:sz w:val="20"/>
          <w:szCs w:val="20"/>
          <w:color w:val="auto"/>
        </w:rPr>
      </w:pPr>
      <w:r>
        <w:rPr>
          <w:rFonts w:ascii="Arial" w:cs="Arial" w:eastAsia="Arial" w:hAnsi="Arial"/>
          <w:sz w:val="20"/>
          <w:szCs w:val="20"/>
          <w:color w:val="auto"/>
        </w:rPr>
        <w:t>On September 12, 2023, the Underwriters exercised the Underwriters’ Option in part and purchased an additional 500,000 shares common stock, in each instance at a price to the public of $32.00 per share. We received $260.1 million in net proceeds from the Primary Offering and the Underwriters’ Option, after deducting underwriting discounts and commissions of $10.9 million and other offering costs of $1.1 million.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Public Offering (IPO)</w:t>
      </w:r>
    </w:p>
    <w:p>
      <w:pPr>
        <w:spacing w:after="0" w:line="204" w:lineRule="exact"/>
        <w:rPr>
          <w:sz w:val="20"/>
          <w:szCs w:val="20"/>
          <w:color w:val="auto"/>
        </w:rPr>
      </w:pPr>
    </w:p>
    <w:p>
      <w:pPr>
        <w:ind w:right="120" w:firstLine="490"/>
        <w:spacing w:after="0" w:line="254" w:lineRule="auto"/>
        <w:rPr>
          <w:sz w:val="20"/>
          <w:szCs w:val="20"/>
          <w:color w:val="auto"/>
        </w:rPr>
      </w:pPr>
      <w:r>
        <w:rPr>
          <w:rFonts w:ascii="Arial" w:cs="Arial" w:eastAsia="Arial" w:hAnsi="Arial"/>
          <w:sz w:val="20"/>
          <w:szCs w:val="20"/>
          <w:color w:val="auto"/>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Acquisition</w:t>
      </w:r>
    </w:p>
    <w:p>
      <w:pPr>
        <w:spacing w:after="0" w:line="204"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auto"/>
        </w:rPr>
        <w:t>In November 2023, we acquired all of the issued and outstanding shares of StudyLink for an estimated total aggregate purchase price of approximately $35.5 million, consisting of approximately $32.8 million in cash consideration, net of cash acquired and up to approximately $2.7 million in contingent consideration. Purchase consideration is subject to certain adjustments as specified in the share sale agreement, including a net working capital adjustment. The contingent consideration represents additional payments that we may be required to make in the 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$2.4 million,</w:t>
      </w:r>
    </w:p>
    <w:p>
      <w:pPr>
        <w:sectPr>
          <w:pgSz w:w="12240" w:h="15840" w:orient="portrait"/>
          <w:cols w:equalWidth="0" w:num="1">
            <w:col w:w="10800"/>
          </w:cols>
          <w:pgMar w:left="720" w:top="1160" w:right="720" w:bottom="175"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10800"/>
          </w:cols>
          <w:pgMar w:left="720" w:top="1160" w:right="720" w:bottom="175" w:gutter="0" w:footer="0" w:header="0"/>
          <w:type w:val="continuous"/>
        </w:sectPr>
      </w:pPr>
    </w:p>
    <w:bookmarkStart w:id="82" w:name="page83"/>
    <w:bookmarkEnd w:id="82"/>
    <w:p>
      <w:pPr>
        <w:spacing w:after="0" w:line="247" w:lineRule="auto"/>
        <w:rPr>
          <w:sz w:val="20"/>
          <w:szCs w:val="20"/>
          <w:color w:val="auto"/>
        </w:rPr>
      </w:pPr>
      <w:r>
        <w:rPr>
          <w:rFonts w:ascii="Arial" w:cs="Arial" w:eastAsia="Arial" w:hAnsi="Arial"/>
          <w:sz w:val="20"/>
          <w:szCs w:val="20"/>
          <w:color w:val="auto"/>
        </w:rPr>
        <w:t>approximately 84,000 shares of common stock, have been excluded from the purchase consideration.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success in the Australian higher education market and enhance our value proposition to payers, universities and agents in the higher education ecosystem. StudyLink contributed $1.4 million in platform revenue during the year ended December 31, 2023.</w:t>
      </w:r>
    </w:p>
    <w:p>
      <w:pPr>
        <w:spacing w:after="0" w:line="153" w:lineRule="exact"/>
        <w:rPr>
          <w:sz w:val="20"/>
          <w:szCs w:val="20"/>
          <w:color w:val="auto"/>
        </w:rPr>
      </w:pPr>
    </w:p>
    <w:p>
      <w:pPr>
        <w:ind w:right="60" w:firstLine="490"/>
        <w:spacing w:after="0" w:line="242" w:lineRule="auto"/>
        <w:rPr>
          <w:sz w:val="20"/>
          <w:szCs w:val="20"/>
          <w:color w:val="auto"/>
        </w:rPr>
      </w:pPr>
      <w:r>
        <w:rPr>
          <w:rFonts w:ascii="Arial" w:cs="Arial" w:eastAsia="Arial" w:hAnsi="Arial"/>
          <w:sz w:val="20"/>
          <w:szCs w:val="20"/>
          <w:color w:val="auto"/>
        </w:rPr>
        <w:t>In July 2022, we acquired all of the issued and outstanding shares of Cohort Go for an estimated aggregate purchase price of $23.1 million, which consisted of $17.1 million in cash consideration, net of cash acquired, $4.3 million in shares of common stock and up to $1.7 million in contingent consideration assessed at the acquisition date. Subsequent to the acquisition date, at each reporting date, the contingent consideration was remeasured and changes in the fair value resulting from a change in the underlying inputs were recognized in general and administrative expense in the consolidated statements of operations and comprehensive loss.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the year ended December 31, 2023 and 2022, we paid $1.7 million and $0.5 million, respectively, in contingent consideration based on Cohort Go's successful and timely achievement of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$16.6 million in transaction revenue and $10.4 million in platform revenue during the year ended December 31, 2023 and $6.4 million in transaction revenue and $3.3 million in platform revenue during the year ended December 31, 2022.</w:t>
      </w:r>
    </w:p>
    <w:p>
      <w:pPr>
        <w:spacing w:after="0" w:line="169" w:lineRule="exact"/>
        <w:rPr>
          <w:sz w:val="20"/>
          <w:szCs w:val="20"/>
          <w:color w:val="auto"/>
        </w:rPr>
      </w:pPr>
    </w:p>
    <w:p>
      <w:pPr>
        <w:ind w:right="120" w:firstLine="490"/>
        <w:spacing w:after="0" w:line="242" w:lineRule="auto"/>
        <w:rPr>
          <w:sz w:val="20"/>
          <w:szCs w:val="20"/>
          <w:color w:val="auto"/>
        </w:rPr>
      </w:pPr>
      <w:r>
        <w:rPr>
          <w:rFonts w:ascii="Arial" w:cs="Arial" w:eastAsia="Arial" w:hAnsi="Arial"/>
          <w:sz w:val="20"/>
          <w:szCs w:val="20"/>
          <w:color w:val="auto"/>
        </w:rPr>
        <w:t>In December 2021, we acquired all of the issued and outstanding shares of WPM for an estimated aggregate purchase price of $59.6 million, which consisted of $56.1 million in cash consideration, net of cash acquired and up to $3.5 million in estimated fair value of contingent consideration. Contingent consideration was potentially payable at various intervals through March 2024 in the form of cash or up to approximately 225,000 shares of common stock, at our option, and was dependent upon our achievement of specified minimum payment volume targets and integration targets. As of December 31, 2023, no contingent consideration is due or payable with respect to the WPM acquisition. During the year ended December 31, 2022, we paid $0.4 million in contingent consideration related to the completion of integration targets. There was no contingent consideration paid during the year ended December 31, 2021. Certain amounts were also tied to continued employment of key employees. During the year ended December 31, 2023, we expensed $0.7 million in personnel costs associated with retention of key employees. These personnel costs have been paid through shares of Flywire common stock issued in January 2023, July 2023 and January 2024. During the year ended December 31, 2022 and 2021, we expensed $0.9 million and less than $0.1 million, respectively, in personnel costs associated with the retention of key employees. WPM is a leading software provider that enables seamless and secure payment experiences for universities and colleges across the U.K. The acquisition of WPM was intended to build on our existing education payments business and is expected to further accelerate our market share in the U.K. education sector. WPM contributed $6.3 million, $6.4 million and $0.3 million in platform revenue during the years ended December 31, 2023, 2022 and 2021,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Revenue Model</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derive revenue from transactions and platform and usage-based fees.</w:t>
      </w:r>
    </w:p>
    <w:p>
      <w:pPr>
        <w:spacing w:after="0" w:line="200"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i w:val="1"/>
          <w:iCs w:val="1"/>
          <w:color w:val="auto"/>
        </w:rPr>
        <w:t xml:space="preserve">Transaction revenue </w:t>
      </w:r>
      <w:r>
        <w:rPr>
          <w:rFonts w:ascii="Arial" w:cs="Arial" w:eastAsia="Arial" w:hAnsi="Arial"/>
          <w:sz w:val="20"/>
          <w:szCs w:val="20"/>
          <w:color w:val="auto"/>
        </w:rPr>
        <w:t>is earned from payment processing services provided to our clients. The fee earned on each</w:t>
      </w:r>
      <w:r>
        <w:rPr>
          <w:rFonts w:ascii="Arial" w:cs="Arial" w:eastAsia="Arial" w:hAnsi="Arial"/>
          <w:sz w:val="20"/>
          <w:szCs w:val="20"/>
          <w:i w:val="1"/>
          <w:iCs w:val="1"/>
          <w:color w:val="auto"/>
        </w:rPr>
        <w:t xml:space="preserve"> </w:t>
      </w:r>
      <w:r>
        <w:rPr>
          <w:rFonts w:ascii="Arial" w:cs="Arial" w:eastAsia="Arial" w:hAnsi="Arial"/>
          <w:sz w:val="20"/>
          <w:szCs w:val="20"/>
          <w:color w:val="auto"/>
        </w:rPr>
        <w:t>transaction consists 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52"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i w:val="1"/>
          <w:iCs w:val="1"/>
          <w:color w:val="auto"/>
        </w:rPr>
        <w:t xml:space="preserve">Platform and usage-based fee revenue </w:t>
      </w:r>
      <w:r>
        <w:rPr>
          <w:rFonts w:ascii="Arial" w:cs="Arial" w:eastAsia="Arial" w:hAnsi="Arial"/>
          <w:sz w:val="20"/>
          <w:szCs w:val="20"/>
          <w:color w:val="auto"/>
        </w:rPr>
        <w:t>includes (i) fees earned for the utilization of our payment platform to optimize</w:t>
      </w:r>
      <w:r>
        <w:rPr>
          <w:rFonts w:ascii="Arial" w:cs="Arial" w:eastAsia="Arial" w:hAnsi="Arial"/>
          <w:sz w:val="20"/>
          <w:szCs w:val="20"/>
          <w:i w:val="1"/>
          <w:iCs w:val="1"/>
          <w:color w:val="auto"/>
        </w:rPr>
        <w:t xml:space="preserve"> </w:t>
      </w:r>
      <w:r>
        <w:rPr>
          <w:rFonts w:ascii="Arial" w:cs="Arial" w:eastAsia="Arial" w:hAnsi="Arial"/>
          <w:sz w:val="20"/>
          <w:szCs w:val="20"/>
          <w:color w:val="auto"/>
        </w:rPr>
        <w:t>cash collections, (ii) fees collected on payment plans established by our clients on our payment platform, (iii) subscription fees and (iv) fees related to printing and mailing services which we consider to be ancillary to the solutions we provide to our clients.</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10780"/>
          </w:cols>
          <w:pgMar w:left="720" w:top="1160" w:right="740" w:bottom="175"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auto"/>
        </w:rPr>
        <w:t>Key Operating Metrics and Non-GAAP Financial Measures</w:t>
      </w:r>
    </w:p>
    <w:p>
      <w:pPr>
        <w:spacing w:after="0" w:line="204"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To supplement our consolidated financial statements, which are prepared in accordance with generally accepted accounting principles in the United States (GAAP), we use certain non-GAAP financials measures. The following table sets forth our key operating metrics and non-GAAP measures for the periods presented. All dollar amounts are rounded to the nearest million. As a result, certain amounts may not recalculate using the rounded amounts provided.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9"/>
              </w:rPr>
              <w:t>December 31,</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2"/>
              <w:spacing w:after="0" w:line="174"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E0E0E0"/>
            </w:tcBorders>
          </w:tcPr>
          <w:p>
            <w:pPr>
              <w:spacing w:after="0"/>
              <w:rPr>
                <w:sz w:val="15"/>
                <w:szCs w:val="15"/>
                <w:color w:val="auto"/>
              </w:rPr>
            </w:pPr>
          </w:p>
        </w:tc>
        <w:tc>
          <w:tcPr>
            <w:tcW w:w="16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2"/>
              <w:spacing w:after="0" w:line="174"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2"/>
              <w:spacing w:after="0" w:line="174"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Total Payment Volume</w:t>
            </w:r>
          </w:p>
        </w:tc>
        <w:tc>
          <w:tcPr>
            <w:tcW w:w="14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9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24,032.8</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7"/>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9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18,078.5</w:t>
            </w:r>
          </w:p>
        </w:tc>
        <w:tc>
          <w:tcPr>
            <w:tcW w:w="2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9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13,201.3</w:t>
            </w:r>
          </w:p>
        </w:tc>
        <w:tc>
          <w:tcPr>
            <w:tcW w:w="2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auto"/>
              </w:rPr>
              <w:t>Revenue</w:t>
            </w:r>
          </w:p>
        </w:tc>
        <w:tc>
          <w:tcPr>
            <w:tcW w:w="140" w:type="dxa"/>
            <w:vAlign w:val="bottom"/>
          </w:tcPr>
          <w:p>
            <w:pPr>
              <w:spacing w:after="0"/>
              <w:rPr>
                <w:sz w:val="19"/>
                <w:szCs w:val="19"/>
                <w:color w:val="auto"/>
              </w:rPr>
            </w:pP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403.1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47"/>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289.4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E0E0E0"/>
          </w:tcPr>
          <w:p>
            <w:pPr>
              <w:spacing w:after="0"/>
              <w:rPr>
                <w:sz w:val="20"/>
                <w:szCs w:val="20"/>
                <w:color w:val="auto"/>
              </w:rPr>
            </w:pPr>
            <w:r>
              <w:rPr>
                <w:rFonts w:ascii="Arial" w:cs="Arial" w:eastAsia="Arial" w:hAnsi="Arial"/>
                <w:sz w:val="20"/>
                <w:szCs w:val="20"/>
                <w:color w:val="auto"/>
              </w:rPr>
              <w:t>Revenue Less Ancillary Services</w:t>
            </w:r>
          </w:p>
        </w:tc>
        <w:tc>
          <w:tcPr>
            <w:tcW w:w="40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381.5</w:t>
            </w:r>
          </w:p>
        </w:tc>
        <w:tc>
          <w:tcPr>
            <w:tcW w:w="200" w:type="dxa"/>
            <w:vAlign w:val="bottom"/>
            <w:shd w:val="clear" w:color="auto" w:fill="E0E0E0"/>
          </w:tcPr>
          <w:p>
            <w:pPr>
              <w:spacing w:after="0"/>
              <w:rPr>
                <w:sz w:val="19"/>
                <w:szCs w:val="19"/>
                <w:color w:val="auto"/>
              </w:rPr>
            </w:pPr>
          </w:p>
        </w:tc>
        <w:tc>
          <w:tcPr>
            <w:tcW w:w="400" w:type="dxa"/>
            <w:vAlign w:val="bottom"/>
            <w:gridSpan w:val="2"/>
            <w:shd w:val="clear" w:color="auto" w:fill="E0E0E0"/>
          </w:tcPr>
          <w:p>
            <w:pPr>
              <w:jc w:val="right"/>
              <w:ind w:right="47"/>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267.1</w:t>
            </w:r>
          </w:p>
        </w:tc>
        <w:tc>
          <w:tcPr>
            <w:tcW w:w="280" w:type="dxa"/>
            <w:vAlign w:val="bottom"/>
            <w:shd w:val="clear" w:color="auto" w:fill="E0E0E0"/>
          </w:tcPr>
          <w:p>
            <w:pPr>
              <w:spacing w:after="0"/>
              <w:rPr>
                <w:sz w:val="19"/>
                <w:szCs w:val="19"/>
                <w:color w:val="auto"/>
              </w:rPr>
            </w:pPr>
          </w:p>
        </w:tc>
        <w:tc>
          <w:tcPr>
            <w:tcW w:w="3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181.1</w:t>
            </w:r>
          </w:p>
        </w:tc>
        <w:tc>
          <w:tcPr>
            <w:tcW w:w="2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auto"/>
              </w:rPr>
              <w:t>Gross Profit</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247.4</w:t>
            </w:r>
          </w:p>
        </w:tc>
        <w:tc>
          <w:tcPr>
            <w:tcW w:w="200" w:type="dxa"/>
            <w:vAlign w:val="bottom"/>
          </w:tcPr>
          <w:p>
            <w:pPr>
              <w:spacing w:after="0"/>
              <w:rPr>
                <w:sz w:val="19"/>
                <w:szCs w:val="19"/>
                <w:color w:val="auto"/>
              </w:rPr>
            </w:pPr>
          </w:p>
        </w:tc>
        <w:tc>
          <w:tcPr>
            <w:tcW w:w="400" w:type="dxa"/>
            <w:vAlign w:val="bottom"/>
            <w:gridSpan w:val="2"/>
          </w:tcPr>
          <w:p>
            <w:pPr>
              <w:jc w:val="right"/>
              <w:ind w:right="47"/>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174.9</w:t>
            </w:r>
          </w:p>
        </w:tc>
        <w:tc>
          <w:tcPr>
            <w:tcW w:w="28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E0E0E0"/>
          </w:tcPr>
          <w:p>
            <w:pPr>
              <w:spacing w:after="0"/>
              <w:rPr>
                <w:sz w:val="20"/>
                <w:szCs w:val="20"/>
                <w:color w:val="auto"/>
              </w:rPr>
            </w:pPr>
            <w:r>
              <w:rPr>
                <w:rFonts w:ascii="Arial" w:cs="Arial" w:eastAsia="Arial" w:hAnsi="Arial"/>
                <w:sz w:val="20"/>
                <w:szCs w:val="20"/>
                <w:color w:val="auto"/>
              </w:rPr>
              <w:t>Adjusted Gross Profit</w:t>
            </w:r>
          </w:p>
        </w:tc>
        <w:tc>
          <w:tcPr>
            <w:tcW w:w="40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254.1</w:t>
            </w:r>
          </w:p>
        </w:tc>
        <w:tc>
          <w:tcPr>
            <w:tcW w:w="200" w:type="dxa"/>
            <w:vAlign w:val="bottom"/>
            <w:shd w:val="clear" w:color="auto" w:fill="E0E0E0"/>
          </w:tcPr>
          <w:p>
            <w:pPr>
              <w:spacing w:after="0"/>
              <w:rPr>
                <w:sz w:val="19"/>
                <w:szCs w:val="19"/>
                <w:color w:val="auto"/>
              </w:rPr>
            </w:pPr>
          </w:p>
        </w:tc>
        <w:tc>
          <w:tcPr>
            <w:tcW w:w="400" w:type="dxa"/>
            <w:vAlign w:val="bottom"/>
            <w:gridSpan w:val="2"/>
            <w:shd w:val="clear" w:color="auto" w:fill="E0E0E0"/>
          </w:tcPr>
          <w:p>
            <w:pPr>
              <w:jc w:val="right"/>
              <w:ind w:right="47"/>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181.9</w:t>
            </w:r>
          </w:p>
        </w:tc>
        <w:tc>
          <w:tcPr>
            <w:tcW w:w="280" w:type="dxa"/>
            <w:vAlign w:val="bottom"/>
            <w:shd w:val="clear" w:color="auto" w:fill="E0E0E0"/>
          </w:tcPr>
          <w:p>
            <w:pPr>
              <w:spacing w:after="0"/>
              <w:rPr>
                <w:sz w:val="19"/>
                <w:szCs w:val="19"/>
                <w:color w:val="auto"/>
              </w:rPr>
            </w:pPr>
          </w:p>
        </w:tc>
        <w:tc>
          <w:tcPr>
            <w:tcW w:w="3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129.7</w:t>
            </w:r>
          </w:p>
        </w:tc>
        <w:tc>
          <w:tcPr>
            <w:tcW w:w="2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auto"/>
              </w:rPr>
              <w:t>Gross Margin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61.4%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60.4%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62.3%</w:t>
            </w:r>
          </w:p>
        </w:tc>
        <w:tc>
          <w:tcPr>
            <w:tcW w:w="0" w:type="dxa"/>
            <w:vAlign w:val="bottom"/>
          </w:tcPr>
          <w:p>
            <w:pPr>
              <w:spacing w:after="0"/>
              <w:rPr>
                <w:sz w:val="1"/>
                <w:szCs w:val="1"/>
                <w:color w:val="auto"/>
              </w:rPr>
            </w:pPr>
          </w:p>
        </w:tc>
      </w:tr>
      <w:tr>
        <w:trPr>
          <w:trHeight w:val="230"/>
        </w:trPr>
        <w:tc>
          <w:tcPr>
            <w:tcW w:w="6220" w:type="dxa"/>
            <w:vAlign w:val="bottom"/>
            <w:shd w:val="clear" w:color="auto" w:fill="E0E0E0"/>
          </w:tcPr>
          <w:p>
            <w:pPr>
              <w:spacing w:after="0"/>
              <w:rPr>
                <w:sz w:val="20"/>
                <w:szCs w:val="20"/>
                <w:color w:val="auto"/>
              </w:rPr>
            </w:pPr>
            <w:r>
              <w:rPr>
                <w:rFonts w:ascii="Arial" w:cs="Arial" w:eastAsia="Arial" w:hAnsi="Arial"/>
                <w:sz w:val="20"/>
                <w:szCs w:val="20"/>
                <w:color w:val="auto"/>
              </w:rPr>
              <w:t>Adjusted Gross Margin</w:t>
            </w:r>
          </w:p>
        </w:tc>
        <w:tc>
          <w:tcPr>
            <w:tcW w:w="1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2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66.6%</w:t>
            </w:r>
          </w:p>
        </w:tc>
        <w:tc>
          <w:tcPr>
            <w:tcW w:w="16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68.1%</w:t>
            </w:r>
          </w:p>
        </w:tc>
        <w:tc>
          <w:tcPr>
            <w:tcW w:w="8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2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71.6%</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auto"/>
              </w:rPr>
              <w:t>Net Loss</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(8.6)</w:t>
            </w:r>
          </w:p>
        </w:tc>
        <w:tc>
          <w:tcPr>
            <w:tcW w:w="400" w:type="dxa"/>
            <w:vAlign w:val="bottom"/>
            <w:gridSpan w:val="2"/>
          </w:tcPr>
          <w:p>
            <w:pPr>
              <w:jc w:val="right"/>
              <w:ind w:right="47"/>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20"/>
                <w:szCs w:val="20"/>
                <w:color w:val="auto"/>
              </w:rPr>
              <w:t>(39.3)</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(28.1)</w:t>
            </w:r>
          </w:p>
        </w:tc>
        <w:tc>
          <w:tcPr>
            <w:tcW w:w="0" w:type="dxa"/>
            <w:vAlign w:val="bottom"/>
          </w:tcPr>
          <w:p>
            <w:pPr>
              <w:spacing w:after="0"/>
              <w:rPr>
                <w:sz w:val="1"/>
                <w:szCs w:val="1"/>
                <w:color w:val="auto"/>
              </w:rPr>
            </w:pPr>
          </w:p>
        </w:tc>
      </w:tr>
      <w:tr>
        <w:trPr>
          <w:trHeight w:val="230"/>
        </w:trPr>
        <w:tc>
          <w:tcPr>
            <w:tcW w:w="6220" w:type="dxa"/>
            <w:vAlign w:val="bottom"/>
            <w:shd w:val="clear" w:color="auto" w:fill="E0E0E0"/>
          </w:tcPr>
          <w:p>
            <w:pPr>
              <w:spacing w:after="0"/>
              <w:rPr>
                <w:sz w:val="20"/>
                <w:szCs w:val="20"/>
                <w:color w:val="auto"/>
              </w:rPr>
            </w:pPr>
            <w:r>
              <w:rPr>
                <w:rFonts w:ascii="Arial" w:cs="Arial" w:eastAsia="Arial" w:hAnsi="Arial"/>
                <w:sz w:val="20"/>
                <w:szCs w:val="20"/>
                <w:color w:val="auto"/>
              </w:rPr>
              <w:t>Adjusted EBITDA</w:t>
            </w:r>
          </w:p>
        </w:tc>
        <w:tc>
          <w:tcPr>
            <w:tcW w:w="40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42.0</w:t>
            </w:r>
          </w:p>
        </w:tc>
        <w:tc>
          <w:tcPr>
            <w:tcW w:w="200" w:type="dxa"/>
            <w:vAlign w:val="bottom"/>
            <w:shd w:val="clear" w:color="auto" w:fill="E0E0E0"/>
          </w:tcPr>
          <w:p>
            <w:pPr>
              <w:spacing w:after="0"/>
              <w:rPr>
                <w:sz w:val="19"/>
                <w:szCs w:val="19"/>
                <w:color w:val="auto"/>
              </w:rPr>
            </w:pPr>
          </w:p>
        </w:tc>
        <w:tc>
          <w:tcPr>
            <w:tcW w:w="400" w:type="dxa"/>
            <w:vAlign w:val="bottom"/>
            <w:gridSpan w:val="2"/>
            <w:shd w:val="clear" w:color="auto" w:fill="E0E0E0"/>
          </w:tcPr>
          <w:p>
            <w:pPr>
              <w:jc w:val="right"/>
              <w:ind w:right="47"/>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14.9</w:t>
            </w:r>
          </w:p>
        </w:tc>
        <w:tc>
          <w:tcPr>
            <w:tcW w:w="280" w:type="dxa"/>
            <w:vAlign w:val="bottom"/>
            <w:shd w:val="clear" w:color="auto" w:fill="E0E0E0"/>
          </w:tcPr>
          <w:p>
            <w:pPr>
              <w:spacing w:after="0"/>
              <w:rPr>
                <w:sz w:val="19"/>
                <w:szCs w:val="19"/>
                <w:color w:val="auto"/>
              </w:rPr>
            </w:pPr>
          </w:p>
        </w:tc>
        <w:tc>
          <w:tcPr>
            <w:tcW w:w="3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22.8</w:t>
            </w:r>
          </w:p>
        </w:tc>
        <w:tc>
          <w:tcPr>
            <w:tcW w:w="2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For the year ended December 31, 2023, transaction revenue and platform and usage-based fee revenue represented 81.8% and 18.2% of our revenue, respectively. For the year ended December 31, 2023, transaction revenue and platform and usage-based fee revenue represented 85.8% and 14.2% of our total revenue less ancillary services, respectively.</w:t>
      </w:r>
    </w:p>
    <w:p>
      <w:pPr>
        <w:spacing w:after="0" w:line="146"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For the year ended December 31, 2022, transaction revenue and platform and usage-based fee revenue represented 77.5% and 22.5% of our revenue, respectively. For the year ended December 31, 2022, transaction revenue and platform and usage-based fee revenue represented 83.2% and 16.8% of our total revenue less ancillary services, respectively.</w:t>
      </w:r>
    </w:p>
    <w:p>
      <w:pPr>
        <w:spacing w:after="0" w:line="146"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For the year ended December 31, 2021, transaction revenue and platform and usage-based fee revenue represented 73.6% and 26.4% of our revenue, respectively. For the year ended December 31, 2021, transaction revenue and platform and usage-based fee revenue represented 80.7% and 19.3% of our total revenue less ancillary services, respectively.</w:t>
      </w:r>
    </w:p>
    <w:p>
      <w:pPr>
        <w:spacing w:after="0" w:line="146" w:lineRule="exact"/>
        <w:rPr>
          <w:sz w:val="20"/>
          <w:szCs w:val="20"/>
          <w:color w:val="auto"/>
        </w:rPr>
      </w:pPr>
    </w:p>
    <w:p>
      <w:pPr>
        <w:jc w:val="both"/>
        <w:ind w:right="120" w:firstLine="490"/>
        <w:spacing w:after="0" w:line="261" w:lineRule="auto"/>
        <w:rPr>
          <w:sz w:val="20"/>
          <w:szCs w:val="20"/>
          <w:color w:val="auto"/>
        </w:rPr>
      </w:pPr>
      <w:r>
        <w:rPr>
          <w:rFonts w:ascii="Arial" w:cs="Arial" w:eastAsia="Arial" w:hAnsi="Arial"/>
          <w:sz w:val="20"/>
          <w:szCs w:val="20"/>
          <w:color w:val="auto"/>
        </w:rPr>
        <w:t>For the year ended December 31, 2023, our total payment volume was over $24.0 billion, consisting of $17.7 billion of total payment volume from transactions included in transaction revenue and $6.3 billion of total payment volume from transactions included in platform and usage-based fee revenue.</w:t>
      </w:r>
    </w:p>
    <w:p>
      <w:pPr>
        <w:spacing w:after="0" w:line="140" w:lineRule="exact"/>
        <w:rPr>
          <w:sz w:val="20"/>
          <w:szCs w:val="20"/>
          <w:color w:val="auto"/>
        </w:rPr>
      </w:pPr>
    </w:p>
    <w:p>
      <w:pPr>
        <w:ind w:right="260" w:firstLine="490"/>
        <w:spacing w:after="0" w:line="261" w:lineRule="auto"/>
        <w:rPr>
          <w:sz w:val="20"/>
          <w:szCs w:val="20"/>
          <w:color w:val="auto"/>
        </w:rPr>
      </w:pPr>
      <w:r>
        <w:rPr>
          <w:rFonts w:ascii="Arial" w:cs="Arial" w:eastAsia="Arial" w:hAnsi="Arial"/>
          <w:sz w:val="20"/>
          <w:szCs w:val="20"/>
          <w:color w:val="auto"/>
        </w:rPr>
        <w:t>For the year ended December 31, 2022, our total payment volume was approximately $18.1 billion, consisting of $12.1 billion of total payment volume from transactions included in transaction revenue and $6.0 billion of total payment volume from transactions included in platform and usage-based fee revenue.</w:t>
      </w:r>
    </w:p>
    <w:p>
      <w:pPr>
        <w:spacing w:after="0" w:line="140" w:lineRule="exact"/>
        <w:rPr>
          <w:sz w:val="20"/>
          <w:szCs w:val="20"/>
          <w:color w:val="auto"/>
        </w:rPr>
      </w:pPr>
    </w:p>
    <w:p>
      <w:pPr>
        <w:jc w:val="both"/>
        <w:ind w:right="380" w:firstLine="490"/>
        <w:spacing w:after="0" w:line="261" w:lineRule="auto"/>
        <w:rPr>
          <w:sz w:val="20"/>
          <w:szCs w:val="20"/>
          <w:color w:val="auto"/>
        </w:rPr>
      </w:pPr>
      <w:r>
        <w:rPr>
          <w:rFonts w:ascii="Arial" w:cs="Arial" w:eastAsia="Arial" w:hAnsi="Arial"/>
          <w:sz w:val="20"/>
          <w:szCs w:val="20"/>
          <w:color w:val="auto"/>
        </w:rPr>
        <w:t>For the year ended December 31, 2021, our total payment volume was approximately $13.2 billion, consisting of $8.4 billion of total payment volume from transactions included in transaction revenue and $4.8 billion of total payment volume from transactions included in platform and usage-based fee revenue.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Payment Volume</w:t>
      </w:r>
    </w:p>
    <w:p>
      <w:pPr>
        <w:spacing w:after="0" w:line="196"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b w:val="1"/>
          <w:bCs w:val="1"/>
          <w:i w:val="1"/>
          <w:iCs w:val="1"/>
          <w:color w:val="auto"/>
        </w:rPr>
        <w:t>Revenue Less Ancillary Services, Revenue Less Ancillary Services at Constant Currency, Adjusted Gross Profit, Adjusted Gross Margin and Adjusted EBITDA</w:t>
      </w:r>
    </w:p>
    <w:p>
      <w:pPr>
        <w:spacing w:after="0" w:line="102"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auto"/>
        </w:rPr>
        <w:t>We use non-GAAP financial measures to supplement financial information presented on a GAAP basis. We believe that excluding certain items from our GAAP results allows management to better understand our consolidated financial</w:t>
      </w:r>
    </w:p>
    <w:p>
      <w:pPr>
        <w:sectPr>
          <w:pgSz w:w="12240" w:h="15840" w:orient="portrait"/>
          <w:cols w:equalWidth="0" w:num="1">
            <w:col w:w="10800"/>
          </w:cols>
          <w:pgMar w:left="720" w:top="1156" w:right="720" w:bottom="175"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10800"/>
          </w:cols>
          <w:pgMar w:left="720" w:top="1156" w:right="720" w:bottom="175" w:gutter="0" w:footer="0" w:header="0"/>
          <w:type w:val="continuous"/>
        </w:sectPr>
      </w:pPr>
    </w:p>
    <w:bookmarkStart w:id="84" w:name="page85"/>
    <w:bookmarkEnd w:id="84"/>
    <w:p>
      <w:pPr>
        <w:ind w:right="60"/>
        <w:spacing w:after="0" w:line="246" w:lineRule="auto"/>
        <w:rPr>
          <w:sz w:val="20"/>
          <w:szCs w:val="20"/>
          <w:color w:val="auto"/>
        </w:rPr>
      </w:pPr>
      <w:r>
        <w:rPr>
          <w:rFonts w:ascii="Arial" w:cs="Arial" w:eastAsia="Arial" w:hAnsi="Arial"/>
          <w:sz w:val="20"/>
          <w:szCs w:val="20"/>
          <w:color w:val="auto"/>
        </w:rPr>
        <w:t>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4" w:lineRule="exact"/>
        <w:rPr>
          <w:sz w:val="20"/>
          <w:szCs w:val="20"/>
          <w:color w:val="auto"/>
        </w:rPr>
      </w:pPr>
    </w:p>
    <w:p>
      <w:pPr>
        <w:ind w:right="200" w:firstLine="490"/>
        <w:spacing w:after="0" w:line="261" w:lineRule="auto"/>
        <w:rPr>
          <w:sz w:val="20"/>
          <w:szCs w:val="20"/>
          <w:color w:val="auto"/>
        </w:rPr>
      </w:pPr>
      <w:r>
        <w:rPr>
          <w:rFonts w:ascii="Arial" w:cs="Arial" w:eastAsia="Arial" w:hAnsi="Arial"/>
          <w:sz w:val="20"/>
          <w:szCs w:val="20"/>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53" w:lineRule="exact"/>
        <w:rPr>
          <w:sz w:val="20"/>
          <w:szCs w:val="20"/>
          <w:color w:val="auto"/>
        </w:rPr>
      </w:pPr>
    </w:p>
    <w:p>
      <w:pPr>
        <w:ind w:left="860" w:hanging="255"/>
        <w:spacing w:after="0" w:line="254" w:lineRule="auto"/>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 xml:space="preserve">Revenue Less Ancillary Services </w:t>
      </w:r>
      <w:r>
        <w:rPr>
          <w:rFonts w:ascii="Arial" w:cs="Arial" w:eastAsia="Arial" w:hAnsi="Arial"/>
          <w:sz w:val="20"/>
          <w:szCs w:val="20"/>
          <w:color w:val="auto"/>
        </w:rPr>
        <w:t>- Revenue Less Ancillary Services represents our consolidated revenue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59" w:lineRule="exact"/>
        <w:rPr>
          <w:rFonts w:ascii="Arial" w:cs="Arial" w:eastAsia="Arial" w:hAnsi="Arial"/>
          <w:sz w:val="20"/>
          <w:szCs w:val="20"/>
          <w:color w:val="auto"/>
        </w:rPr>
      </w:pPr>
    </w:p>
    <w:p>
      <w:pPr>
        <w:ind w:left="860" w:right="40" w:hanging="255"/>
        <w:spacing w:after="0" w:line="248" w:lineRule="auto"/>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 xml:space="preserve">Revenue Less Ancillary Services at Constant Currency </w:t>
      </w:r>
      <w:r>
        <w:rPr>
          <w:rFonts w:ascii="Arial" w:cs="Arial" w:eastAsia="Arial" w:hAnsi="Arial"/>
          <w:sz w:val="20"/>
          <w:szCs w:val="20"/>
          <w:color w:val="auto"/>
        </w:rPr>
        <w:t>- Revenue Less Ancillary Services at Constant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represents 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67" w:lineRule="exact"/>
        <w:rPr>
          <w:rFonts w:ascii="Arial" w:cs="Arial" w:eastAsia="Arial" w:hAnsi="Arial"/>
          <w:sz w:val="20"/>
          <w:szCs w:val="20"/>
          <w:color w:val="auto"/>
        </w:rPr>
      </w:pPr>
    </w:p>
    <w:p>
      <w:pPr>
        <w:ind w:left="860" w:right="120" w:hanging="255"/>
        <w:spacing w:after="0" w:line="248" w:lineRule="auto"/>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 xml:space="preserve">Adjusted Gross Profit </w:t>
      </w:r>
      <w:r>
        <w:rPr>
          <w:rFonts w:ascii="Arial" w:cs="Arial" w:eastAsia="Arial" w:hAnsi="Arial"/>
          <w:sz w:val="20"/>
          <w:szCs w:val="20"/>
          <w:color w:val="auto"/>
        </w:rPr>
        <w:t>- Adjusted Gross Profit represents Revenue Less Ancillary Services, less cost of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adjusted to (i) 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spacing w:after="0" w:line="167" w:lineRule="exact"/>
        <w:rPr>
          <w:rFonts w:ascii="Arial" w:cs="Arial" w:eastAsia="Arial" w:hAnsi="Arial"/>
          <w:sz w:val="20"/>
          <w:szCs w:val="20"/>
          <w:color w:val="auto"/>
        </w:rPr>
      </w:pPr>
    </w:p>
    <w:p>
      <w:pPr>
        <w:ind w:left="860" w:right="40" w:hanging="255"/>
        <w:spacing w:after="0" w:line="246" w:lineRule="auto"/>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 xml:space="preserve">Adjusted Gross Margin - </w:t>
      </w:r>
      <w:r>
        <w:rPr>
          <w:rFonts w:ascii="Arial" w:cs="Arial" w:eastAsia="Arial" w:hAnsi="Arial"/>
          <w:sz w:val="20"/>
          <w:szCs w:val="20"/>
          <w:color w:val="auto"/>
        </w:rPr>
        <w:t>Adjusted Gross Margin represents Adjusted Gross Profit divided by Revenue Less</w:t>
      </w:r>
      <w:r>
        <w:rPr>
          <w:rFonts w:ascii="Arial" w:cs="Arial" w:eastAsia="Arial" w:hAnsi="Arial"/>
          <w:sz w:val="20"/>
          <w:szCs w:val="20"/>
          <w:i w:val="1"/>
          <w:iCs w:val="1"/>
          <w:color w:val="auto"/>
        </w:rPr>
        <w:t xml:space="preserve"> </w:t>
      </w:r>
      <w:r>
        <w:rPr>
          <w:rFonts w:ascii="Arial" w:cs="Arial" w:eastAsia="Arial" w:hAnsi="Arial"/>
          <w:sz w:val="20"/>
          <w:szCs w:val="20"/>
          <w:color w:val="auto"/>
        </w:rPr>
        <w:t>Ancillary Services. Management believes this presentation supplements the GAAP presentation of gross margin with a useful measure of the gross margin of our payment-related services, which are the primary services we provide to our clients. Beginning with the year ended December 31, 2022, we have excluded depreciation and amortization from the calculation of our adjusted gross profit, which we believe enhances the understanding of our operating performance and enables more meaningful period to period comparisons. Our adjusted gross profit and adjusted gross margin for the year ended December 31, 2021 were recast to conform to the updated methodology and are reflected herein for comparison purposes.</w:t>
      </w:r>
    </w:p>
    <w:p>
      <w:pPr>
        <w:spacing w:after="0" w:line="167" w:lineRule="exact"/>
        <w:rPr>
          <w:rFonts w:ascii="Arial" w:cs="Arial" w:eastAsia="Arial" w:hAnsi="Arial"/>
          <w:sz w:val="20"/>
          <w:szCs w:val="20"/>
          <w:color w:val="auto"/>
        </w:rPr>
      </w:pPr>
    </w:p>
    <w:p>
      <w:pPr>
        <w:ind w:left="860" w:right="20" w:hanging="255"/>
        <w:spacing w:after="0" w:line="246" w:lineRule="auto"/>
        <w:tabs>
          <w:tab w:leader="none" w:pos="86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 xml:space="preserve">Adjusted EBITDA - </w:t>
      </w:r>
      <w:r>
        <w:rPr>
          <w:rFonts w:ascii="Arial" w:cs="Arial" w:eastAsia="Arial" w:hAnsi="Arial"/>
          <w:sz w:val="20"/>
          <w:szCs w:val="20"/>
          <w:color w:val="auto"/>
        </w:rPr>
        <w:t>Adjusted EBITDA represents EBITDA further adjusted by excluding (i) stock-based</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expense and related payroll taxes, (ii) the impact from the change in fair value measurement for contingent consideration associated with acquisitions, (iii) the impact from the change in fair value measurement of our preferred stock warrants prior to our IPO, (iv) gain (loss) from the remeasurement of foreign currency,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27" w:lineRule="exact"/>
        <w:rPr>
          <w:sz w:val="20"/>
          <w:szCs w:val="20"/>
          <w:color w:val="auto"/>
        </w:rPr>
      </w:pPr>
    </w:p>
    <w:p>
      <w:pPr>
        <w:ind w:right="140" w:firstLine="490"/>
        <w:spacing w:after="0" w:line="246" w:lineRule="auto"/>
        <w:rPr>
          <w:sz w:val="20"/>
          <w:szCs w:val="20"/>
          <w:color w:val="auto"/>
        </w:rPr>
      </w:pPr>
      <w:r>
        <w:rPr>
          <w:rFonts w:ascii="Arial" w:cs="Arial" w:eastAsia="Arial" w:hAnsi="Arial"/>
          <w:sz w:val="20"/>
          <w:szCs w:val="20"/>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10780"/>
          </w:cols>
          <w:pgMar w:left="720" w:top="1160" w:right="740" w:bottom="175"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i w:val="1"/>
          <w:iCs w:val="1"/>
          <w:color w:val="auto"/>
        </w:rPr>
        <w:t>Reconciliations of Non-GAAP Financial Measures</w:t>
      </w:r>
    </w:p>
    <w:p>
      <w:pPr>
        <w:spacing w:after="0" w:line="196"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tables below provide reconciliations of Revenue Less Ancillary Services, Revenue Less Ancillary Services at Constant Currency, Adjusted Gross Profit, Adjusted Gross Margin and Adjusted EBITDA to the most comparable GAAP figure on a consolidated basis for the periods presented. All dollar amounts are rounded to the nearest million. As a result, certain amounts may not recalculate using the rounded amounts provided.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Less Ancillary Services, Adjusted Gross Profit and Adjusted Gross Margin: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9"/>
              </w:rPr>
              <w:t>December 31,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2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line="174"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3"/>
              <w:spacing w:after="0" w:line="174"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20" w:type="dxa"/>
            <w:vAlign w:val="bottom"/>
            <w:gridSpan w:val="3"/>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45"/>
              <w:spacing w:after="0" w:line="220" w:lineRule="exact"/>
              <w:rPr>
                <w:sz w:val="20"/>
                <w:szCs w:val="20"/>
                <w:color w:val="auto"/>
              </w:rPr>
            </w:pPr>
            <w:r>
              <w:rPr>
                <w:rFonts w:ascii="Arial" w:cs="Arial" w:eastAsia="Arial" w:hAnsi="Arial"/>
                <w:sz w:val="20"/>
                <w:szCs w:val="20"/>
                <w:color w:val="auto"/>
                <w:w w:val="89"/>
              </w:rPr>
              <w:t>$</w:t>
            </w:r>
          </w:p>
        </w:tc>
        <w:tc>
          <w:tcPr>
            <w:tcW w:w="920" w:type="dxa"/>
            <w:vAlign w:val="bottom"/>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rPr>
              <w:t>403.1</w:t>
            </w:r>
          </w:p>
        </w:tc>
        <w:tc>
          <w:tcPr>
            <w:tcW w:w="2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w w:val="89"/>
              </w:rPr>
              <w:t>$</w:t>
            </w:r>
          </w:p>
        </w:tc>
        <w:tc>
          <w:tcPr>
            <w:tcW w:w="1040" w:type="dxa"/>
            <w:vAlign w:val="bottom"/>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2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60" w:type="dxa"/>
            <w:vAlign w:val="bottom"/>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201.1</w:t>
            </w: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20"/>
                <w:szCs w:val="20"/>
                <w:color w:val="auto"/>
              </w:rPr>
              <w:t>Adjusted to exclude gross up for: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ind w:left="280"/>
              <w:spacing w:after="0"/>
              <w:rPr>
                <w:sz w:val="20"/>
                <w:szCs w:val="20"/>
                <w:color w:val="auto"/>
              </w:rPr>
            </w:pPr>
            <w:r>
              <w:rPr>
                <w:rFonts w:ascii="Arial" w:cs="Arial" w:eastAsia="Arial" w:hAnsi="Arial"/>
                <w:sz w:val="20"/>
                <w:szCs w:val="20"/>
                <w:color w:val="auto"/>
              </w:rPr>
              <w:t>Pass-through cost for printing and mailing</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180"/>
              <w:spacing w:after="0"/>
              <w:rPr>
                <w:sz w:val="20"/>
                <w:szCs w:val="20"/>
                <w:color w:val="auto"/>
              </w:rPr>
            </w:pPr>
            <w:r>
              <w:rPr>
                <w:rFonts w:ascii="Arial" w:cs="Arial" w:eastAsia="Arial" w:hAnsi="Arial"/>
                <w:sz w:val="20"/>
                <w:szCs w:val="20"/>
                <w:color w:val="auto"/>
              </w:rPr>
              <w:t>(19.4)</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160"/>
              <w:spacing w:after="0"/>
              <w:rPr>
                <w:sz w:val="20"/>
                <w:szCs w:val="20"/>
                <w:color w:val="auto"/>
              </w:rPr>
            </w:pPr>
            <w:r>
              <w:rPr>
                <w:rFonts w:ascii="Arial" w:cs="Arial" w:eastAsia="Arial" w:hAnsi="Arial"/>
                <w:sz w:val="20"/>
                <w:szCs w:val="20"/>
                <w:color w:val="auto"/>
              </w:rPr>
              <w:t>(20.4)</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140"/>
              <w:spacing w:after="0"/>
              <w:rPr>
                <w:sz w:val="20"/>
                <w:szCs w:val="20"/>
                <w:color w:val="auto"/>
              </w:rPr>
            </w:pPr>
            <w:r>
              <w:rPr>
                <w:rFonts w:ascii="Arial" w:cs="Arial" w:eastAsia="Arial" w:hAnsi="Arial"/>
                <w:sz w:val="20"/>
                <w:szCs w:val="20"/>
                <w:color w:val="auto"/>
              </w:rPr>
              <w:t>(18.2)</w:t>
            </w:r>
          </w:p>
        </w:tc>
        <w:tc>
          <w:tcPr>
            <w:tcW w:w="0" w:type="dxa"/>
            <w:vAlign w:val="bottom"/>
          </w:tcPr>
          <w:p>
            <w:pPr>
              <w:spacing w:after="0"/>
              <w:rPr>
                <w:sz w:val="1"/>
                <w:szCs w:val="1"/>
                <w:color w:val="auto"/>
              </w:rPr>
            </w:pPr>
          </w:p>
        </w:tc>
      </w:tr>
      <w:tr>
        <w:trPr>
          <w:trHeight w:val="230"/>
        </w:trPr>
        <w:tc>
          <w:tcPr>
            <w:tcW w:w="6220" w:type="dxa"/>
            <w:vAlign w:val="bottom"/>
            <w:gridSpan w:val="3"/>
          </w:tcPr>
          <w:p>
            <w:pPr>
              <w:ind w:left="280"/>
              <w:spacing w:after="0"/>
              <w:rPr>
                <w:sz w:val="20"/>
                <w:szCs w:val="20"/>
                <w:color w:val="auto"/>
              </w:rPr>
            </w:pPr>
            <w:r>
              <w:rPr>
                <w:rFonts w:ascii="Arial" w:cs="Arial" w:eastAsia="Arial" w:hAnsi="Arial"/>
                <w:sz w:val="20"/>
                <w:szCs w:val="20"/>
                <w:color w:val="auto"/>
              </w:rPr>
              <w:t>Marketing fees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20"/>
        </w:trPr>
        <w:tc>
          <w:tcPr>
            <w:tcW w:w="6220" w:type="dxa"/>
            <w:vAlign w:val="bottom"/>
            <w:tcBorders>
              <w:top w:val="single" w:sz="8" w:color="E0E0E0"/>
            </w:tcBorders>
            <w:gridSpan w:val="3"/>
            <w:shd w:val="clear" w:color="auto" w:fill="E0E0E0"/>
          </w:tcPr>
          <w:p>
            <w:pPr>
              <w:spacing w:after="0" w:line="220" w:lineRule="exact"/>
              <w:rPr>
                <w:sz w:val="20"/>
                <w:szCs w:val="20"/>
                <w:color w:val="auto"/>
              </w:rPr>
            </w:pPr>
            <w:r>
              <w:rPr>
                <w:rFonts w:ascii="Arial" w:cs="Arial" w:eastAsia="Arial" w:hAnsi="Arial"/>
                <w:sz w:val="20"/>
                <w:szCs w:val="20"/>
                <w:color w:val="auto"/>
              </w:rPr>
              <w:t>Revenue Less Ancillary Services</w:t>
            </w:r>
          </w:p>
        </w:tc>
        <w:tc>
          <w:tcPr>
            <w:tcW w:w="6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auto"/>
              <w:bottom w:val="single" w:sz="8" w:color="auto"/>
            </w:tcBorders>
            <w:shd w:val="clear" w:color="auto" w:fill="E0E0E0"/>
          </w:tcPr>
          <w:p>
            <w:pPr>
              <w:jc w:val="right"/>
              <w:ind w:right="45"/>
              <w:spacing w:after="0" w:line="220"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rPr>
              <w:t>381.5</w:t>
            </w:r>
          </w:p>
        </w:tc>
        <w:tc>
          <w:tcPr>
            <w:tcW w:w="24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rPr>
              <w:t>267.1</w:t>
            </w:r>
          </w:p>
        </w:tc>
        <w:tc>
          <w:tcPr>
            <w:tcW w:w="24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181.1</w:t>
            </w:r>
          </w:p>
        </w:tc>
        <w:tc>
          <w:tcPr>
            <w:tcW w:w="2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20"/>
                <w:szCs w:val="20"/>
                <w:color w:val="auto"/>
              </w:rPr>
              <w:t>Payment processing services costs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Arial" w:cs="Arial" w:eastAsia="Arial" w:hAnsi="Arial"/>
                <w:sz w:val="20"/>
                <w:szCs w:val="20"/>
                <w:color w:val="auto"/>
              </w:rPr>
              <w:t>147.3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spacing w:after="0" w:line="215" w:lineRule="exact"/>
              <w:rPr>
                <w:sz w:val="20"/>
                <w:szCs w:val="20"/>
                <w:color w:val="auto"/>
              </w:rPr>
            </w:pPr>
            <w:r>
              <w:rPr>
                <w:rFonts w:ascii="Arial" w:cs="Arial" w:eastAsia="Arial" w:hAnsi="Arial"/>
                <w:sz w:val="20"/>
                <w:szCs w:val="20"/>
                <w:color w:val="auto"/>
              </w:rPr>
              <w:t>107.9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70.2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gridSpan w:val="3"/>
            <w:shd w:val="clear" w:color="auto" w:fill="E0E0E0"/>
          </w:tcPr>
          <w:p>
            <w:pPr>
              <w:spacing w:after="0" w:line="210" w:lineRule="exact"/>
              <w:rPr>
                <w:sz w:val="20"/>
                <w:szCs w:val="20"/>
                <w:color w:val="auto"/>
              </w:rPr>
            </w:pPr>
            <w:r>
              <w:rPr>
                <w:rFonts w:ascii="Arial" w:cs="Arial" w:eastAsia="Arial" w:hAnsi="Arial"/>
                <w:sz w:val="20"/>
                <w:szCs w:val="20"/>
                <w:color w:val="auto"/>
              </w:rPr>
              <w:t>Hosting and amortization costs within technology and development</w:t>
            </w:r>
          </w:p>
        </w:tc>
        <w:tc>
          <w:tcPr>
            <w:tcW w:w="6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gridSpan w:val="3"/>
            <w:shd w:val="clear" w:color="auto" w:fill="E0E0E0"/>
          </w:tcPr>
          <w:p>
            <w:pPr>
              <w:ind w:left="160"/>
              <w:spacing w:after="0"/>
              <w:rPr>
                <w:sz w:val="20"/>
                <w:szCs w:val="20"/>
                <w:color w:val="auto"/>
              </w:rPr>
            </w:pPr>
            <w:r>
              <w:rPr>
                <w:rFonts w:ascii="Arial" w:cs="Arial" w:eastAsia="Arial" w:hAnsi="Arial"/>
                <w:sz w:val="20"/>
                <w:szCs w:val="20"/>
                <w:color w:val="auto"/>
              </w:rPr>
              <w:t>expenses</w:t>
            </w:r>
          </w:p>
        </w:tc>
        <w:tc>
          <w:tcPr>
            <w:tcW w:w="6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gridSpan w:val="3"/>
            <w:shd w:val="clear" w:color="auto" w:fill="E0E0E0"/>
          </w:tcPr>
          <w:p>
            <w:pPr>
              <w:jc w:val="right"/>
              <w:spacing w:after="0"/>
              <w:rPr>
                <w:sz w:val="20"/>
                <w:szCs w:val="20"/>
                <w:color w:val="auto"/>
              </w:rPr>
            </w:pPr>
            <w:r>
              <w:rPr>
                <w:rFonts w:ascii="Arial" w:cs="Arial" w:eastAsia="Arial" w:hAnsi="Arial"/>
                <w:sz w:val="20"/>
                <w:szCs w:val="20"/>
                <w:color w:val="auto"/>
              </w:rPr>
              <w:t>8.4</w:t>
            </w:r>
          </w:p>
        </w:tc>
        <w:tc>
          <w:tcPr>
            <w:tcW w:w="2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1040" w:type="dxa"/>
            <w:vAlign w:val="bottom"/>
            <w:tcBorders>
              <w:bottom w:val="single" w:sz="8" w:color="auto"/>
            </w:tcBorders>
            <w:gridSpan w:val="3"/>
            <w:shd w:val="clear" w:color="auto" w:fill="E0E0E0"/>
          </w:tcPr>
          <w:p>
            <w:pPr>
              <w:jc w:val="right"/>
              <w:spacing w:after="0"/>
              <w:rPr>
                <w:sz w:val="20"/>
                <w:szCs w:val="20"/>
                <w:color w:val="auto"/>
              </w:rPr>
            </w:pPr>
            <w:r>
              <w:rPr>
                <w:rFonts w:ascii="Arial" w:cs="Arial" w:eastAsia="Arial" w:hAnsi="Arial"/>
                <w:sz w:val="20"/>
                <w:szCs w:val="20"/>
                <w:color w:val="auto"/>
              </w:rPr>
              <w:t>6.6</w:t>
            </w:r>
          </w:p>
        </w:tc>
        <w:tc>
          <w:tcPr>
            <w:tcW w:w="24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106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20"/>
                <w:szCs w:val="20"/>
                <w:color w:val="auto"/>
              </w:rPr>
              <w:t>5.7</w:t>
            </w:r>
          </w:p>
        </w:tc>
        <w:tc>
          <w:tcPr>
            <w:tcW w:w="2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220" w:type="dxa"/>
            <w:vAlign w:val="bottom"/>
            <w:tcBorders>
              <w:bottom w:val="single" w:sz="8" w:color="E0E0E0"/>
            </w:tcBorders>
            <w:gridSpan w:val="3"/>
          </w:tcPr>
          <w:p>
            <w:pPr>
              <w:spacing w:after="0" w:line="220" w:lineRule="exact"/>
              <w:rPr>
                <w:sz w:val="20"/>
                <w:szCs w:val="20"/>
                <w:color w:val="auto"/>
              </w:rPr>
            </w:pPr>
            <w:r>
              <w:rPr>
                <w:rFonts w:ascii="Arial" w:cs="Arial" w:eastAsia="Arial" w:hAnsi="Arial"/>
                <w:sz w:val="20"/>
                <w:szCs w:val="20"/>
                <w:color w:val="auto"/>
              </w:rPr>
              <w:t>Cost of Revenue</w:t>
            </w:r>
          </w:p>
        </w:tc>
        <w:tc>
          <w:tcPr>
            <w:tcW w:w="60" w:type="dxa"/>
            <w:vAlign w:val="bottom"/>
            <w:tcBorders>
              <w:bottom w:val="single" w:sz="8" w:color="E0E0E0"/>
            </w:tcBorders>
          </w:tcPr>
          <w:p>
            <w:pPr>
              <w:spacing w:after="0"/>
              <w:rPr>
                <w:sz w:val="22"/>
                <w:szCs w:val="22"/>
                <w:color w:val="auto"/>
              </w:rPr>
            </w:pPr>
          </w:p>
        </w:tc>
        <w:tc>
          <w:tcPr>
            <w:tcW w:w="40" w:type="dxa"/>
            <w:vAlign w:val="bottom"/>
            <w:tcBorders>
              <w:bottom w:val="single" w:sz="8" w:color="E0E0E0"/>
            </w:tcBorders>
          </w:tcPr>
          <w:p>
            <w:pPr>
              <w:spacing w:after="0"/>
              <w:rPr>
                <w:sz w:val="22"/>
                <w:szCs w:val="22"/>
                <w:color w:val="auto"/>
              </w:rPr>
            </w:pPr>
          </w:p>
        </w:tc>
        <w:tc>
          <w:tcPr>
            <w:tcW w:w="40" w:type="dxa"/>
            <w:vAlign w:val="bottom"/>
            <w:tcBorders>
              <w:bottom w:val="single" w:sz="8" w:color="E0E0E0"/>
            </w:tcBorders>
          </w:tcPr>
          <w:p>
            <w:pPr>
              <w:spacing w:after="0"/>
              <w:rPr>
                <w:sz w:val="22"/>
                <w:szCs w:val="22"/>
                <w:color w:val="auto"/>
              </w:rPr>
            </w:pPr>
          </w:p>
        </w:tc>
        <w:tc>
          <w:tcPr>
            <w:tcW w:w="260" w:type="dxa"/>
            <w:vAlign w:val="bottom"/>
            <w:tcBorders>
              <w:bottom w:val="single" w:sz="8" w:color="auto"/>
            </w:tcBorders>
          </w:tcPr>
          <w:p>
            <w:pPr>
              <w:jc w:val="right"/>
              <w:ind w:right="45"/>
              <w:spacing w:after="0" w:line="220" w:lineRule="exact"/>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gridSpan w:val="3"/>
          </w:tcPr>
          <w:p>
            <w:pPr>
              <w:jc w:val="right"/>
              <w:spacing w:after="0" w:line="220" w:lineRule="exact"/>
              <w:rPr>
                <w:sz w:val="20"/>
                <w:szCs w:val="20"/>
                <w:color w:val="auto"/>
              </w:rPr>
            </w:pPr>
            <w:r>
              <w:rPr>
                <w:rFonts w:ascii="Arial" w:cs="Arial" w:eastAsia="Arial" w:hAnsi="Arial"/>
                <w:sz w:val="20"/>
                <w:szCs w:val="20"/>
                <w:color w:val="auto"/>
              </w:rPr>
              <w:t>155.7</w:t>
            </w:r>
          </w:p>
        </w:tc>
        <w:tc>
          <w:tcPr>
            <w:tcW w:w="240" w:type="dxa"/>
            <w:vAlign w:val="bottom"/>
            <w:tcBorders>
              <w:bottom w:val="single" w:sz="8" w:color="E0E0E0"/>
            </w:tcBorders>
          </w:tcPr>
          <w:p>
            <w:pPr>
              <w:spacing w:after="0"/>
              <w:rPr>
                <w:sz w:val="22"/>
                <w:szCs w:val="22"/>
                <w:color w:val="auto"/>
              </w:rPr>
            </w:pPr>
          </w:p>
        </w:tc>
        <w:tc>
          <w:tcPr>
            <w:tcW w:w="8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gridSpan w:val="3"/>
          </w:tcPr>
          <w:p>
            <w:pPr>
              <w:jc w:val="right"/>
              <w:spacing w:after="0" w:line="220" w:lineRule="exact"/>
              <w:rPr>
                <w:sz w:val="20"/>
                <w:szCs w:val="20"/>
                <w:color w:val="auto"/>
              </w:rPr>
            </w:pPr>
            <w:r>
              <w:rPr>
                <w:rFonts w:ascii="Arial" w:cs="Arial" w:eastAsia="Arial" w:hAnsi="Arial"/>
                <w:sz w:val="20"/>
                <w:szCs w:val="20"/>
                <w:color w:val="auto"/>
              </w:rPr>
              <w:t>114.5</w:t>
            </w:r>
          </w:p>
        </w:tc>
        <w:tc>
          <w:tcPr>
            <w:tcW w:w="240" w:type="dxa"/>
            <w:vAlign w:val="bottom"/>
            <w:tcBorders>
              <w:bottom w:val="single" w:sz="8" w:color="E0E0E0"/>
            </w:tcBorders>
          </w:tcPr>
          <w:p>
            <w:pPr>
              <w:spacing w:after="0"/>
              <w:rPr>
                <w:sz w:val="22"/>
                <w:szCs w:val="22"/>
                <w:color w:val="auto"/>
              </w:rPr>
            </w:pPr>
          </w:p>
        </w:tc>
        <w:tc>
          <w:tcPr>
            <w:tcW w:w="40" w:type="dxa"/>
            <w:vAlign w:val="bottom"/>
            <w:tcBorders>
              <w:bottom w:val="single" w:sz="8" w:color="E0E0E0"/>
            </w:tcBorders>
          </w:tcPr>
          <w:p>
            <w:pPr>
              <w:spacing w:after="0"/>
              <w:rPr>
                <w:sz w:val="22"/>
                <w:szCs w:val="22"/>
                <w:color w:val="auto"/>
              </w:rPr>
            </w:pPr>
          </w:p>
        </w:tc>
        <w:tc>
          <w:tcPr>
            <w:tcW w:w="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75.9</w:t>
            </w:r>
          </w:p>
        </w:tc>
        <w:tc>
          <w:tcPr>
            <w:tcW w:w="20" w:type="dxa"/>
            <w:vAlign w:val="bottom"/>
            <w:tcBorders>
              <w:bottom w:val="single" w:sz="8" w:color="E0E0E0"/>
            </w:tcBorders>
          </w:tcPr>
          <w:p>
            <w:pPr>
              <w:spacing w:after="0"/>
              <w:rPr>
                <w:sz w:val="22"/>
                <w:szCs w:val="22"/>
                <w:color w:val="auto"/>
              </w:rPr>
            </w:pPr>
          </w:p>
        </w:tc>
        <w:tc>
          <w:tcPr>
            <w:tcW w:w="18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220" w:type="dxa"/>
            <w:vAlign w:val="bottom"/>
            <w:gridSpan w:val="3"/>
            <w:shd w:val="clear" w:color="auto" w:fill="E0E0E0"/>
          </w:tcPr>
          <w:p>
            <w:pPr>
              <w:spacing w:after="0" w:line="215" w:lineRule="exact"/>
              <w:rPr>
                <w:sz w:val="20"/>
                <w:szCs w:val="20"/>
                <w:color w:val="auto"/>
              </w:rPr>
            </w:pPr>
            <w:r>
              <w:rPr>
                <w:rFonts w:ascii="Arial" w:cs="Arial" w:eastAsia="Arial" w:hAnsi="Arial"/>
                <w:sz w:val="20"/>
                <w:szCs w:val="20"/>
                <w:color w:val="auto"/>
              </w:rPr>
              <w:t>Adjusted to:</w:t>
            </w:r>
          </w:p>
        </w:tc>
        <w:tc>
          <w:tcPr>
            <w:tcW w:w="6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ind w:left="280"/>
              <w:spacing w:after="0"/>
              <w:rPr>
                <w:sz w:val="20"/>
                <w:szCs w:val="20"/>
                <w:color w:val="auto"/>
              </w:rPr>
            </w:pPr>
            <w:r>
              <w:rPr>
                <w:rFonts w:ascii="Arial" w:cs="Arial" w:eastAsia="Arial" w:hAnsi="Arial"/>
                <w:sz w:val="20"/>
                <w:szCs w:val="20"/>
                <w:color w:val="auto"/>
              </w:rPr>
              <w:t>Exclude printing and mailing costs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20"/>
                <w:szCs w:val="20"/>
                <w:color w:val="auto"/>
              </w:rPr>
              <w:t>(20.4)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20"/>
                <w:szCs w:val="20"/>
                <w:color w:val="auto"/>
              </w:rPr>
              <w:t>(18.2)</w:t>
            </w: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ind w:left="280"/>
              <w:spacing w:after="0"/>
              <w:rPr>
                <w:sz w:val="20"/>
                <w:szCs w:val="20"/>
                <w:color w:val="auto"/>
              </w:rPr>
            </w:pPr>
            <w:r>
              <w:rPr>
                <w:rFonts w:ascii="Arial" w:cs="Arial" w:eastAsia="Arial" w:hAnsi="Arial"/>
                <w:sz w:val="20"/>
                <w:szCs w:val="20"/>
                <w:color w:val="auto"/>
              </w:rPr>
              <w:t>Offset marketing fees against related costs</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180"/>
              <w:spacing w:after="0"/>
              <w:rPr>
                <w:sz w:val="20"/>
                <w:szCs w:val="20"/>
                <w:color w:val="auto"/>
              </w:rPr>
            </w:pPr>
            <w:r>
              <w:rPr>
                <w:rFonts w:ascii="Arial" w:cs="Arial" w:eastAsia="Arial" w:hAnsi="Arial"/>
                <w:sz w:val="20"/>
                <w:szCs w:val="20"/>
                <w:color w:val="auto"/>
              </w:rPr>
              <w:t>(2.2)</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160"/>
              <w:spacing w:after="0"/>
              <w:rPr>
                <w:sz w:val="20"/>
                <w:szCs w:val="20"/>
                <w:color w:val="auto"/>
              </w:rPr>
            </w:pPr>
            <w:r>
              <w:rPr>
                <w:rFonts w:ascii="Arial" w:cs="Arial" w:eastAsia="Arial" w:hAnsi="Arial"/>
                <w:sz w:val="20"/>
                <w:szCs w:val="20"/>
                <w:color w:val="auto"/>
              </w:rPr>
              <w:t>(1.9)</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14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0"/>
        </w:trPr>
        <w:tc>
          <w:tcPr>
            <w:tcW w:w="6220" w:type="dxa"/>
            <w:vAlign w:val="bottom"/>
            <w:gridSpan w:val="3"/>
          </w:tcPr>
          <w:p>
            <w:pPr>
              <w:ind w:left="280"/>
              <w:spacing w:after="0"/>
              <w:rPr>
                <w:sz w:val="20"/>
                <w:szCs w:val="20"/>
                <w:color w:val="auto"/>
              </w:rPr>
            </w:pPr>
            <w:r>
              <w:rPr>
                <w:rFonts w:ascii="Arial" w:cs="Arial" w:eastAsia="Arial" w:hAnsi="Arial"/>
                <w:sz w:val="20"/>
                <w:szCs w:val="20"/>
                <w:color w:val="auto"/>
              </w:rPr>
              <w:t>Exclude depreciation and amortization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20"/>
                <w:szCs w:val="20"/>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20"/>
        </w:trPr>
        <w:tc>
          <w:tcPr>
            <w:tcW w:w="6220" w:type="dxa"/>
            <w:vAlign w:val="bottom"/>
            <w:tcBorders>
              <w:top w:val="single" w:sz="8" w:color="E0E0E0"/>
            </w:tcBorders>
            <w:gridSpan w:val="3"/>
            <w:shd w:val="clear" w:color="auto" w:fill="E0E0E0"/>
          </w:tcPr>
          <w:p>
            <w:pPr>
              <w:spacing w:after="0" w:line="220" w:lineRule="exact"/>
              <w:rPr>
                <w:sz w:val="20"/>
                <w:szCs w:val="20"/>
                <w:color w:val="auto"/>
              </w:rPr>
            </w:pPr>
            <w:r>
              <w:rPr>
                <w:rFonts w:ascii="Arial" w:cs="Arial" w:eastAsia="Arial" w:hAnsi="Arial"/>
                <w:sz w:val="20"/>
                <w:szCs w:val="20"/>
                <w:color w:val="auto"/>
              </w:rPr>
              <w:t>Adjusted Cost of Revenue</w:t>
            </w:r>
          </w:p>
        </w:tc>
        <w:tc>
          <w:tcPr>
            <w:tcW w:w="6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auto"/>
            </w:tcBorders>
            <w:shd w:val="clear" w:color="auto" w:fill="E0E0E0"/>
          </w:tcPr>
          <w:p>
            <w:pPr>
              <w:jc w:val="right"/>
              <w:ind w:right="45"/>
              <w:spacing w:after="0" w:line="220"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rPr>
              <w:t>127.4</w:t>
            </w:r>
          </w:p>
        </w:tc>
        <w:tc>
          <w:tcPr>
            <w:tcW w:w="24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tcBorders>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rPr>
              <w:t>85.2</w:t>
            </w:r>
          </w:p>
        </w:tc>
        <w:tc>
          <w:tcPr>
            <w:tcW w:w="24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51.4</w:t>
            </w:r>
          </w:p>
        </w:tc>
        <w:tc>
          <w:tcPr>
            <w:tcW w:w="2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20"/>
                <w:szCs w:val="20"/>
                <w:color w:val="auto"/>
              </w:rPr>
              <w:t>Gross Profit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jc w:val="right"/>
              <w:ind w:right="45"/>
              <w:spacing w:after="0"/>
              <w:rPr>
                <w:sz w:val="20"/>
                <w:szCs w:val="20"/>
                <w:color w:val="auto"/>
              </w:rPr>
            </w:pPr>
            <w:r>
              <w:rPr>
                <w:rFonts w:ascii="Arial" w:cs="Arial" w:eastAsia="Arial" w:hAnsi="Arial"/>
                <w:sz w:val="20"/>
                <w:szCs w:val="20"/>
                <w:color w:val="auto"/>
                <w:w w:val="89"/>
              </w:rPr>
              <w:t>$</w:t>
            </w: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247.4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040" w:type="dxa"/>
            <w:vAlign w:val="bottom"/>
            <w:gridSpan w:val="3"/>
          </w:tcPr>
          <w:p>
            <w:pPr>
              <w:jc w:val="right"/>
              <w:spacing w:after="0"/>
              <w:rPr>
                <w:sz w:val="20"/>
                <w:szCs w:val="20"/>
                <w:color w:val="auto"/>
              </w:rPr>
            </w:pPr>
            <w:r>
              <w:rPr>
                <w:rFonts w:ascii="Arial" w:cs="Arial" w:eastAsia="Arial" w:hAnsi="Arial"/>
                <w:sz w:val="20"/>
                <w:szCs w:val="20"/>
                <w:color w:val="auto"/>
              </w:rPr>
              <w:t>174.9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125.2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spacing w:after="0"/>
              <w:rPr>
                <w:sz w:val="20"/>
                <w:szCs w:val="20"/>
                <w:color w:val="auto"/>
              </w:rPr>
            </w:pPr>
            <w:r>
              <w:rPr>
                <w:rFonts w:ascii="Arial" w:cs="Arial" w:eastAsia="Arial" w:hAnsi="Arial"/>
                <w:sz w:val="20"/>
                <w:szCs w:val="20"/>
                <w:color w:val="auto"/>
              </w:rPr>
              <w:t>Gross Margin</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60"/>
              <w:spacing w:after="0"/>
              <w:rPr>
                <w:sz w:val="20"/>
                <w:szCs w:val="20"/>
                <w:color w:val="auto"/>
              </w:rPr>
            </w:pPr>
            <w:r>
              <w:rPr>
                <w:rFonts w:ascii="Arial" w:cs="Arial" w:eastAsia="Arial" w:hAnsi="Arial"/>
                <w:sz w:val="20"/>
                <w:szCs w:val="20"/>
                <w:color w:val="auto"/>
              </w:rPr>
              <w:t>61.4%</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60"/>
              <w:spacing w:after="0"/>
              <w:rPr>
                <w:sz w:val="20"/>
                <w:szCs w:val="20"/>
                <w:color w:val="auto"/>
              </w:rPr>
            </w:pPr>
            <w:r>
              <w:rPr>
                <w:rFonts w:ascii="Arial" w:cs="Arial" w:eastAsia="Arial" w:hAnsi="Arial"/>
                <w:sz w:val="20"/>
                <w:szCs w:val="20"/>
                <w:color w:val="auto"/>
              </w:rPr>
              <w:t>60.4%</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20"/>
              <w:spacing w:after="0"/>
              <w:rPr>
                <w:sz w:val="20"/>
                <w:szCs w:val="20"/>
                <w:color w:val="auto"/>
              </w:rPr>
            </w:pPr>
            <w:r>
              <w:rPr>
                <w:rFonts w:ascii="Arial" w:cs="Arial" w:eastAsia="Arial" w:hAnsi="Arial"/>
                <w:sz w:val="20"/>
                <w:szCs w:val="20"/>
                <w:color w:val="auto"/>
              </w:rPr>
              <w:t>62.3%</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20"/>
                <w:szCs w:val="20"/>
                <w:color w:val="auto"/>
              </w:rPr>
              <w:t>Adjusted Gross Profit</w:t>
            </w: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gridSpan w:val="3"/>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60" w:type="dxa"/>
            <w:vAlign w:val="bottom"/>
          </w:tcPr>
          <w:p>
            <w:pPr>
              <w:jc w:val="right"/>
              <w:ind w:right="45"/>
              <w:spacing w:after="0" w:line="215" w:lineRule="exact"/>
              <w:rPr>
                <w:sz w:val="20"/>
                <w:szCs w:val="20"/>
                <w:color w:val="auto"/>
              </w:rPr>
            </w:pPr>
            <w:r>
              <w:rPr>
                <w:rFonts w:ascii="Arial" w:cs="Arial" w:eastAsia="Arial" w:hAnsi="Arial"/>
                <w:sz w:val="20"/>
                <w:szCs w:val="20"/>
                <w:color w:val="auto"/>
                <w:w w:val="89"/>
              </w:rPr>
              <w:t>$</w:t>
            </w:r>
          </w:p>
        </w:tc>
        <w:tc>
          <w:tcPr>
            <w:tcW w:w="920" w:type="dxa"/>
            <w:vAlign w:val="bottom"/>
            <w:gridSpan w:val="3"/>
          </w:tcPr>
          <w:p>
            <w:pPr>
              <w:jc w:val="right"/>
              <w:spacing w:after="0" w:line="215" w:lineRule="exact"/>
              <w:rPr>
                <w:sz w:val="20"/>
                <w:szCs w:val="20"/>
                <w:color w:val="auto"/>
              </w:rPr>
            </w:pPr>
            <w:r>
              <w:rPr>
                <w:rFonts w:ascii="Arial" w:cs="Arial" w:eastAsia="Arial" w:hAnsi="Arial"/>
                <w:sz w:val="20"/>
                <w:szCs w:val="20"/>
                <w:color w:val="auto"/>
              </w:rPr>
              <w:t>254.1</w:t>
            </w:r>
          </w:p>
        </w:tc>
        <w:tc>
          <w:tcPr>
            <w:tcW w:w="2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spacing w:after="0" w:line="215" w:lineRule="exact"/>
              <w:rPr>
                <w:sz w:val="20"/>
                <w:szCs w:val="20"/>
                <w:color w:val="auto"/>
              </w:rPr>
            </w:pPr>
            <w:r>
              <w:rPr>
                <w:rFonts w:ascii="Arial" w:cs="Arial" w:eastAsia="Arial" w:hAnsi="Arial"/>
                <w:sz w:val="20"/>
                <w:szCs w:val="20"/>
                <w:color w:val="auto"/>
                <w:w w:val="89"/>
              </w:rPr>
              <w:t>$</w:t>
            </w:r>
          </w:p>
        </w:tc>
        <w:tc>
          <w:tcPr>
            <w:tcW w:w="1040" w:type="dxa"/>
            <w:vAlign w:val="bottom"/>
            <w:gridSpan w:val="3"/>
          </w:tcPr>
          <w:p>
            <w:pPr>
              <w:jc w:val="right"/>
              <w:spacing w:after="0" w:line="215" w:lineRule="exact"/>
              <w:rPr>
                <w:sz w:val="20"/>
                <w:szCs w:val="20"/>
                <w:color w:val="auto"/>
              </w:rPr>
            </w:pPr>
            <w:r>
              <w:rPr>
                <w:rFonts w:ascii="Arial" w:cs="Arial" w:eastAsia="Arial" w:hAnsi="Arial"/>
                <w:sz w:val="20"/>
                <w:szCs w:val="20"/>
                <w:color w:val="auto"/>
              </w:rPr>
              <w:t>181.9</w:t>
            </w:r>
          </w:p>
        </w:tc>
        <w:tc>
          <w:tcPr>
            <w:tcW w:w="2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106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129.7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spacing w:after="0"/>
              <w:rPr>
                <w:sz w:val="20"/>
                <w:szCs w:val="20"/>
                <w:color w:val="auto"/>
              </w:rPr>
            </w:pPr>
            <w:r>
              <w:rPr>
                <w:rFonts w:ascii="Arial" w:cs="Arial" w:eastAsia="Arial" w:hAnsi="Arial"/>
                <w:sz w:val="20"/>
                <w:szCs w:val="20"/>
                <w:color w:val="auto"/>
              </w:rPr>
              <w:t>Adjusted Gross Margin</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60"/>
              <w:spacing w:after="0"/>
              <w:rPr>
                <w:sz w:val="20"/>
                <w:szCs w:val="20"/>
                <w:color w:val="auto"/>
              </w:rPr>
            </w:pPr>
            <w:r>
              <w:rPr>
                <w:rFonts w:ascii="Arial" w:cs="Arial" w:eastAsia="Arial" w:hAnsi="Arial"/>
                <w:sz w:val="20"/>
                <w:szCs w:val="20"/>
                <w:color w:val="auto"/>
              </w:rPr>
              <w:t>66.6%</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60"/>
              <w:spacing w:after="0"/>
              <w:rPr>
                <w:sz w:val="20"/>
                <w:szCs w:val="20"/>
                <w:color w:val="auto"/>
              </w:rPr>
            </w:pPr>
            <w:r>
              <w:rPr>
                <w:rFonts w:ascii="Arial" w:cs="Arial" w:eastAsia="Arial" w:hAnsi="Arial"/>
                <w:sz w:val="20"/>
                <w:szCs w:val="20"/>
                <w:color w:val="auto"/>
              </w:rPr>
              <w:t>68.1%</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20"/>
              <w:spacing w:after="0"/>
              <w:rPr>
                <w:sz w:val="20"/>
                <w:szCs w:val="20"/>
                <w:color w:val="auto"/>
              </w:rPr>
            </w:pPr>
            <w:r>
              <w:rPr>
                <w:rFonts w:ascii="Arial" w:cs="Arial" w:eastAsia="Arial" w:hAnsi="Arial"/>
                <w:sz w:val="20"/>
                <w:szCs w:val="20"/>
                <w:color w:val="auto"/>
              </w:rPr>
              <w:t>71.6%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Platform and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84"/>
        </w:trPr>
        <w:tc>
          <w:tcPr>
            <w:tcW w:w="6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5"/>
            <w:vMerge w:val="restart"/>
          </w:tcPr>
          <w:p>
            <w:pPr>
              <w:jc w:val="right"/>
              <w:ind w:right="420"/>
              <w:spacing w:after="0"/>
              <w:rPr>
                <w:sz w:val="20"/>
                <w:szCs w:val="20"/>
                <w:color w:val="auto"/>
              </w:rPr>
            </w:pPr>
            <w:r>
              <w:rPr>
                <w:rFonts w:ascii="Arial" w:cs="Arial" w:eastAsia="Arial" w:hAnsi="Arial"/>
                <w:sz w:val="16"/>
                <w:szCs w:val="16"/>
                <w:b w:val="1"/>
                <w:bCs w:val="1"/>
                <w:color w:val="auto"/>
              </w:rPr>
              <w:t>Transaction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5"/>
          </w:tcPr>
          <w:p>
            <w:pPr>
              <w:ind w:left="20"/>
              <w:spacing w:after="0"/>
              <w:rPr>
                <w:sz w:val="20"/>
                <w:szCs w:val="20"/>
                <w:color w:val="auto"/>
              </w:rPr>
            </w:pPr>
            <w:r>
              <w:rPr>
                <w:rFonts w:ascii="Arial" w:cs="Arial" w:eastAsia="Arial" w:hAnsi="Arial"/>
                <w:sz w:val="16"/>
                <w:szCs w:val="16"/>
                <w:b w:val="1"/>
                <w:bCs w:val="1"/>
                <w:color w:val="auto"/>
              </w:rPr>
              <w:t>Usage-Based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62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rPr>
              <w:t>Fee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83"/>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140" w:type="dxa"/>
            <w:vAlign w:val="bottom"/>
            <w:tcBorders>
              <w:top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340" w:type="dxa"/>
            <w:vAlign w:val="bottom"/>
            <w:tcBorders>
              <w:top w:val="single" w:sz="8" w:color="auto"/>
            </w:tcBorders>
            <w:gridSpan w:val="3"/>
            <w:shd w:val="clear" w:color="auto" w:fill="E0E0E0"/>
          </w:tcPr>
          <w:p>
            <w:pPr>
              <w:jc w:val="right"/>
              <w:ind w:right="125"/>
              <w:spacing w:after="0" w:line="220"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329.7</w:t>
            </w: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tcBorders>
            <w:gridSpan w:val="3"/>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73.4</w:t>
            </w:r>
          </w:p>
        </w:tc>
        <w:tc>
          <w:tcPr>
            <w:tcW w:w="4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200" w:type="dxa"/>
            <w:vAlign w:val="bottom"/>
            <w:tcBorders>
              <w:top w:val="single" w:sz="8" w:color="auto"/>
            </w:tcBorders>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gridSpan w:val="3"/>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rPr>
              <w:t>403.1</w:t>
            </w: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20"/>
                <w:szCs w:val="20"/>
                <w:color w:val="auto"/>
              </w:rPr>
              <w:t>Adjusted to exclude gross up for: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ind w:left="280"/>
              <w:spacing w:after="0"/>
              <w:rPr>
                <w:sz w:val="20"/>
                <w:szCs w:val="20"/>
                <w:color w:val="auto"/>
              </w:rPr>
            </w:pPr>
            <w:r>
              <w:rPr>
                <w:rFonts w:ascii="Arial" w:cs="Arial" w:eastAsia="Arial" w:hAnsi="Arial"/>
                <w:sz w:val="20"/>
                <w:szCs w:val="20"/>
                <w:color w:val="auto"/>
              </w:rPr>
              <w:t>Pass-through cost for printing and mailing</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260"/>
              <w:spacing w:after="0"/>
              <w:rPr>
                <w:sz w:val="20"/>
                <w:szCs w:val="20"/>
                <w:color w:val="auto"/>
              </w:rPr>
            </w:pPr>
            <w:r>
              <w:rPr>
                <w:rFonts w:ascii="Arial" w:cs="Arial" w:eastAsia="Arial" w:hAnsi="Arial"/>
                <w:sz w:val="20"/>
                <w:szCs w:val="20"/>
                <w:color w:val="auto"/>
              </w:rPr>
              <w:t>—</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4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(19.4)</w:t>
            </w:r>
          </w:p>
        </w:tc>
        <w:tc>
          <w:tcPr>
            <w:tcW w:w="2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140"/>
              <w:spacing w:after="0"/>
              <w:rPr>
                <w:sz w:val="20"/>
                <w:szCs w:val="20"/>
                <w:color w:val="auto"/>
              </w:rPr>
            </w:pPr>
            <w:r>
              <w:rPr>
                <w:rFonts w:ascii="Arial" w:cs="Arial" w:eastAsia="Arial" w:hAnsi="Arial"/>
                <w:sz w:val="20"/>
                <w:szCs w:val="20"/>
                <w:color w:val="auto"/>
              </w:rPr>
              <w:t>(19.4)</w:t>
            </w:r>
          </w:p>
        </w:tc>
        <w:tc>
          <w:tcPr>
            <w:tcW w:w="0" w:type="dxa"/>
            <w:vAlign w:val="bottom"/>
          </w:tcPr>
          <w:p>
            <w:pPr>
              <w:spacing w:after="0"/>
              <w:rPr>
                <w:sz w:val="1"/>
                <w:szCs w:val="1"/>
                <w:color w:val="auto"/>
              </w:rPr>
            </w:pPr>
          </w:p>
        </w:tc>
      </w:tr>
      <w:tr>
        <w:trPr>
          <w:trHeight w:val="230"/>
        </w:trPr>
        <w:tc>
          <w:tcPr>
            <w:tcW w:w="6220" w:type="dxa"/>
            <w:vAlign w:val="bottom"/>
            <w:gridSpan w:val="3"/>
          </w:tcPr>
          <w:p>
            <w:pPr>
              <w:ind w:left="280"/>
              <w:spacing w:after="0"/>
              <w:rPr>
                <w:sz w:val="20"/>
                <w:szCs w:val="20"/>
                <w:color w:val="auto"/>
              </w:rPr>
            </w:pPr>
            <w:r>
              <w:rPr>
                <w:rFonts w:ascii="Arial" w:cs="Arial" w:eastAsia="Arial" w:hAnsi="Arial"/>
                <w:sz w:val="20"/>
                <w:szCs w:val="20"/>
                <w:color w:val="auto"/>
              </w:rPr>
              <w:t>Marketing fees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20"/>
        </w:trPr>
        <w:tc>
          <w:tcPr>
            <w:tcW w:w="6220" w:type="dxa"/>
            <w:vAlign w:val="bottom"/>
            <w:tcBorders>
              <w:top w:val="single" w:sz="8" w:color="E0E0E0"/>
            </w:tcBorders>
            <w:gridSpan w:val="3"/>
            <w:shd w:val="clear" w:color="auto" w:fill="E0E0E0"/>
          </w:tcPr>
          <w:p>
            <w:pPr>
              <w:spacing w:after="0" w:line="220" w:lineRule="exact"/>
              <w:rPr>
                <w:sz w:val="20"/>
                <w:szCs w:val="20"/>
                <w:color w:val="auto"/>
              </w:rPr>
            </w:pPr>
            <w:r>
              <w:rPr>
                <w:rFonts w:ascii="Arial" w:cs="Arial" w:eastAsia="Arial" w:hAnsi="Arial"/>
                <w:sz w:val="20"/>
                <w:szCs w:val="20"/>
                <w:color w:val="auto"/>
              </w:rPr>
              <w:t>Revenue Less Ancillary Services</w:t>
            </w:r>
          </w:p>
        </w:tc>
        <w:tc>
          <w:tcPr>
            <w:tcW w:w="60" w:type="dxa"/>
            <w:vAlign w:val="bottom"/>
            <w:tcBorders>
              <w:top w:val="single" w:sz="8" w:color="E0E0E0"/>
            </w:tcBorders>
            <w:shd w:val="clear" w:color="auto" w:fill="E0E0E0"/>
          </w:tcPr>
          <w:p>
            <w:pPr>
              <w:spacing w:after="0"/>
              <w:rPr>
                <w:sz w:val="19"/>
                <w:szCs w:val="19"/>
                <w:color w:val="auto"/>
              </w:rPr>
            </w:pPr>
          </w:p>
        </w:tc>
        <w:tc>
          <w:tcPr>
            <w:tcW w:w="340" w:type="dxa"/>
            <w:vAlign w:val="bottom"/>
            <w:tcBorders>
              <w:top w:val="single" w:sz="8" w:color="auto"/>
              <w:bottom w:val="single" w:sz="8" w:color="auto"/>
            </w:tcBorders>
            <w:gridSpan w:val="3"/>
            <w:shd w:val="clear" w:color="auto" w:fill="E0E0E0"/>
          </w:tcPr>
          <w:p>
            <w:pPr>
              <w:jc w:val="right"/>
              <w:ind w:right="125"/>
              <w:spacing w:after="0" w:line="220"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327.5</w:t>
            </w: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gridSpan w:val="3"/>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54.0</w:t>
            </w:r>
          </w:p>
        </w:tc>
        <w:tc>
          <w:tcPr>
            <w:tcW w:w="4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200" w:type="dxa"/>
            <w:vAlign w:val="bottom"/>
            <w:tcBorders>
              <w:top w:val="single" w:sz="8" w:color="auto"/>
              <w:bottom w:val="single" w:sz="8" w:color="auto"/>
            </w:tcBorders>
            <w:gridSpan w:val="3"/>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gridSpan w:val="3"/>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rPr>
              <w:t>381.5</w:t>
            </w: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20"/>
                <w:szCs w:val="20"/>
                <w:color w:val="auto"/>
              </w:rPr>
              <w:t>Percentage of Revenue</w:t>
            </w: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4"/>
          </w:tcPr>
          <w:p>
            <w:pPr>
              <w:jc w:val="right"/>
              <w:ind w:right="80"/>
              <w:spacing w:after="0" w:line="215" w:lineRule="exact"/>
              <w:rPr>
                <w:sz w:val="20"/>
                <w:szCs w:val="20"/>
                <w:color w:val="auto"/>
              </w:rPr>
            </w:pPr>
            <w:r>
              <w:rPr>
                <w:rFonts w:ascii="Arial" w:cs="Arial" w:eastAsia="Arial" w:hAnsi="Arial"/>
                <w:sz w:val="20"/>
                <w:szCs w:val="20"/>
                <w:color w:val="auto"/>
              </w:rPr>
              <w:t>81.8%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120"/>
              <w:spacing w:after="0" w:line="215" w:lineRule="exact"/>
              <w:rPr>
                <w:sz w:val="20"/>
                <w:szCs w:val="20"/>
                <w:color w:val="auto"/>
              </w:rPr>
            </w:pPr>
            <w:r>
              <w:rPr>
                <w:rFonts w:ascii="Arial" w:cs="Arial" w:eastAsia="Arial" w:hAnsi="Arial"/>
                <w:sz w:val="20"/>
                <w:szCs w:val="20"/>
                <w:color w:val="auto"/>
              </w:rPr>
              <w:t>18.2%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line="215" w:lineRule="exact"/>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spacing w:after="0"/>
              <w:rPr>
                <w:sz w:val="20"/>
                <w:szCs w:val="20"/>
                <w:color w:val="auto"/>
              </w:rPr>
            </w:pPr>
            <w:r>
              <w:rPr>
                <w:rFonts w:ascii="Arial" w:cs="Arial" w:eastAsia="Arial" w:hAnsi="Arial"/>
                <w:sz w:val="20"/>
                <w:szCs w:val="20"/>
                <w:color w:val="auto"/>
              </w:rPr>
              <w:t>Percentage of Revenue Less Ancillary Services</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80"/>
              <w:spacing w:after="0"/>
              <w:rPr>
                <w:sz w:val="20"/>
                <w:szCs w:val="20"/>
                <w:color w:val="auto"/>
              </w:rPr>
            </w:pPr>
            <w:r>
              <w:rPr>
                <w:rFonts w:ascii="Arial" w:cs="Arial" w:eastAsia="Arial" w:hAnsi="Arial"/>
                <w:sz w:val="20"/>
                <w:szCs w:val="20"/>
                <w:color w:val="auto"/>
              </w:rPr>
              <w:t>85.8%</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120"/>
              <w:spacing w:after="0"/>
              <w:rPr>
                <w:sz w:val="20"/>
                <w:szCs w:val="20"/>
                <w:color w:val="auto"/>
              </w:rPr>
            </w:pPr>
            <w:r>
              <w:rPr>
                <w:rFonts w:ascii="Arial" w:cs="Arial" w:eastAsia="Arial" w:hAnsi="Arial"/>
                <w:sz w:val="20"/>
                <w:szCs w:val="20"/>
                <w:color w:val="auto"/>
              </w:rPr>
              <w:t>14.2%</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2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395"/>
        </w:trPr>
        <w:tc>
          <w:tcPr>
            <w:tcW w:w="6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Platform and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84"/>
        </w:trPr>
        <w:tc>
          <w:tcPr>
            <w:tcW w:w="6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5"/>
            <w:vMerge w:val="restart"/>
          </w:tcPr>
          <w:p>
            <w:pPr>
              <w:jc w:val="right"/>
              <w:ind w:right="420"/>
              <w:spacing w:after="0"/>
              <w:rPr>
                <w:sz w:val="20"/>
                <w:szCs w:val="20"/>
                <w:color w:val="auto"/>
              </w:rPr>
            </w:pPr>
            <w:r>
              <w:rPr>
                <w:rFonts w:ascii="Arial" w:cs="Arial" w:eastAsia="Arial" w:hAnsi="Arial"/>
                <w:sz w:val="16"/>
                <w:szCs w:val="16"/>
                <w:b w:val="1"/>
                <w:bCs w:val="1"/>
                <w:color w:val="auto"/>
              </w:rPr>
              <w:t>Transaction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5"/>
          </w:tcPr>
          <w:p>
            <w:pPr>
              <w:ind w:left="40"/>
              <w:spacing w:after="0"/>
              <w:rPr>
                <w:sz w:val="20"/>
                <w:szCs w:val="20"/>
                <w:color w:val="auto"/>
              </w:rPr>
            </w:pPr>
            <w:r>
              <w:rPr>
                <w:rFonts w:ascii="Arial" w:cs="Arial" w:eastAsia="Arial" w:hAnsi="Arial"/>
                <w:sz w:val="16"/>
                <w:szCs w:val="16"/>
                <w:b w:val="1"/>
                <w:bCs w:val="1"/>
                <w:color w:val="auto"/>
              </w:rPr>
              <w:t>Usage-Based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62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Fee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0" w:type="dxa"/>
            <w:vAlign w:val="bottom"/>
            <w:tcBorders>
              <w:top w:val="single" w:sz="8" w:color="auto"/>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2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gridSpan w:val="2"/>
            <w:shd w:val="clear" w:color="auto" w:fill="E0E0E0"/>
          </w:tcPr>
          <w:p>
            <w:pPr>
              <w:spacing w:after="0"/>
              <w:rPr>
                <w:sz w:val="19"/>
                <w:szCs w:val="19"/>
                <w:color w:val="auto"/>
              </w:rPr>
            </w:pPr>
          </w:p>
        </w:tc>
        <w:tc>
          <w:tcPr>
            <w:tcW w:w="300" w:type="dxa"/>
            <w:vAlign w:val="bottom"/>
            <w:tcBorders>
              <w:top w:val="single" w:sz="8" w:color="auto"/>
            </w:tcBorders>
            <w:gridSpan w:val="2"/>
            <w:shd w:val="clear" w:color="auto" w:fill="E0E0E0"/>
          </w:tcPr>
          <w:p>
            <w:pPr>
              <w:jc w:val="right"/>
              <w:ind w:right="85"/>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224.2</w:t>
            </w: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gridSpan w:val="2"/>
            <w:shd w:val="clear" w:color="auto" w:fill="E0E0E0"/>
          </w:tcPr>
          <w:p>
            <w:pPr>
              <w:spacing w:after="0"/>
              <w:rPr>
                <w:sz w:val="19"/>
                <w:szCs w:val="19"/>
                <w:color w:val="auto"/>
              </w:rPr>
            </w:pPr>
          </w:p>
        </w:tc>
        <w:tc>
          <w:tcPr>
            <w:tcW w:w="140" w:type="dxa"/>
            <w:vAlign w:val="bottom"/>
            <w:tcBorders>
              <w:top w:val="single" w:sz="8" w:color="auto"/>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65.2</w:t>
            </w: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gridSpan w:val="2"/>
            <w:shd w:val="clear" w:color="auto" w:fill="E0E0E0"/>
          </w:tcPr>
          <w:p>
            <w:pPr>
              <w:spacing w:after="0"/>
              <w:rPr>
                <w:sz w:val="19"/>
                <w:szCs w:val="19"/>
                <w:color w:val="auto"/>
              </w:rPr>
            </w:pPr>
          </w:p>
        </w:tc>
        <w:tc>
          <w:tcPr>
            <w:tcW w:w="140" w:type="dxa"/>
            <w:vAlign w:val="bottom"/>
            <w:tcBorders>
              <w:top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20"/>
                <w:szCs w:val="20"/>
                <w:color w:val="auto"/>
              </w:rPr>
              <w:t>Adjusted to exclude gross up for: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ind w:left="280"/>
              <w:spacing w:after="0"/>
              <w:rPr>
                <w:sz w:val="20"/>
                <w:szCs w:val="20"/>
                <w:color w:val="auto"/>
              </w:rPr>
            </w:pPr>
            <w:r>
              <w:rPr>
                <w:rFonts w:ascii="Arial" w:cs="Arial" w:eastAsia="Arial" w:hAnsi="Arial"/>
                <w:sz w:val="20"/>
                <w:szCs w:val="20"/>
                <w:color w:val="auto"/>
              </w:rPr>
              <w:t>Pass-through cost for printing and mailing</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280"/>
              <w:spacing w:after="0"/>
              <w:rPr>
                <w:sz w:val="20"/>
                <w:szCs w:val="20"/>
                <w:color w:val="auto"/>
              </w:rPr>
            </w:pPr>
            <w:r>
              <w:rPr>
                <w:rFonts w:ascii="Arial" w:cs="Arial" w:eastAsia="Arial" w:hAnsi="Arial"/>
                <w:sz w:val="20"/>
                <w:szCs w:val="20"/>
                <w:color w:val="auto"/>
              </w:rPr>
              <w:t>—</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200"/>
              <w:spacing w:after="0"/>
              <w:rPr>
                <w:sz w:val="20"/>
                <w:szCs w:val="20"/>
                <w:color w:val="auto"/>
              </w:rPr>
            </w:pPr>
            <w:r>
              <w:rPr>
                <w:rFonts w:ascii="Arial" w:cs="Arial" w:eastAsia="Arial" w:hAnsi="Arial"/>
                <w:sz w:val="20"/>
                <w:szCs w:val="20"/>
                <w:color w:val="auto"/>
              </w:rPr>
              <w:t>(20.4)</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160"/>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r>
        <w:trPr>
          <w:trHeight w:val="230"/>
        </w:trPr>
        <w:tc>
          <w:tcPr>
            <w:tcW w:w="6220" w:type="dxa"/>
            <w:vAlign w:val="bottom"/>
            <w:gridSpan w:val="3"/>
          </w:tcPr>
          <w:p>
            <w:pPr>
              <w:ind w:left="280"/>
              <w:spacing w:after="0"/>
              <w:rPr>
                <w:sz w:val="20"/>
                <w:szCs w:val="20"/>
                <w:color w:val="auto"/>
              </w:rPr>
            </w:pPr>
            <w:r>
              <w:rPr>
                <w:rFonts w:ascii="Arial" w:cs="Arial" w:eastAsia="Arial" w:hAnsi="Arial"/>
                <w:sz w:val="20"/>
                <w:szCs w:val="20"/>
                <w:color w:val="auto"/>
              </w:rPr>
              <w:t>Marketing fees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20"/>
        </w:trPr>
        <w:tc>
          <w:tcPr>
            <w:tcW w:w="6220" w:type="dxa"/>
            <w:vAlign w:val="bottom"/>
            <w:tcBorders>
              <w:top w:val="single" w:sz="8" w:color="E0E0E0"/>
            </w:tcBorders>
            <w:gridSpan w:val="3"/>
            <w:shd w:val="clear" w:color="auto" w:fill="E0E0E0"/>
          </w:tcPr>
          <w:p>
            <w:pPr>
              <w:spacing w:after="0" w:line="220" w:lineRule="exact"/>
              <w:rPr>
                <w:sz w:val="20"/>
                <w:szCs w:val="20"/>
                <w:color w:val="auto"/>
              </w:rPr>
            </w:pPr>
            <w:r>
              <w:rPr>
                <w:rFonts w:ascii="Arial" w:cs="Arial" w:eastAsia="Arial" w:hAnsi="Arial"/>
                <w:sz w:val="20"/>
                <w:szCs w:val="20"/>
                <w:color w:val="auto"/>
              </w:rPr>
              <w:t>Revenue Less Ancillary Services</w:t>
            </w:r>
          </w:p>
        </w:tc>
        <w:tc>
          <w:tcPr>
            <w:tcW w:w="6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300" w:type="dxa"/>
            <w:vAlign w:val="bottom"/>
            <w:tcBorders>
              <w:top w:val="single" w:sz="8" w:color="auto"/>
              <w:bottom w:val="single" w:sz="8" w:color="auto"/>
            </w:tcBorders>
            <w:gridSpan w:val="2"/>
            <w:shd w:val="clear" w:color="auto" w:fill="E0E0E0"/>
          </w:tcPr>
          <w:p>
            <w:pPr>
              <w:jc w:val="right"/>
              <w:ind w:right="85"/>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222.3</w:t>
            </w: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gridSpan w:val="2"/>
            <w:shd w:val="clear" w:color="auto" w:fill="E0E0E0"/>
          </w:tcPr>
          <w:p>
            <w:pPr>
              <w:spacing w:after="0"/>
              <w:rPr>
                <w:sz w:val="19"/>
                <w:szCs w:val="19"/>
                <w:color w:val="auto"/>
              </w:rPr>
            </w:pPr>
          </w:p>
        </w:tc>
        <w:tc>
          <w:tcPr>
            <w:tcW w:w="140" w:type="dxa"/>
            <w:vAlign w:val="bottom"/>
            <w:tcBorders>
              <w:top w:val="single" w:sz="8" w:color="auto"/>
              <w:bottom w:val="single" w:sz="8" w:color="auto"/>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44.8</w:t>
            </w: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gridSpan w:val="2"/>
            <w:shd w:val="clear" w:color="auto" w:fill="E0E0E0"/>
          </w:tcPr>
          <w:p>
            <w:pPr>
              <w:spacing w:after="0"/>
              <w:rPr>
                <w:sz w:val="19"/>
                <w:szCs w:val="19"/>
                <w:color w:val="auto"/>
              </w:rPr>
            </w:pPr>
          </w:p>
        </w:tc>
        <w:tc>
          <w:tcPr>
            <w:tcW w:w="140" w:type="dxa"/>
            <w:vAlign w:val="bottom"/>
            <w:tcBorders>
              <w:top w:val="single" w:sz="8" w:color="auto"/>
              <w:bottom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267.1</w:t>
            </w: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20"/>
                <w:szCs w:val="20"/>
                <w:color w:val="auto"/>
              </w:rPr>
              <w:t>Percentage of Revenue</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4"/>
          </w:tcPr>
          <w:p>
            <w:pPr>
              <w:jc w:val="right"/>
              <w:ind w:right="100"/>
              <w:spacing w:after="0" w:line="215" w:lineRule="exact"/>
              <w:rPr>
                <w:sz w:val="20"/>
                <w:szCs w:val="20"/>
                <w:color w:val="auto"/>
              </w:rPr>
            </w:pPr>
            <w:r>
              <w:rPr>
                <w:rFonts w:ascii="Arial" w:cs="Arial" w:eastAsia="Arial" w:hAnsi="Arial"/>
                <w:sz w:val="20"/>
                <w:szCs w:val="20"/>
                <w:color w:val="auto"/>
              </w:rPr>
              <w:t>77.5%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80"/>
              <w:spacing w:after="0" w:line="215" w:lineRule="exact"/>
              <w:rPr>
                <w:sz w:val="20"/>
                <w:szCs w:val="20"/>
                <w:color w:val="auto"/>
              </w:rPr>
            </w:pPr>
            <w:r>
              <w:rPr>
                <w:rFonts w:ascii="Arial" w:cs="Arial" w:eastAsia="Arial" w:hAnsi="Arial"/>
                <w:sz w:val="20"/>
                <w:szCs w:val="20"/>
                <w:color w:val="auto"/>
              </w:rPr>
              <w:t>22.5%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40"/>
              <w:spacing w:after="0" w:line="215" w:lineRule="exact"/>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0E0E0"/>
          </w:tcPr>
          <w:p>
            <w:pPr>
              <w:spacing w:after="0"/>
              <w:rPr>
                <w:sz w:val="20"/>
                <w:szCs w:val="20"/>
                <w:color w:val="auto"/>
              </w:rPr>
            </w:pPr>
            <w:r>
              <w:rPr>
                <w:rFonts w:ascii="Arial" w:cs="Arial" w:eastAsia="Arial" w:hAnsi="Arial"/>
                <w:sz w:val="20"/>
                <w:szCs w:val="20"/>
                <w:color w:val="auto"/>
              </w:rPr>
              <w:t>Percentage of Revenue Less Ancillary Services</w:t>
            </w: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4"/>
            <w:shd w:val="clear" w:color="auto" w:fill="E0E0E0"/>
          </w:tcPr>
          <w:p>
            <w:pPr>
              <w:jc w:val="right"/>
              <w:ind w:right="100"/>
              <w:spacing w:after="0"/>
              <w:rPr>
                <w:sz w:val="20"/>
                <w:szCs w:val="20"/>
                <w:color w:val="auto"/>
              </w:rPr>
            </w:pPr>
            <w:r>
              <w:rPr>
                <w:rFonts w:ascii="Arial" w:cs="Arial" w:eastAsia="Arial" w:hAnsi="Arial"/>
                <w:sz w:val="20"/>
                <w:szCs w:val="20"/>
                <w:color w:val="auto"/>
              </w:rPr>
              <w:t>83.2%</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80" w:type="dxa"/>
            <w:vAlign w:val="bottom"/>
            <w:gridSpan w:val="4"/>
            <w:shd w:val="clear" w:color="auto" w:fill="E0E0E0"/>
          </w:tcPr>
          <w:p>
            <w:pPr>
              <w:jc w:val="right"/>
              <w:ind w:right="80"/>
              <w:spacing w:after="0"/>
              <w:rPr>
                <w:sz w:val="20"/>
                <w:szCs w:val="20"/>
                <w:color w:val="auto"/>
              </w:rPr>
            </w:pPr>
            <w:r>
              <w:rPr>
                <w:rFonts w:ascii="Arial" w:cs="Arial" w:eastAsia="Arial" w:hAnsi="Arial"/>
                <w:sz w:val="20"/>
                <w:szCs w:val="20"/>
                <w:color w:val="auto"/>
              </w:rPr>
              <w:t>16.8%</w:t>
            </w: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4"/>
            <w:shd w:val="clear" w:color="auto" w:fill="E0E0E0"/>
          </w:tcPr>
          <w:p>
            <w:pPr>
              <w:jc w:val="right"/>
              <w:ind w:right="4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16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10800"/>
          </w:cols>
          <w:pgMar w:left="720" w:top="1164" w:right="720" w:bottom="175"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rPr>
              <w:t>Platform and</w:t>
            </w:r>
          </w:p>
        </w:tc>
        <w:tc>
          <w:tcPr>
            <w:tcW w:w="180" w:type="dxa"/>
            <w:vAlign w:val="bottom"/>
          </w:tcPr>
          <w:p>
            <w:pPr>
              <w:spacing w:after="0"/>
              <w:rPr>
                <w:sz w:val="16"/>
                <w:szCs w:val="16"/>
                <w:color w:val="auto"/>
              </w:rPr>
            </w:pPr>
          </w:p>
        </w:tc>
        <w:tc>
          <w:tcPr>
            <w:tcW w:w="1380" w:type="dxa"/>
            <w:vAlign w:val="bottom"/>
            <w:gridSpan w:val="7"/>
          </w:tcPr>
          <w:p>
            <w:pPr>
              <w:jc w:val="center"/>
              <w:ind w:right="42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6"/>
            <w:vMerge w:val="restart"/>
          </w:tcPr>
          <w:p>
            <w:pPr>
              <w:jc w:val="right"/>
              <w:ind w:right="360"/>
              <w:spacing w:after="0"/>
              <w:rPr>
                <w:sz w:val="20"/>
                <w:szCs w:val="20"/>
                <w:color w:val="auto"/>
              </w:rPr>
            </w:pPr>
            <w:r>
              <w:rPr>
                <w:rFonts w:ascii="Arial" w:cs="Arial" w:eastAsia="Arial" w:hAnsi="Arial"/>
                <w:sz w:val="16"/>
                <w:szCs w:val="16"/>
                <w:b w:val="1"/>
                <w:bCs w:val="1"/>
                <w:color w:val="auto"/>
              </w:rPr>
              <w:t>Transaction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rPr>
              <w:t>Usage-Based</w:t>
            </w:r>
          </w:p>
        </w:tc>
        <w:tc>
          <w:tcPr>
            <w:tcW w:w="156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367"/>
              <w:spacing w:after="0"/>
              <w:rPr>
                <w:sz w:val="20"/>
                <w:szCs w:val="20"/>
                <w:color w:val="auto"/>
              </w:rPr>
            </w:pPr>
            <w:r>
              <w:rPr>
                <w:rFonts w:ascii="Arial" w:cs="Arial" w:eastAsia="Arial" w:hAnsi="Arial"/>
                <w:sz w:val="16"/>
                <w:szCs w:val="16"/>
                <w:b w:val="1"/>
                <w:bCs w:val="1"/>
                <w:color w:val="auto"/>
                <w:w w:val="95"/>
              </w:rPr>
              <w:t>2021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tcBorders>
              <w:top w:val="single" w:sz="8" w:color="auto"/>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12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auto"/>
              <w:right w:val="single" w:sz="8" w:color="E0E0E0"/>
            </w:tcBorders>
            <w:gridSpan w:val="2"/>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180" w:type="dxa"/>
            <w:vAlign w:val="bottom"/>
            <w:tcBorders>
              <w:top w:val="single" w:sz="8" w:color="auto"/>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54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148.0</w:t>
            </w:r>
          </w:p>
        </w:tc>
        <w:tc>
          <w:tcPr>
            <w:tcW w:w="30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220" w:type="dxa"/>
            <w:vAlign w:val="bottom"/>
            <w:tcBorders>
              <w:top w:val="single" w:sz="8" w:color="auto"/>
            </w:tcBorders>
            <w:gridSpan w:val="2"/>
            <w:shd w:val="clear" w:color="auto" w:fill="E0E0E0"/>
          </w:tcPr>
          <w:p>
            <w:pPr>
              <w:jc w:val="right"/>
              <w:ind w:right="15"/>
              <w:spacing w:after="0" w:line="220" w:lineRule="exact"/>
              <w:rPr>
                <w:sz w:val="20"/>
                <w:szCs w:val="20"/>
                <w:color w:val="auto"/>
              </w:rPr>
            </w:pPr>
            <w:r>
              <w:rPr>
                <w:rFonts w:ascii="Arial" w:cs="Arial" w:eastAsia="Arial" w:hAnsi="Arial"/>
                <w:sz w:val="20"/>
                <w:szCs w:val="20"/>
                <w:color w:val="auto"/>
                <w:w w:val="89"/>
              </w:rPr>
              <w:t>$</w:t>
            </w:r>
          </w:p>
        </w:tc>
        <w:tc>
          <w:tcPr>
            <w:tcW w:w="16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4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53.1</w:t>
            </w:r>
          </w:p>
        </w:tc>
        <w:tc>
          <w:tcPr>
            <w:tcW w:w="2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gridSpan w:val="2"/>
            <w:shd w:val="clear" w:color="auto" w:fill="E0E0E0"/>
          </w:tcPr>
          <w:p>
            <w:pPr>
              <w:ind w:left="340"/>
              <w:spacing w:after="0" w:line="220" w:lineRule="exact"/>
              <w:rPr>
                <w:sz w:val="20"/>
                <w:szCs w:val="20"/>
                <w:color w:val="auto"/>
              </w:rPr>
            </w:pPr>
            <w:r>
              <w:rPr>
                <w:rFonts w:ascii="Arial" w:cs="Arial" w:eastAsia="Arial" w:hAnsi="Arial"/>
                <w:sz w:val="20"/>
                <w:szCs w:val="20"/>
                <w:color w:val="auto"/>
                <w:w w:val="95"/>
              </w:rPr>
              <w:t>201.1</w:t>
            </w:r>
          </w:p>
        </w:tc>
        <w:tc>
          <w:tcPr>
            <w:tcW w:w="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Adjusted to exclude gross up for: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ind w:left="280"/>
              <w:spacing w:after="0"/>
              <w:rPr>
                <w:sz w:val="20"/>
                <w:szCs w:val="20"/>
                <w:color w:val="auto"/>
              </w:rPr>
            </w:pPr>
            <w:r>
              <w:rPr>
                <w:rFonts w:ascii="Arial" w:cs="Arial" w:eastAsia="Arial" w:hAnsi="Arial"/>
                <w:sz w:val="20"/>
                <w:szCs w:val="20"/>
                <w:color w:val="auto"/>
              </w:rPr>
              <w:t>Pass-through cost for printing and mailing</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2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w w:val="99"/>
              </w:rPr>
              <w:t>(18.2)</w:t>
            </w:r>
          </w:p>
        </w:tc>
        <w:tc>
          <w:tcPr>
            <w:tcW w:w="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80" w:type="dxa"/>
            <w:vAlign w:val="bottom"/>
            <w:gridSpan w:val="4"/>
            <w:shd w:val="clear" w:color="auto" w:fill="E0E0E0"/>
          </w:tcPr>
          <w:p>
            <w:pPr>
              <w:jc w:val="right"/>
              <w:ind w:right="60"/>
              <w:spacing w:after="0"/>
              <w:rPr>
                <w:sz w:val="20"/>
                <w:szCs w:val="20"/>
                <w:color w:val="auto"/>
              </w:rPr>
            </w:pPr>
            <w:r>
              <w:rPr>
                <w:rFonts w:ascii="Arial" w:cs="Arial" w:eastAsia="Arial" w:hAnsi="Arial"/>
                <w:sz w:val="20"/>
                <w:szCs w:val="20"/>
                <w:color w:val="auto"/>
              </w:rPr>
              <w:t>(18.2)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ind w:left="280"/>
              <w:spacing w:after="0"/>
              <w:rPr>
                <w:sz w:val="20"/>
                <w:szCs w:val="20"/>
                <w:color w:val="auto"/>
              </w:rPr>
            </w:pPr>
            <w:r>
              <w:rPr>
                <w:rFonts w:ascii="Arial" w:cs="Arial" w:eastAsia="Arial" w:hAnsi="Arial"/>
                <w:sz w:val="20"/>
                <w:szCs w:val="20"/>
                <w:color w:val="auto"/>
              </w:rPr>
              <w:t>Marketing fees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tcBorders>
              <w:top w:val="single" w:sz="8" w:color="E0E0E0"/>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Revenue Less Ancillary Services</w:t>
            </w:r>
          </w:p>
        </w:tc>
        <w:tc>
          <w:tcPr>
            <w:tcW w:w="12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auto"/>
              <w:bottom w:val="single" w:sz="8" w:color="auto"/>
              <w:right w:val="single" w:sz="8" w:color="E0E0E0"/>
            </w:tcBorders>
            <w:gridSpan w:val="2"/>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180" w:type="dxa"/>
            <w:vAlign w:val="bottom"/>
            <w:tcBorders>
              <w:top w:val="single" w:sz="8" w:color="auto"/>
              <w:bottom w:val="single" w:sz="8" w:color="auto"/>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rPr>
                <w:sz w:val="19"/>
                <w:szCs w:val="19"/>
                <w:color w:val="auto"/>
              </w:rPr>
            </w:pPr>
          </w:p>
        </w:tc>
        <w:tc>
          <w:tcPr>
            <w:tcW w:w="5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146.2</w:t>
            </w:r>
          </w:p>
        </w:tc>
        <w:tc>
          <w:tcPr>
            <w:tcW w:w="300" w:type="dxa"/>
            <w:vAlign w:val="bottom"/>
            <w:tcBorders>
              <w:top w:val="single" w:sz="8" w:color="E0E0E0"/>
            </w:tcBorders>
            <w:shd w:val="clear" w:color="auto" w:fill="E0E0E0"/>
          </w:tcPr>
          <w:p>
            <w:pPr>
              <w:spacing w:after="0"/>
              <w:rPr>
                <w:sz w:val="19"/>
                <w:szCs w:val="19"/>
                <w:color w:val="auto"/>
              </w:rPr>
            </w:pPr>
          </w:p>
        </w:tc>
        <w:tc>
          <w:tcPr>
            <w:tcW w:w="40" w:type="dxa"/>
            <w:vAlign w:val="bottom"/>
            <w:tcBorders>
              <w:top w:val="single" w:sz="8" w:color="E0E0E0"/>
            </w:tcBorders>
            <w:shd w:val="clear" w:color="auto" w:fill="E0E0E0"/>
          </w:tcPr>
          <w:p>
            <w:pPr>
              <w:spacing w:after="0"/>
              <w:rPr>
                <w:sz w:val="19"/>
                <w:szCs w:val="19"/>
                <w:color w:val="auto"/>
              </w:rPr>
            </w:pPr>
          </w:p>
        </w:tc>
        <w:tc>
          <w:tcPr>
            <w:tcW w:w="220" w:type="dxa"/>
            <w:vAlign w:val="bottom"/>
            <w:tcBorders>
              <w:top w:val="single" w:sz="8" w:color="auto"/>
              <w:bottom w:val="single" w:sz="8" w:color="auto"/>
            </w:tcBorders>
            <w:gridSpan w:val="2"/>
            <w:shd w:val="clear" w:color="auto" w:fill="E0E0E0"/>
          </w:tcPr>
          <w:p>
            <w:pPr>
              <w:jc w:val="right"/>
              <w:ind w:right="15"/>
              <w:spacing w:after="0" w:line="220" w:lineRule="exact"/>
              <w:rPr>
                <w:sz w:val="20"/>
                <w:szCs w:val="20"/>
                <w:color w:val="auto"/>
              </w:rPr>
            </w:pPr>
            <w:r>
              <w:rPr>
                <w:rFonts w:ascii="Arial" w:cs="Arial" w:eastAsia="Arial" w:hAnsi="Arial"/>
                <w:sz w:val="20"/>
                <w:szCs w:val="20"/>
                <w:color w:val="auto"/>
                <w:w w:val="89"/>
              </w:rPr>
              <w:t>$</w:t>
            </w: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80" w:type="dxa"/>
            <w:vAlign w:val="bottom"/>
            <w:tcBorders>
              <w:top w:val="single" w:sz="8" w:color="auto"/>
              <w:bottom w:val="single" w:sz="8" w:color="auto"/>
            </w:tcBorders>
            <w:shd w:val="clear" w:color="auto" w:fill="E0E0E0"/>
          </w:tcPr>
          <w:p>
            <w:pPr>
              <w:spacing w:after="0"/>
              <w:rPr>
                <w:sz w:val="19"/>
                <w:szCs w:val="19"/>
                <w:color w:val="auto"/>
              </w:rPr>
            </w:pPr>
          </w:p>
        </w:tc>
        <w:tc>
          <w:tcPr>
            <w:tcW w:w="14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4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34.9</w:t>
            </w:r>
          </w:p>
        </w:tc>
        <w:tc>
          <w:tcPr>
            <w:tcW w:w="2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auto"/>
              <w:bottom w:val="single" w:sz="8" w:color="auto"/>
            </w:tcBorders>
            <w:shd w:val="clear" w:color="auto" w:fill="E0E0E0"/>
          </w:tcPr>
          <w:p>
            <w:pPr>
              <w:spacing w:after="0"/>
              <w:rPr>
                <w:sz w:val="19"/>
                <w:szCs w:val="19"/>
                <w:color w:val="auto"/>
              </w:rPr>
            </w:pPr>
          </w:p>
        </w:tc>
        <w:tc>
          <w:tcPr>
            <w:tcW w:w="8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gridSpan w:val="2"/>
            <w:shd w:val="clear" w:color="auto" w:fill="E0E0E0"/>
          </w:tcPr>
          <w:p>
            <w:pPr>
              <w:ind w:left="340"/>
              <w:spacing w:after="0" w:line="220" w:lineRule="exact"/>
              <w:rPr>
                <w:sz w:val="20"/>
                <w:szCs w:val="20"/>
                <w:color w:val="auto"/>
              </w:rPr>
            </w:pPr>
            <w:r>
              <w:rPr>
                <w:rFonts w:ascii="Arial" w:cs="Arial" w:eastAsia="Arial" w:hAnsi="Arial"/>
                <w:sz w:val="20"/>
                <w:szCs w:val="20"/>
                <w:color w:val="auto"/>
                <w:w w:val="95"/>
              </w:rPr>
              <w:t>181.1</w:t>
            </w:r>
          </w:p>
        </w:tc>
        <w:tc>
          <w:tcPr>
            <w:tcW w:w="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spacing w:after="0"/>
              <w:rPr>
                <w:sz w:val="20"/>
                <w:szCs w:val="20"/>
                <w:color w:val="auto"/>
              </w:rPr>
            </w:pPr>
            <w:r>
              <w:rPr>
                <w:rFonts w:ascii="Arial" w:cs="Arial" w:eastAsia="Arial" w:hAnsi="Arial"/>
                <w:sz w:val="20"/>
                <w:szCs w:val="20"/>
                <w:color w:val="auto"/>
              </w:rPr>
              <w:t>Percentage of Revenue</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line="215" w:lineRule="exact"/>
              <w:rPr>
                <w:sz w:val="20"/>
                <w:szCs w:val="20"/>
                <w:color w:val="auto"/>
              </w:rPr>
            </w:pPr>
            <w:r>
              <w:rPr>
                <w:rFonts w:ascii="Arial" w:cs="Arial" w:eastAsia="Arial" w:hAnsi="Arial"/>
                <w:sz w:val="20"/>
                <w:szCs w:val="20"/>
                <w:color w:val="auto"/>
              </w:rPr>
              <w:t>73.6%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26.4%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tcPr>
          <w:p>
            <w:pPr>
              <w:jc w:val="right"/>
              <w:ind w:right="60"/>
              <w:spacing w:after="0" w:line="215" w:lineRule="exact"/>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Percentage of Revenue Less Ancillary Services</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80.7%</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19.3%</w:t>
            </w:r>
          </w:p>
        </w:tc>
        <w:tc>
          <w:tcPr>
            <w:tcW w:w="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80" w:type="dxa"/>
            <w:vAlign w:val="bottom"/>
            <w:gridSpan w:val="5"/>
            <w:shd w:val="clear" w:color="auto" w:fill="E0E0E0"/>
          </w:tcPr>
          <w:p>
            <w:pPr>
              <w:jc w:val="right"/>
              <w:ind w:right="6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Arial" w:cs="Arial" w:eastAsia="Arial" w:hAnsi="Arial"/>
                <w:sz w:val="20"/>
                <w:szCs w:val="20"/>
                <w:i w:val="1"/>
                <w:iCs w:val="1"/>
                <w:color w:val="auto"/>
              </w:rPr>
              <w:t>Revenue Less Ancillary Services at Constant Currency: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8"/>
          </w:tcPr>
          <w:p>
            <w:pPr>
              <w:jc w:val="right"/>
              <w:ind w:right="64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Growth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6"/>
                <w:szCs w:val="16"/>
                <w:b w:val="1"/>
                <w:bCs w:val="1"/>
                <w:color w:val="auto"/>
                <w:w w:val="97"/>
              </w:rPr>
              <w:t>December 31,</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ind w:left="2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line="174" w:lineRule="exact"/>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line="174" w:lineRule="exact"/>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220" w:type="dxa"/>
            <w:vAlign w:val="bottom"/>
            <w:gridSpan w:val="2"/>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260" w:type="dxa"/>
            <w:vAlign w:val="bottom"/>
            <w:gridSpan w:val="6"/>
            <w:shd w:val="clear" w:color="auto" w:fill="E0E0E0"/>
          </w:tcPr>
          <w:p>
            <w:pPr>
              <w:jc w:val="right"/>
              <w:spacing w:after="0" w:line="220" w:lineRule="exact"/>
              <w:rPr>
                <w:sz w:val="20"/>
                <w:szCs w:val="20"/>
                <w:color w:val="auto"/>
              </w:rPr>
            </w:pPr>
            <w:r>
              <w:rPr>
                <w:rFonts w:ascii="Arial" w:cs="Arial" w:eastAsia="Arial" w:hAnsi="Arial"/>
                <w:sz w:val="20"/>
                <w:szCs w:val="20"/>
                <w:color w:val="auto"/>
              </w:rPr>
              <w:t>403.1</w:t>
            </w: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200" w:type="dxa"/>
            <w:vAlign w:val="bottom"/>
            <w:gridSpan w:val="5"/>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gridSpan w:val="4"/>
          </w:tcPr>
          <w:p>
            <w:pPr>
              <w:jc w:val="right"/>
              <w:spacing w:after="0" w:line="220" w:lineRule="exact"/>
              <w:rPr>
                <w:sz w:val="20"/>
                <w:szCs w:val="20"/>
                <w:color w:val="auto"/>
              </w:rPr>
            </w:pPr>
            <w:r>
              <w:rPr>
                <w:rFonts w:ascii="Arial" w:cs="Arial" w:eastAsia="Arial" w:hAnsi="Arial"/>
                <w:sz w:val="20"/>
                <w:szCs w:val="20"/>
                <w:color w:val="auto"/>
              </w:rPr>
              <w:t>39.3%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Ancillary services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7"/>
          </w:tcPr>
          <w:p>
            <w:pPr>
              <w:jc w:val="right"/>
              <w:spacing w:after="0"/>
              <w:rPr>
                <w:sz w:val="20"/>
                <w:szCs w:val="20"/>
                <w:color w:val="auto"/>
              </w:rPr>
            </w:pPr>
            <w:r>
              <w:rPr>
                <w:rFonts w:ascii="Arial" w:cs="Arial" w:eastAsia="Arial" w:hAnsi="Arial"/>
                <w:sz w:val="20"/>
                <w:szCs w:val="20"/>
                <w:color w:val="auto"/>
              </w:rPr>
              <w:t>(21.6)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6"/>
          </w:tcPr>
          <w:p>
            <w:pPr>
              <w:jc w:val="right"/>
              <w:ind w:right="20"/>
              <w:spacing w:after="0"/>
              <w:rPr>
                <w:sz w:val="20"/>
                <w:szCs w:val="20"/>
                <w:color w:val="auto"/>
              </w:rPr>
            </w:pPr>
            <w:r>
              <w:rPr>
                <w:rFonts w:ascii="Arial" w:cs="Arial" w:eastAsia="Arial" w:hAnsi="Arial"/>
                <w:sz w:val="20"/>
                <w:szCs w:val="20"/>
                <w:color w:val="auto"/>
              </w:rPr>
              <w:t>(22.3)</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shd w:val="clear" w:color="auto" w:fill="E0E0E0"/>
          </w:tcPr>
          <w:p>
            <w:pPr>
              <w:spacing w:after="0"/>
              <w:rPr>
                <w:sz w:val="20"/>
                <w:szCs w:val="20"/>
                <w:color w:val="auto"/>
              </w:rPr>
            </w:pPr>
            <w:r>
              <w:rPr>
                <w:rFonts w:ascii="Arial" w:cs="Arial" w:eastAsia="Arial" w:hAnsi="Arial"/>
                <w:sz w:val="20"/>
                <w:szCs w:val="20"/>
                <w:color w:val="auto"/>
              </w:rPr>
              <w:t>Revenue Less Ancillary Services</w:t>
            </w:r>
          </w:p>
        </w:tc>
        <w:tc>
          <w:tcPr>
            <w:tcW w:w="120" w:type="dxa"/>
            <w:vAlign w:val="bottom"/>
            <w:shd w:val="clear" w:color="auto" w:fill="E0E0E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40" w:type="dxa"/>
            <w:vAlign w:val="bottom"/>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vMerge w:val="continue"/>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60" w:type="dxa"/>
            <w:vAlign w:val="bottom"/>
            <w:gridSpan w:val="6"/>
            <w:shd w:val="clear" w:color="auto" w:fill="E0E0E0"/>
          </w:tcPr>
          <w:p>
            <w:pPr>
              <w:jc w:val="right"/>
              <w:spacing w:after="0" w:line="220" w:lineRule="exact"/>
              <w:rPr>
                <w:sz w:val="20"/>
                <w:szCs w:val="20"/>
                <w:color w:val="auto"/>
              </w:rPr>
            </w:pPr>
            <w:r>
              <w:rPr>
                <w:rFonts w:ascii="Arial" w:cs="Arial" w:eastAsia="Arial" w:hAnsi="Arial"/>
                <w:sz w:val="20"/>
                <w:szCs w:val="20"/>
                <w:color w:val="auto"/>
              </w:rPr>
              <w:t>381.5</w:t>
            </w: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0" w:type="dxa"/>
            <w:vAlign w:val="bottom"/>
            <w:gridSpan w:val="5"/>
            <w:shd w:val="clear" w:color="auto" w:fill="E0E0E0"/>
          </w:tcPr>
          <w:p>
            <w:pPr>
              <w:jc w:val="right"/>
              <w:spacing w:after="0" w:line="220" w:lineRule="exact"/>
              <w:rPr>
                <w:sz w:val="20"/>
                <w:szCs w:val="20"/>
                <w:color w:val="auto"/>
              </w:rPr>
            </w:pPr>
            <w:r>
              <w:rPr>
                <w:rFonts w:ascii="Arial" w:cs="Arial" w:eastAsia="Arial" w:hAnsi="Arial"/>
                <w:sz w:val="20"/>
                <w:szCs w:val="20"/>
                <w:color w:val="auto"/>
              </w:rPr>
              <w:t>267.1</w:t>
            </w:r>
          </w:p>
        </w:tc>
        <w:tc>
          <w:tcPr>
            <w:tcW w:w="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gridSpan w:val="4"/>
          </w:tcPr>
          <w:p>
            <w:pPr>
              <w:jc w:val="right"/>
              <w:spacing w:after="0" w:line="220" w:lineRule="exact"/>
              <w:rPr>
                <w:sz w:val="20"/>
                <w:szCs w:val="20"/>
                <w:color w:val="auto"/>
              </w:rPr>
            </w:pPr>
            <w:r>
              <w:rPr>
                <w:rFonts w:ascii="Arial" w:cs="Arial" w:eastAsia="Arial" w:hAnsi="Arial"/>
                <w:sz w:val="20"/>
                <w:szCs w:val="20"/>
                <w:color w:val="auto"/>
              </w:rPr>
              <w:t>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spacing w:after="0"/>
              <w:rPr>
                <w:sz w:val="20"/>
                <w:szCs w:val="20"/>
                <w:color w:val="auto"/>
              </w:rPr>
            </w:pPr>
            <w:r>
              <w:rPr>
                <w:rFonts w:ascii="Arial" w:cs="Arial" w:eastAsia="Arial" w:hAnsi="Arial"/>
                <w:sz w:val="20"/>
                <w:szCs w:val="20"/>
                <w:color w:val="auto"/>
              </w:rPr>
              <w:t>Effects of foreign currency rate fluctuations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000" w:type="dxa"/>
            <w:vAlign w:val="bottom"/>
            <w:gridSpan w:val="2"/>
            <w:vMerge w:val="continue"/>
          </w:tcPr>
          <w:p>
            <w:pPr>
              <w:spacing w:after="0"/>
              <w:rPr>
                <w:sz w:val="22"/>
                <w:szCs w:val="22"/>
                <w:color w:val="auto"/>
              </w:rPr>
            </w:pPr>
          </w:p>
        </w:tc>
        <w:tc>
          <w:tcPr>
            <w:tcW w:w="800" w:type="dxa"/>
            <w:vAlign w:val="bottom"/>
            <w:gridSpan w:val="6"/>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w w:val="99"/>
              </w:rPr>
              <w:t>—</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shd w:val="clear" w:color="auto" w:fill="E0E0E0"/>
          </w:tcPr>
          <w:p>
            <w:pPr>
              <w:spacing w:after="0"/>
              <w:rPr>
                <w:sz w:val="20"/>
                <w:szCs w:val="20"/>
                <w:color w:val="auto"/>
              </w:rPr>
            </w:pPr>
            <w:r>
              <w:rPr>
                <w:rFonts w:ascii="Arial" w:cs="Arial" w:eastAsia="Arial" w:hAnsi="Arial"/>
                <w:sz w:val="20"/>
                <w:szCs w:val="20"/>
                <w:color w:val="auto"/>
              </w:rPr>
              <w:t>Revenue Less Ancillary Services at constant currency</w:t>
            </w:r>
          </w:p>
        </w:tc>
        <w:tc>
          <w:tcPr>
            <w:tcW w:w="220" w:type="dxa"/>
            <w:vAlign w:val="bottom"/>
            <w:gridSpan w:val="2"/>
            <w:shd w:val="clear" w:color="auto" w:fill="E0E0E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300" w:type="dxa"/>
            <w:vAlign w:val="bottom"/>
            <w:gridSpan w:val="2"/>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40" w:type="dxa"/>
            <w:vAlign w:val="bottom"/>
            <w:vMerge w:val="restart"/>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20" w:type="dxa"/>
            <w:vAlign w:val="bottom"/>
            <w:vMerge w:val="restart"/>
            <w:shd w:val="clear" w:color="auto" w:fill="E0E0E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vMerge w:val="continue"/>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260" w:type="dxa"/>
            <w:vAlign w:val="bottom"/>
            <w:gridSpan w:val="6"/>
            <w:shd w:val="clear" w:color="auto" w:fill="E0E0E0"/>
          </w:tcPr>
          <w:p>
            <w:pPr>
              <w:jc w:val="right"/>
              <w:spacing w:after="0" w:line="220" w:lineRule="exact"/>
              <w:rPr>
                <w:sz w:val="20"/>
                <w:szCs w:val="20"/>
                <w:color w:val="auto"/>
              </w:rPr>
            </w:pPr>
            <w:r>
              <w:rPr>
                <w:rFonts w:ascii="Arial" w:cs="Arial" w:eastAsia="Arial" w:hAnsi="Arial"/>
                <w:sz w:val="20"/>
                <w:szCs w:val="20"/>
                <w:color w:val="auto"/>
              </w:rPr>
              <w:t>382.9</w:t>
            </w:r>
          </w:p>
        </w:tc>
        <w:tc>
          <w:tcPr>
            <w:tcW w:w="80" w:type="dxa"/>
            <w:vAlign w:val="bottom"/>
            <w:shd w:val="clear" w:color="auto" w:fill="E0E0E0"/>
          </w:tcPr>
          <w:p>
            <w:pPr>
              <w:spacing w:after="0"/>
              <w:rPr>
                <w:sz w:val="19"/>
                <w:szCs w:val="19"/>
                <w:color w:val="auto"/>
              </w:rPr>
            </w:pPr>
          </w:p>
        </w:tc>
        <w:tc>
          <w:tcPr>
            <w:tcW w:w="140" w:type="dxa"/>
            <w:vAlign w:val="bottom"/>
            <w:vMerge w:val="continue"/>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200" w:type="dxa"/>
            <w:vAlign w:val="bottom"/>
            <w:gridSpan w:val="5"/>
            <w:shd w:val="clear" w:color="auto" w:fill="E0E0E0"/>
          </w:tcPr>
          <w:p>
            <w:pPr>
              <w:jc w:val="right"/>
              <w:spacing w:after="0" w:line="220" w:lineRule="exact"/>
              <w:rPr>
                <w:sz w:val="20"/>
                <w:szCs w:val="20"/>
                <w:color w:val="auto"/>
              </w:rPr>
            </w:pPr>
            <w:r>
              <w:rPr>
                <w:rFonts w:ascii="Arial" w:cs="Arial" w:eastAsia="Arial" w:hAnsi="Arial"/>
                <w:sz w:val="20"/>
                <w:szCs w:val="20"/>
                <w:color w:val="auto"/>
              </w:rPr>
              <w:t>267.1</w:t>
            </w:r>
          </w:p>
        </w:tc>
        <w:tc>
          <w:tcPr>
            <w:tcW w:w="80" w:type="dxa"/>
            <w:vAlign w:val="bottom"/>
            <w:shd w:val="clear" w:color="auto" w:fill="E0E0E0"/>
          </w:tcPr>
          <w:p>
            <w:pPr>
              <w:spacing w:after="0"/>
              <w:rPr>
                <w:sz w:val="19"/>
                <w:szCs w:val="19"/>
                <w:color w:val="auto"/>
              </w:rPr>
            </w:pPr>
          </w:p>
        </w:tc>
        <w:tc>
          <w:tcPr>
            <w:tcW w:w="120" w:type="dxa"/>
            <w:vAlign w:val="bottom"/>
            <w:vMerge w:val="continue"/>
            <w:shd w:val="clear" w:color="auto" w:fill="E0E0E0"/>
          </w:tcPr>
          <w:p>
            <w:pPr>
              <w:spacing w:after="0"/>
              <w:rPr>
                <w:sz w:val="19"/>
                <w:szCs w:val="19"/>
                <w:color w:val="auto"/>
              </w:rPr>
            </w:pPr>
          </w:p>
        </w:tc>
        <w:tc>
          <w:tcPr>
            <w:tcW w:w="960" w:type="dxa"/>
            <w:vAlign w:val="bottom"/>
            <w:gridSpan w:val="4"/>
          </w:tcPr>
          <w:p>
            <w:pPr>
              <w:jc w:val="right"/>
              <w:spacing w:after="0" w:line="220" w:lineRule="exact"/>
              <w:rPr>
                <w:sz w:val="20"/>
                <w:szCs w:val="20"/>
                <w:color w:val="auto"/>
              </w:rPr>
            </w:pPr>
            <w:r>
              <w:rPr>
                <w:rFonts w:ascii="Arial" w:cs="Arial" w:eastAsia="Arial" w:hAnsi="Arial"/>
                <w:sz w:val="20"/>
                <w:szCs w:val="20"/>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spacing w:after="0"/>
              <w:rPr>
                <w:sz w:val="20"/>
                <w:szCs w:val="20"/>
                <w:color w:val="auto"/>
              </w:rPr>
            </w:pPr>
            <w:r>
              <w:rPr>
                <w:rFonts w:ascii="Arial" w:cs="Arial" w:eastAsia="Arial" w:hAnsi="Arial"/>
                <w:sz w:val="20"/>
                <w:szCs w:val="20"/>
                <w:i w:val="1"/>
                <w:iCs w:val="1"/>
                <w:color w:val="auto"/>
              </w:rPr>
              <w:t>EBITDA and Adjusted EBITDA:</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E0E0E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2"/>
              <w:spacing w:after="0" w:line="174" w:lineRule="exact"/>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6"/>
                <w:szCs w:val="16"/>
                <w:b w:val="1"/>
                <w:bCs w:val="1"/>
                <w:color w:val="auto"/>
                <w:w w:val="95"/>
              </w:rPr>
              <w:t>2022</w:t>
            </w: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27"/>
              <w:spacing w:after="0" w:line="174" w:lineRule="exact"/>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line="220" w:lineRule="exact"/>
              <w:rPr>
                <w:sz w:val="20"/>
                <w:szCs w:val="20"/>
                <w:color w:val="auto"/>
              </w:rPr>
            </w:pPr>
            <w:r>
              <w:rPr>
                <w:rFonts w:ascii="Arial" w:cs="Arial" w:eastAsia="Arial" w:hAnsi="Arial"/>
                <w:sz w:val="20"/>
                <w:szCs w:val="20"/>
                <w:color w:val="auto"/>
              </w:rPr>
              <w:t>Net loss</w:t>
            </w:r>
          </w:p>
        </w:tc>
        <w:tc>
          <w:tcPr>
            <w:tcW w:w="220" w:type="dxa"/>
            <w:vAlign w:val="bottom"/>
            <w:gridSpan w:val="2"/>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Arial" w:cs="Arial" w:eastAsia="Arial" w:hAnsi="Arial"/>
                <w:sz w:val="20"/>
                <w:szCs w:val="20"/>
                <w:color w:val="auto"/>
                <w:w w:val="71"/>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spacing w:after="0" w:line="220" w:lineRule="exact"/>
              <w:rPr>
                <w:sz w:val="20"/>
                <w:szCs w:val="20"/>
                <w:color w:val="auto"/>
              </w:rPr>
            </w:pPr>
            <w:r>
              <w:rPr>
                <w:rFonts w:ascii="Arial" w:cs="Arial" w:eastAsia="Arial" w:hAnsi="Arial"/>
                <w:sz w:val="20"/>
                <w:szCs w:val="20"/>
                <w:color w:val="auto"/>
              </w:rPr>
              <w:t>(8.6)</w:t>
            </w:r>
          </w:p>
        </w:tc>
        <w:tc>
          <w:tcPr>
            <w:tcW w:w="200" w:type="dxa"/>
            <w:vAlign w:val="bottom"/>
          </w:tcPr>
          <w:p>
            <w:pPr>
              <w:spacing w:after="0"/>
              <w:rPr>
                <w:sz w:val="19"/>
                <w:szCs w:val="19"/>
                <w:color w:val="auto"/>
              </w:rPr>
            </w:pPr>
          </w:p>
        </w:tc>
        <w:tc>
          <w:tcPr>
            <w:tcW w:w="160" w:type="dxa"/>
            <w:vAlign w:val="bottom"/>
          </w:tcPr>
          <w:p>
            <w:pPr>
              <w:jc w:val="right"/>
              <w:spacing w:after="0" w:line="220" w:lineRule="exact"/>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(39.3)</w:t>
            </w:r>
          </w:p>
        </w:tc>
        <w:tc>
          <w:tcPr>
            <w:tcW w:w="180" w:type="dxa"/>
            <w:vAlign w:val="bottom"/>
          </w:tcPr>
          <w:p>
            <w:pPr>
              <w:spacing w:after="0"/>
              <w:rPr>
                <w:sz w:val="19"/>
                <w:szCs w:val="19"/>
                <w:color w:val="auto"/>
              </w:rPr>
            </w:pPr>
          </w:p>
        </w:tc>
        <w:tc>
          <w:tcPr>
            <w:tcW w:w="220" w:type="dxa"/>
            <w:vAlign w:val="bottom"/>
          </w:tcPr>
          <w:p>
            <w:pPr>
              <w:jc w:val="right"/>
              <w:ind w:right="5"/>
              <w:spacing w:after="0" w:line="220" w:lineRule="exact"/>
              <w:rPr>
                <w:sz w:val="20"/>
                <w:szCs w:val="20"/>
                <w:color w:val="auto"/>
              </w:rPr>
            </w:pPr>
            <w:r>
              <w:rPr>
                <w:rFonts w:ascii="Arial" w:cs="Arial" w:eastAsia="Arial" w:hAnsi="Arial"/>
                <w:sz w:val="20"/>
                <w:szCs w:val="20"/>
                <w:color w:val="auto"/>
                <w:w w:val="89"/>
              </w:rPr>
              <w:t>$</w:t>
            </w:r>
          </w:p>
        </w:tc>
        <w:tc>
          <w:tcPr>
            <w:tcW w:w="80" w:type="dxa"/>
            <w:vAlign w:val="bottom"/>
          </w:tcPr>
          <w:p>
            <w:pPr>
              <w:spacing w:after="0"/>
              <w:rPr>
                <w:sz w:val="19"/>
                <w:szCs w:val="19"/>
                <w:color w:val="auto"/>
              </w:rPr>
            </w:pPr>
          </w:p>
        </w:tc>
        <w:tc>
          <w:tcPr>
            <w:tcW w:w="1080" w:type="dxa"/>
            <w:vAlign w:val="bottom"/>
            <w:gridSpan w:val="5"/>
          </w:tcPr>
          <w:p>
            <w:pPr>
              <w:jc w:val="right"/>
              <w:ind w:right="40"/>
              <w:spacing w:after="0" w:line="220" w:lineRule="exact"/>
              <w:rPr>
                <w:sz w:val="20"/>
                <w:szCs w:val="20"/>
                <w:color w:val="auto"/>
              </w:rPr>
            </w:pPr>
            <w:r>
              <w:rPr>
                <w:rFonts w:ascii="Arial" w:cs="Arial" w:eastAsia="Arial" w:hAnsi="Arial"/>
                <w:sz w:val="20"/>
                <w:szCs w:val="20"/>
                <w:color w:val="auto"/>
              </w:rPr>
              <w:t>(28.1)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Interest expense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20"/>
                <w:szCs w:val="20"/>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Interest income</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00" w:type="dxa"/>
            <w:vAlign w:val="bottom"/>
            <w:gridSpan w:val="4"/>
            <w:shd w:val="clear" w:color="auto" w:fill="E0E0E0"/>
          </w:tcPr>
          <w:p>
            <w:pPr>
              <w:jc w:val="right"/>
              <w:spacing w:after="0"/>
              <w:rPr>
                <w:sz w:val="20"/>
                <w:szCs w:val="20"/>
                <w:color w:val="auto"/>
              </w:rPr>
            </w:pPr>
            <w:r>
              <w:rPr>
                <w:rFonts w:ascii="Arial" w:cs="Arial" w:eastAsia="Arial" w:hAnsi="Arial"/>
                <w:sz w:val="20"/>
                <w:szCs w:val="20"/>
                <w:color w:val="auto"/>
              </w:rPr>
              <w:t>(13.3)</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(3.2)</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gridSpan w:val="4"/>
            <w:shd w:val="clear" w:color="auto" w:fill="E0E0E0"/>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Provision for income taxes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20"/>
                <w:szCs w:val="20"/>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Depreciation and amortization</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20"/>
                <w:szCs w:val="20"/>
                <w:color w:val="auto"/>
              </w:rPr>
              <w:t>16.4</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2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20"/>
                <w:szCs w:val="20"/>
                <w:color w:val="auto"/>
              </w:rPr>
              <w:t>14.1</w:t>
            </w:r>
          </w:p>
        </w:tc>
        <w:tc>
          <w:tcPr>
            <w:tcW w:w="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gridSpan w:val="4"/>
            <w:shd w:val="clear" w:color="auto" w:fill="E0E0E0"/>
          </w:tcPr>
          <w:p>
            <w:pPr>
              <w:jc w:val="right"/>
              <w:spacing w:after="0"/>
              <w:rPr>
                <w:sz w:val="20"/>
                <w:szCs w:val="20"/>
                <w:color w:val="auto"/>
              </w:rPr>
            </w:pPr>
            <w:r>
              <w:rPr>
                <w:rFonts w:ascii="Arial" w:cs="Arial" w:eastAsia="Arial" w:hAnsi="Arial"/>
                <w:sz w:val="20"/>
                <w:szCs w:val="20"/>
                <w:color w:val="auto"/>
              </w:rPr>
              <w:t>9.0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tcPr>
          <w:p>
            <w:pPr>
              <w:spacing w:after="0" w:line="220" w:lineRule="exact"/>
              <w:rPr>
                <w:sz w:val="20"/>
                <w:szCs w:val="20"/>
                <w:color w:val="auto"/>
              </w:rPr>
            </w:pPr>
            <w:r>
              <w:rPr>
                <w:rFonts w:ascii="Arial" w:cs="Arial" w:eastAsia="Arial" w:hAnsi="Arial"/>
                <w:sz w:val="20"/>
                <w:szCs w:val="20"/>
                <w:color w:val="auto"/>
              </w:rPr>
              <w:t>EBITDA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spacing w:after="0" w:line="220" w:lineRule="exact"/>
              <w:rPr>
                <w:sz w:val="20"/>
                <w:szCs w:val="20"/>
                <w:color w:val="auto"/>
              </w:rPr>
            </w:pPr>
            <w:r>
              <w:rPr>
                <w:rFonts w:ascii="Arial" w:cs="Arial" w:eastAsia="Arial" w:hAnsi="Arial"/>
                <w:sz w:val="20"/>
                <w:szCs w:val="20"/>
                <w:color w:val="auto"/>
              </w:rPr>
              <w:t>(0.9)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(25.2)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tcPr>
          <w:p>
            <w:pPr>
              <w:jc w:val="right"/>
              <w:ind w:right="40"/>
              <w:spacing w:after="0" w:line="220" w:lineRule="exact"/>
              <w:rPr>
                <w:sz w:val="20"/>
                <w:szCs w:val="20"/>
                <w:color w:val="auto"/>
              </w:rPr>
            </w:pPr>
            <w:r>
              <w:rPr>
                <w:rFonts w:ascii="Arial" w:cs="Arial" w:eastAsia="Arial" w:hAnsi="Arial"/>
                <w:sz w:val="20"/>
                <w:szCs w:val="20"/>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Stock-based compensation expense and related taxes</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45.2</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31.2</w:t>
            </w:r>
          </w:p>
        </w:tc>
        <w:tc>
          <w:tcPr>
            <w:tcW w:w="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80" w:type="dxa"/>
            <w:vAlign w:val="bottom"/>
            <w:gridSpan w:val="4"/>
            <w:shd w:val="clear" w:color="auto" w:fill="E0E0E0"/>
          </w:tcPr>
          <w:p>
            <w:pPr>
              <w:jc w:val="right"/>
              <w:spacing w:after="0"/>
              <w:rPr>
                <w:sz w:val="20"/>
                <w:szCs w:val="20"/>
                <w:color w:val="auto"/>
              </w:rPr>
            </w:pPr>
            <w:r>
              <w:rPr>
                <w:rFonts w:ascii="Arial" w:cs="Arial" w:eastAsia="Arial" w:hAnsi="Arial"/>
                <w:sz w:val="20"/>
                <w:szCs w:val="20"/>
                <w:color w:val="auto"/>
              </w:rPr>
              <w:t>18.9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Change in fair value of contingent consideration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(2.8)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20"/>
                <w:szCs w:val="20"/>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Change in fair value of preferred stock warrant liability</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540" w:type="dxa"/>
            <w:vAlign w:val="bottom"/>
            <w:shd w:val="clear" w:color="auto" w:fill="E0E0E0"/>
          </w:tcPr>
          <w:p>
            <w:pPr>
              <w:spacing w:after="0"/>
              <w:rPr>
                <w:sz w:val="19"/>
                <w:szCs w:val="19"/>
                <w:color w:val="auto"/>
              </w:rPr>
            </w:pPr>
          </w:p>
        </w:tc>
        <w:tc>
          <w:tcPr>
            <w:tcW w:w="3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34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80" w:type="dxa"/>
            <w:vAlign w:val="bottom"/>
            <w:gridSpan w:val="4"/>
            <w:shd w:val="clear" w:color="auto" w:fill="E0E0E0"/>
          </w:tcPr>
          <w:p>
            <w:pPr>
              <w:jc w:val="right"/>
              <w:spacing w:after="0"/>
              <w:rPr>
                <w:sz w:val="20"/>
                <w:szCs w:val="20"/>
                <w:color w:val="auto"/>
              </w:rPr>
            </w:pPr>
            <w:r>
              <w:rPr>
                <w:rFonts w:ascii="Arial" w:cs="Arial" w:eastAsia="Arial" w:hAnsi="Arial"/>
                <w:sz w:val="20"/>
                <w:szCs w:val="20"/>
                <w:color w:val="auto"/>
              </w:rPr>
              <w:t>10.8</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Gain (loss) from remeasurement of foreign currency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Indirect taxes related to intercompany activity</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0.2</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0.4</w:t>
            </w:r>
          </w:p>
        </w:tc>
        <w:tc>
          <w:tcPr>
            <w:tcW w:w="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80" w:type="dxa"/>
            <w:vAlign w:val="bottom"/>
            <w:gridSpan w:val="4"/>
            <w:shd w:val="clear" w:color="auto" w:fill="E0E0E0"/>
          </w:tcPr>
          <w:p>
            <w:pPr>
              <w:jc w:val="right"/>
              <w:spacing w:after="0"/>
              <w:rPr>
                <w:sz w:val="20"/>
                <w:szCs w:val="20"/>
                <w:color w:val="auto"/>
              </w:rPr>
            </w:pPr>
            <w:r>
              <w:rPr>
                <w:rFonts w:ascii="Arial" w:cs="Arial" w:eastAsia="Arial" w:hAnsi="Arial"/>
                <w:sz w:val="20"/>
                <w:szCs w:val="20"/>
                <w:color w:val="auto"/>
              </w:rPr>
              <w:t>0.9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line="230" w:lineRule="exact"/>
              <w:rPr>
                <w:sz w:val="20"/>
                <w:szCs w:val="20"/>
                <w:color w:val="auto"/>
              </w:rPr>
            </w:pPr>
            <w:r>
              <w:rPr>
                <w:rFonts w:ascii="Arial" w:cs="Arial" w:eastAsia="Arial" w:hAnsi="Arial"/>
                <w:sz w:val="20"/>
                <w:szCs w:val="20"/>
                <w:color w:val="auto"/>
              </w:rPr>
              <w:t xml:space="preserve">Acquisition related transaction costs </w:t>
            </w:r>
            <w:r>
              <w:rPr>
                <w:rFonts w:ascii="Arial" w:cs="Arial" w:eastAsia="Arial" w:hAnsi="Arial"/>
                <w:sz w:val="26"/>
                <w:szCs w:val="26"/>
                <w:color w:val="auto"/>
                <w:vertAlign w:val="superscript"/>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20"/>
                <w:szCs w:val="20"/>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E0E0E0"/>
          </w:tcPr>
          <w:p>
            <w:pPr>
              <w:spacing w:after="0" w:line="230" w:lineRule="exact"/>
              <w:rPr>
                <w:sz w:val="20"/>
                <w:szCs w:val="20"/>
                <w:color w:val="auto"/>
              </w:rPr>
            </w:pPr>
            <w:r>
              <w:rPr>
                <w:rFonts w:ascii="Arial" w:cs="Arial" w:eastAsia="Arial" w:hAnsi="Arial"/>
                <w:sz w:val="20"/>
                <w:szCs w:val="20"/>
                <w:color w:val="auto"/>
              </w:rPr>
              <w:t xml:space="preserve">Acquisition related employee retention costs </w:t>
            </w:r>
            <w:r>
              <w:rPr>
                <w:rFonts w:ascii="Arial" w:cs="Arial" w:eastAsia="Arial" w:hAnsi="Arial"/>
                <w:sz w:val="26"/>
                <w:szCs w:val="26"/>
                <w:color w:val="auto"/>
                <w:vertAlign w:val="superscript"/>
              </w:rPr>
              <w:t>(2)</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8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20"/>
                <w:szCs w:val="20"/>
                <w:color w:val="auto"/>
              </w:rPr>
              <w:t>0.9</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2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20"/>
                <w:szCs w:val="20"/>
                <w:color w:val="auto"/>
              </w:rPr>
              <w:t>1.4</w:t>
            </w:r>
          </w:p>
        </w:tc>
        <w:tc>
          <w:tcPr>
            <w:tcW w:w="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gridSpan w:val="4"/>
            <w:shd w:val="clear" w:color="auto" w:fill="E0E0E0"/>
          </w:tcPr>
          <w:p>
            <w:pPr>
              <w:jc w:val="right"/>
              <w:spacing w:after="0"/>
              <w:rPr>
                <w:sz w:val="20"/>
                <w:szCs w:val="20"/>
                <w:color w:val="auto"/>
              </w:rPr>
            </w:pPr>
            <w:r>
              <w:rPr>
                <w:rFonts w:ascii="Arial" w:cs="Arial" w:eastAsia="Arial" w:hAnsi="Arial"/>
                <w:sz w:val="20"/>
                <w:szCs w:val="20"/>
                <w:color w:val="auto"/>
              </w:rPr>
              <w:t>4.2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tcPr>
          <w:p>
            <w:pPr>
              <w:spacing w:after="0" w:line="220" w:lineRule="exact"/>
              <w:rPr>
                <w:sz w:val="20"/>
                <w:szCs w:val="20"/>
                <w:color w:val="auto"/>
              </w:rPr>
            </w:pPr>
            <w:r>
              <w:rPr>
                <w:rFonts w:ascii="Arial" w:cs="Arial" w:eastAsia="Arial" w:hAnsi="Arial"/>
                <w:sz w:val="20"/>
                <w:szCs w:val="20"/>
                <w:color w:val="auto"/>
              </w:rPr>
              <w:t>Adjusted EBITDA</w:t>
            </w:r>
          </w:p>
        </w:tc>
        <w:tc>
          <w:tcPr>
            <w:tcW w:w="380" w:type="dxa"/>
            <w:vAlign w:val="bottom"/>
            <w:gridSpan w:val="3"/>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42.0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5"/>
              <w:spacing w:after="0" w:line="220" w:lineRule="exact"/>
              <w:rPr>
                <w:sz w:val="20"/>
                <w:szCs w:val="20"/>
                <w:color w:val="auto"/>
              </w:rPr>
            </w:pPr>
            <w:r>
              <w:rPr>
                <w:rFonts w:ascii="Arial" w:cs="Arial" w:eastAsia="Arial" w:hAnsi="Arial"/>
                <w:sz w:val="20"/>
                <w:szCs w:val="20"/>
                <w:color w:val="auto"/>
                <w:w w:val="89"/>
              </w:rPr>
              <w:t>$</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line="220" w:lineRule="exact"/>
              <w:rPr>
                <w:sz w:val="20"/>
                <w:szCs w:val="20"/>
                <w:color w:val="auto"/>
              </w:rPr>
            </w:pPr>
            <w:r>
              <w:rPr>
                <w:rFonts w:ascii="Arial" w:cs="Arial" w:eastAsia="Arial" w:hAnsi="Arial"/>
                <w:sz w:val="20"/>
                <w:szCs w:val="20"/>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6260465</wp:posOffset>
                </wp:positionH>
                <wp:positionV relativeFrom="paragraph">
                  <wp:posOffset>-3796030</wp:posOffset>
                </wp:positionV>
                <wp:extent cx="497205" cy="146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 cy="146050"/>
                        </a:xfrm>
                        <a:prstGeom prst="rect">
                          <a:avLst/>
                        </a:prstGeom>
                        <a:solidFill>
                          <a:srgbClr val="E0E0E0"/>
                        </a:solidFill>
                      </wps:spPr>
                      <wps:bodyPr/>
                    </wps:wsp>
                  </a:graphicData>
                </a:graphic>
              </wp:anchor>
            </w:drawing>
          </mc:Choice>
          <mc:Fallback>
            <w:pict>
              <v:rect id="Shape 20" o:spid="_x0000_s1045" style="position:absolute;margin-left:492.95pt;margin-top:-298.8999pt;width:39.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6260465</wp:posOffset>
                </wp:positionH>
                <wp:positionV relativeFrom="paragraph">
                  <wp:posOffset>-3473450</wp:posOffset>
                </wp:positionV>
                <wp:extent cx="497205" cy="14605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 cy="146050"/>
                        </a:xfrm>
                        <a:prstGeom prst="rect">
                          <a:avLst/>
                        </a:prstGeom>
                        <a:solidFill>
                          <a:srgbClr val="E0E0E0"/>
                        </a:solidFill>
                      </wps:spPr>
                      <wps:bodyPr/>
                    </wps:wsp>
                  </a:graphicData>
                </a:graphic>
              </wp:anchor>
            </w:drawing>
          </mc:Choice>
          <mc:Fallback>
            <w:pict>
              <v:rect id="Shape 21" o:spid="_x0000_s1046" style="position:absolute;margin-left:492.95pt;margin-top:-273.4999pt;width:39.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6260465</wp:posOffset>
                </wp:positionH>
                <wp:positionV relativeFrom="paragraph">
                  <wp:posOffset>-3121660</wp:posOffset>
                </wp:positionV>
                <wp:extent cx="497205" cy="1460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 cy="146050"/>
                        </a:xfrm>
                        <a:prstGeom prst="rect">
                          <a:avLst/>
                        </a:prstGeom>
                        <a:solidFill>
                          <a:srgbClr val="E0E0E0"/>
                        </a:solidFill>
                      </wps:spPr>
                      <wps:bodyPr/>
                    </wps:wsp>
                  </a:graphicData>
                </a:graphic>
              </wp:anchor>
            </w:drawing>
          </mc:Choice>
          <mc:Fallback>
            <w:pict>
              <v:rect id="Shape 22" o:spid="_x0000_s1047" style="position:absolute;margin-left:492.95pt;margin-top:-245.7999pt;width:39.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4052570</wp:posOffset>
                </wp:positionH>
                <wp:positionV relativeFrom="paragraph">
                  <wp:posOffset>-2183765</wp:posOffset>
                </wp:positionV>
                <wp:extent cx="807720" cy="1460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146050"/>
                        </a:xfrm>
                        <a:prstGeom prst="rect">
                          <a:avLst/>
                        </a:prstGeom>
                        <a:solidFill>
                          <a:srgbClr val="E0E0E0"/>
                        </a:solidFill>
                      </wps:spPr>
                      <wps:bodyPr/>
                    </wps:wsp>
                  </a:graphicData>
                </a:graphic>
              </wp:anchor>
            </w:drawing>
          </mc:Choice>
          <mc:Fallback>
            <w:pict>
              <v:rect id="Shape 23" o:spid="_x0000_s1048" style="position:absolute;margin-left:319.1pt;margin-top:-171.9499pt;width:63.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4860290</wp:posOffset>
                </wp:positionH>
                <wp:positionV relativeFrom="paragraph">
                  <wp:posOffset>-2190115</wp:posOffset>
                </wp:positionV>
                <wp:extent cx="164465" cy="1524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152400"/>
                        </a:xfrm>
                        <a:prstGeom prst="rect">
                          <a:avLst/>
                        </a:prstGeom>
                        <a:solidFill>
                          <a:srgbClr val="E0E0E0"/>
                        </a:solidFill>
                      </wps:spPr>
                      <wps:bodyPr/>
                    </wps:wsp>
                  </a:graphicData>
                </a:graphic>
              </wp:anchor>
            </w:drawing>
          </mc:Choice>
          <mc:Fallback>
            <w:pict>
              <v:rect id="Shape 24" o:spid="_x0000_s1049" style="position:absolute;margin-left:382.7pt;margin-top:-172.4499pt;width:12.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5024755</wp:posOffset>
                </wp:positionH>
                <wp:positionV relativeFrom="paragraph">
                  <wp:posOffset>-2183765</wp:posOffset>
                </wp:positionV>
                <wp:extent cx="807720" cy="14605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146050"/>
                        </a:xfrm>
                        <a:prstGeom prst="rect">
                          <a:avLst/>
                        </a:prstGeom>
                        <a:solidFill>
                          <a:srgbClr val="E0E0E0"/>
                        </a:solidFill>
                      </wps:spPr>
                      <wps:bodyPr/>
                    </wps:wsp>
                  </a:graphicData>
                </a:graphic>
              </wp:anchor>
            </w:drawing>
          </mc:Choice>
          <mc:Fallback>
            <w:pict>
              <v:rect id="Shape 25" o:spid="_x0000_s1050" style="position:absolute;margin-left:395.65pt;margin-top:-171.9499pt;width:63.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-2190115</wp:posOffset>
                </wp:positionV>
                <wp:extent cx="164465" cy="1524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152400"/>
                        </a:xfrm>
                        <a:prstGeom prst="rect">
                          <a:avLst/>
                        </a:prstGeom>
                        <a:solidFill>
                          <a:srgbClr val="E0E0E0"/>
                        </a:solidFill>
                      </wps:spPr>
                      <wps:bodyPr/>
                    </wps:wsp>
                  </a:graphicData>
                </a:graphic>
              </wp:anchor>
            </w:drawing>
          </mc:Choice>
          <mc:Fallback>
            <w:pict>
              <v:rect id="Shape 26" o:spid="_x0000_s1051" style="position:absolute;margin-left:459.25pt;margin-top:-172.4499pt;width:12.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5996940</wp:posOffset>
                </wp:positionH>
                <wp:positionV relativeFrom="paragraph">
                  <wp:posOffset>-2183765</wp:posOffset>
                </wp:positionV>
                <wp:extent cx="807720" cy="14605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146050"/>
                        </a:xfrm>
                        <a:prstGeom prst="rect">
                          <a:avLst/>
                        </a:prstGeom>
                        <a:solidFill>
                          <a:srgbClr val="E0E0E0"/>
                        </a:solidFill>
                      </wps:spPr>
                      <wps:bodyPr/>
                    </wps:wsp>
                  </a:graphicData>
                </a:graphic>
              </wp:anchor>
            </w:drawing>
          </mc:Choice>
          <mc:Fallback>
            <w:pict>
              <v:rect id="Shape 27" o:spid="_x0000_s1052" style="position:absolute;margin-left:472.2pt;margin-top:-171.9499pt;width:63.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5" w:lineRule="exact"/>
        <w:rPr>
          <w:sz w:val="20"/>
          <w:szCs w:val="20"/>
          <w:color w:val="auto"/>
        </w:rPr>
      </w:pPr>
    </w:p>
    <w:p>
      <w:pPr>
        <w:ind w:left="520" w:right="660" w:hanging="370"/>
        <w:spacing w:after="0" w:line="253"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Acquisition related transaction costs consisted of legal and advisory fees incurred in connection with the StudyLink, Cohort Go and WPM acquisitions.</w:t>
      </w:r>
    </w:p>
    <w:p>
      <w:pPr>
        <w:ind w:left="520" w:right="140" w:hanging="370"/>
        <w:spacing w:after="0" w:line="256"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Acquisition related employee retention costs consisted of costs incurred to retain and compensate StudyLink, WPM and Simplee's employees in connection with integration of the business.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Key Factors Affecting Our Performance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Increased Utilization by Our Clients and Their Customers</w:t>
      </w:r>
    </w:p>
    <w:p>
      <w:pPr>
        <w:spacing w:after="0" w:line="196" w:lineRule="exact"/>
        <w:rPr>
          <w:sz w:val="20"/>
          <w:szCs w:val="20"/>
          <w:color w:val="auto"/>
        </w:rPr>
      </w:pPr>
    </w:p>
    <w:p>
      <w:pPr>
        <w:ind w:left="20" w:right="60" w:firstLine="490"/>
        <w:spacing w:after="0" w:line="248" w:lineRule="auto"/>
        <w:rPr>
          <w:sz w:val="20"/>
          <w:szCs w:val="20"/>
          <w:color w:val="auto"/>
        </w:rPr>
      </w:pPr>
      <w:r>
        <w:rPr>
          <w:rFonts w:ascii="Arial" w:cs="Arial" w:eastAsia="Arial" w:hAnsi="Arial"/>
          <w:sz w:val="20"/>
          <w:szCs w:val="20"/>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54" w:lineRule="exact"/>
        <w:rPr>
          <w:sz w:val="20"/>
          <w:szCs w:val="20"/>
          <w:color w:val="auto"/>
        </w:rPr>
      </w:pPr>
    </w:p>
    <w:p>
      <w:pPr>
        <w:ind w:left="20" w:right="20" w:firstLine="490"/>
        <w:spacing w:after="0" w:line="282" w:lineRule="auto"/>
        <w:rPr>
          <w:sz w:val="20"/>
          <w:szCs w:val="20"/>
          <w:color w:val="auto"/>
        </w:rPr>
      </w:pPr>
      <w:r>
        <w:rPr>
          <w:rFonts w:ascii="Arial" w:cs="Arial" w:eastAsia="Arial" w:hAnsi="Arial"/>
          <w:sz w:val="20"/>
          <w:szCs w:val="20"/>
          <w:color w:val="auto"/>
        </w:rPr>
        <w:t>In addition, sustaining our growth requires continued adoption of our platform by new clients and further adoption of use cases such as payment plans, by our clients’ customers. Our ability to influence our clients to expand their customers’</w:t>
      </w:r>
    </w:p>
    <w:p>
      <w:pPr>
        <w:sectPr>
          <w:pgSz w:w="12240" w:h="15840" w:orient="portrait"/>
          <w:cols w:equalWidth="0" w:num="1">
            <w:col w:w="10820"/>
          </w:cols>
          <w:pgMar w:left="700" w:top="1161" w:right="720" w:bottom="175"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10820"/>
          </w:cols>
          <w:pgMar w:left="700" w:top="1161" w:right="720" w:bottom="175" w:gutter="0" w:footer="0" w:header="0"/>
          <w:type w:val="continuous"/>
        </w:sectPr>
      </w:pPr>
    </w:p>
    <w:bookmarkStart w:id="87" w:name="page88"/>
    <w:bookmarkEnd w:id="87"/>
    <w:p>
      <w:pPr>
        <w:ind w:right="40"/>
        <w:spacing w:after="0" w:line="282" w:lineRule="auto"/>
        <w:rPr>
          <w:sz w:val="20"/>
          <w:szCs w:val="20"/>
          <w:color w:val="auto"/>
        </w:rPr>
      </w:pPr>
      <w:r>
        <w:rPr>
          <w:rFonts w:ascii="Arial" w:cs="Arial" w:eastAsia="Arial" w:hAnsi="Arial"/>
          <w:sz w:val="20"/>
          <w:szCs w:val="20"/>
          <w:color w:val="auto"/>
        </w:rPr>
        <w:t>usage of our platform also depends on our ability to successfully introduce new solutions, such as our solutions to support payments by international education consultants and our B2B solutions.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Mix of Business on Our Platform</w:t>
      </w:r>
    </w:p>
    <w:p>
      <w:pPr>
        <w:spacing w:after="0" w:line="196"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in Technology and Development and Sales and Marketing</w:t>
      </w:r>
    </w:p>
    <w:p>
      <w:pPr>
        <w:spacing w:after="0" w:line="196"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52" w:lineRule="exact"/>
        <w:rPr>
          <w:sz w:val="20"/>
          <w:szCs w:val="20"/>
          <w:color w:val="auto"/>
        </w:rPr>
      </w:pPr>
    </w:p>
    <w:p>
      <w:pPr>
        <w:ind w:right="520" w:firstLine="490"/>
        <w:spacing w:after="0" w:line="254" w:lineRule="auto"/>
        <w:rPr>
          <w:sz w:val="20"/>
          <w:szCs w:val="20"/>
          <w:color w:val="auto"/>
        </w:rPr>
      </w:pPr>
      <w:r>
        <w:rPr>
          <w:rFonts w:ascii="Arial" w:cs="Arial" w:eastAsia="Arial" w:hAnsi="Arial"/>
          <w:sz w:val="20"/>
          <w:szCs w:val="20"/>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Seasonality</w:t>
      </w:r>
    </w:p>
    <w:p>
      <w:pPr>
        <w:spacing w:after="0" w:line="196" w:lineRule="exact"/>
        <w:rPr>
          <w:sz w:val="20"/>
          <w:szCs w:val="20"/>
          <w:color w:val="auto"/>
        </w:rPr>
      </w:pPr>
    </w:p>
    <w:p>
      <w:pPr>
        <w:ind w:right="20" w:firstLine="490"/>
        <w:spacing w:after="0" w:line="262" w:lineRule="auto"/>
        <w:rPr>
          <w:sz w:val="20"/>
          <w:szCs w:val="20"/>
          <w:color w:val="auto"/>
        </w:rPr>
      </w:pPr>
      <w:r>
        <w:rPr>
          <w:rFonts w:ascii="Arial" w:cs="Arial" w:eastAsia="Arial" w:hAnsi="Arial"/>
          <w:sz w:val="19"/>
          <w:szCs w:val="19"/>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Economic Conditions and Resulting Consumer Spending Trends</w:t>
      </w:r>
    </w:p>
    <w:p>
      <w:pPr>
        <w:spacing w:after="0" w:line="196" w:lineRule="exact"/>
        <w:rPr>
          <w:sz w:val="20"/>
          <w:szCs w:val="20"/>
          <w:color w:val="auto"/>
        </w:rPr>
      </w:pPr>
    </w:p>
    <w:p>
      <w:pPr>
        <w:ind w:right="320" w:firstLine="490"/>
        <w:spacing w:after="0" w:line="261" w:lineRule="auto"/>
        <w:rPr>
          <w:sz w:val="20"/>
          <w:szCs w:val="20"/>
          <w:color w:val="auto"/>
        </w:rPr>
      </w:pPr>
      <w:r>
        <w:rPr>
          <w:rFonts w:ascii="Arial" w:cs="Arial" w:eastAsia="Arial" w:hAnsi="Arial"/>
          <w:sz w:val="20"/>
          <w:szCs w:val="20"/>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the Conflict between Israel and Hamas</w:t>
      </w:r>
    </w:p>
    <w:p>
      <w:pPr>
        <w:spacing w:after="0" w:line="196"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We have an office in Tel Aviv, Israel, which is one of our software development and product centers. As of the date of this filing, the conflict between Israel and Hamas has not had a material impact on our revenue, results of operations or financial position. We are engaged in active workforce management and efforts to preserve the health and safety of our Israeli FlyMates. However, since the Tel Aviv office is a healthcare engineering hub, we may experience customer service issues if there is a major problem as a result of the conflict and we are not able to service its platform on a timely basis. Further, the conflict may create a global challenge in outsourcing or hiring engineering talent.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the Conflict between Russia and Ukraine</w:t>
      </w:r>
    </w:p>
    <w:p>
      <w:pPr>
        <w:spacing w:after="0" w:line="196" w:lineRule="exact"/>
        <w:rPr>
          <w:sz w:val="20"/>
          <w:szCs w:val="20"/>
          <w:color w:val="auto"/>
        </w:rPr>
      </w:pPr>
    </w:p>
    <w:p>
      <w:pPr>
        <w:ind w:right="100" w:firstLine="490"/>
        <w:spacing w:after="0" w:line="247" w:lineRule="auto"/>
        <w:rPr>
          <w:sz w:val="20"/>
          <w:szCs w:val="20"/>
          <w:color w:val="auto"/>
        </w:rPr>
      </w:pPr>
      <w:r>
        <w:rPr>
          <w:rFonts w:ascii="Arial" w:cs="Arial" w:eastAsia="Arial" w:hAnsi="Arial"/>
          <w:sz w:val="20"/>
          <w:szCs w:val="20"/>
          <w:color w:val="auto"/>
        </w:rPr>
        <w:t>We do not have any operations, or long-lived assets, in Ukraine or Russia. We are actively monitoring the situation in Ukraine and assessing its impact on our business, but as of the issuance date of these consolidated financial statements, the current conflict between Russia and Ukraine has not had a material impact on our revenue, results of operations or financial position. Ukraine is a major engineering hub and we may from time to time utilize technology resources from Ukraine on a contracted basis. The conflict may create a global challenge in outsourcing or hiring engineering talent. However, we have no way to predict the progress or outcome of the conflict or its impacts in Ukraine, Russia or Belarus as the conflict, and any resulting government reactions, are rapidly developing and beyond our control.</w:t>
      </w:r>
    </w:p>
    <w:p>
      <w:pPr>
        <w:sectPr>
          <w:pgSz w:w="12240" w:h="15840" w:orient="portrait"/>
          <w:cols w:equalWidth="0" w:num="1">
            <w:col w:w="10800"/>
          </w:cols>
          <w:pgMar w:left="720" w:top="1160" w:right="720" w:bottom="175"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2240" w:h="15840" w:orient="portrait"/>
          <w:cols w:equalWidth="0" w:num="1">
            <w:col w:w="10800"/>
          </w:cols>
          <w:pgMar w:left="720" w:top="1160" w:right="720" w:bottom="175" w:gutter="0" w:footer="0" w:header="0"/>
          <w:type w:val="continuous"/>
        </w:sectPr>
      </w:pPr>
    </w:p>
    <w:bookmarkStart w:id="88" w:name="page89"/>
    <w:bookmarkEnd w:id="88"/>
    <w:p>
      <w:pPr>
        <w:ind w:right="260"/>
        <w:spacing w:after="0" w:line="282" w:lineRule="auto"/>
        <w:rPr>
          <w:sz w:val="20"/>
          <w:szCs w:val="20"/>
          <w:color w:val="auto"/>
        </w:rPr>
      </w:pPr>
      <w:r>
        <w:rPr>
          <w:rFonts w:ascii="Arial" w:cs="Arial" w:eastAsia="Arial" w:hAnsi="Arial"/>
          <w:sz w:val="20"/>
          <w:szCs w:val="20"/>
          <w:color w:val="auto"/>
        </w:rPr>
        <w:t>The extent and duration of the military action, sanctions and resulting market disruptions could be significant and could potentially have a substantial impact on the global economy and our business for an unknown period of time.</w:t>
      </w:r>
    </w:p>
    <w:p>
      <w:pPr>
        <w:spacing w:after="0" w:line="12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Inflation</w:t>
      </w:r>
    </w:p>
    <w:p>
      <w:pPr>
        <w:spacing w:after="0" w:line="19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Inflation did not have a material effect on our cash flows and results of operations during the year ended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Diversified Mix of Clients</w:t>
      </w:r>
    </w:p>
    <w:p>
      <w:pPr>
        <w:spacing w:after="0" w:line="196"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Dynamic Changes to Client Communication and Product Solutions</w:t>
      </w:r>
    </w:p>
    <w:p>
      <w:pPr>
        <w:spacing w:after="0" w:line="196"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Continuity</w:t>
      </w:r>
    </w:p>
    <w:p>
      <w:pPr>
        <w:spacing w:after="0" w:line="196" w:lineRule="exact"/>
        <w:rPr>
          <w:sz w:val="20"/>
          <w:szCs w:val="20"/>
          <w:color w:val="auto"/>
        </w:rPr>
      </w:pPr>
    </w:p>
    <w:p>
      <w:pPr>
        <w:ind w:right="140" w:firstLine="490"/>
        <w:spacing w:after="0" w:line="247" w:lineRule="auto"/>
        <w:rPr>
          <w:sz w:val="20"/>
          <w:szCs w:val="20"/>
          <w:color w:val="auto"/>
        </w:rPr>
      </w:pPr>
      <w:r>
        <w:rPr>
          <w:rFonts w:ascii="Arial" w:cs="Arial" w:eastAsia="Arial" w:hAnsi="Arial"/>
          <w:sz w:val="20"/>
          <w:szCs w:val="20"/>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As vaccination rates increased and the pandemic abated, we reopened our offices to the extent local requirements allowed, although FlyMates continue to have the flexibility to work remotely. With the recent outbreak of hostilities in Gaza, we have also engaged in active workforce planning to help Israeli FlyMates support the business without interruption and implement safety measures for FlyMates in Israel.</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generate revenue from transactions and platform and usage-based fees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Transaction Revenue</w:t>
      </w:r>
    </w:p>
    <w:p>
      <w:pPr>
        <w:spacing w:after="0" w:line="192"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sectPr>
          <w:pgSz w:w="12240" w:h="15840" w:orient="portrait"/>
          <w:cols w:equalWidth="0" w:num="1">
            <w:col w:w="10740"/>
          </w:cols>
          <w:pgMar w:left="720" w:top="1160" w:right="780" w:bottom="175" w:gutter="0" w:footer="0" w:header="0"/>
        </w:sect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10740"/>
          </w:cols>
          <w:pgMar w:left="720" w:top="1160" w:right="780" w:bottom="175" w:gutter="0" w:footer="0" w:header="0"/>
          <w:type w:val="continuous"/>
        </w:sectPr>
      </w:pPr>
    </w:p>
    <w:bookmarkStart w:id="89" w:name="page90"/>
    <w:bookmarkEnd w:id="89"/>
    <w:p>
      <w:pPr>
        <w:ind w:right="280" w:firstLine="490"/>
        <w:spacing w:after="0" w:line="250" w:lineRule="auto"/>
        <w:rPr>
          <w:sz w:val="20"/>
          <w:szCs w:val="20"/>
          <w:color w:val="auto"/>
        </w:rPr>
      </w:pPr>
      <w:r>
        <w:rPr>
          <w:rFonts w:ascii="Arial" w:cs="Arial" w:eastAsia="Arial" w:hAnsi="Arial"/>
          <w:sz w:val="20"/>
          <w:szCs w:val="20"/>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Platform and Usage-Based Fee Revenue</w:t>
      </w:r>
    </w:p>
    <w:p>
      <w:pPr>
        <w:spacing w:after="0" w:line="192" w:lineRule="exact"/>
        <w:rPr>
          <w:sz w:val="20"/>
          <w:szCs w:val="20"/>
          <w:color w:val="auto"/>
        </w:rPr>
      </w:pPr>
    </w:p>
    <w:p>
      <w:pPr>
        <w:ind w:right="200" w:firstLine="490"/>
        <w:spacing w:after="0" w:line="248" w:lineRule="auto"/>
        <w:rPr>
          <w:sz w:val="20"/>
          <w:szCs w:val="20"/>
          <w:color w:val="auto"/>
        </w:rPr>
      </w:pPr>
      <w:r>
        <w:rPr>
          <w:rFonts w:ascii="Arial" w:cs="Arial" w:eastAsia="Arial" w:hAnsi="Arial"/>
          <w:sz w:val="20"/>
          <w:szCs w:val="20"/>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54"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Our insurance offering provides students a platform which enables them to compare, select and purchase the mandated health insurance coverage needed. We earn a commission from insurance providers when a student purchases an insurance policy as well as consideration from the student in the form of a markup on the foreign exchange rate.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 Processing Services Costs</w:t>
      </w:r>
    </w:p>
    <w:p>
      <w:pPr>
        <w:spacing w:after="0" w:line="196"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Technology and Development</w:t>
      </w:r>
    </w:p>
    <w:p>
      <w:pPr>
        <w:spacing w:after="0" w:line="196"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53"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and Marketing</w:t>
      </w:r>
    </w:p>
    <w:p>
      <w:pPr>
        <w:spacing w:after="0" w:line="196"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46"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ectPr>
          <w:pgSz w:w="12240" w:h="15840" w:orient="portrait"/>
          <w:cols w:equalWidth="0" w:num="1">
            <w:col w:w="10780"/>
          </w:cols>
          <w:pgMar w:left="720" w:top="116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10780"/>
          </w:cols>
          <w:pgMar w:left="720" w:top="1160" w:right="740" w:bottom="175"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196"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96"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Interest expense consists of interest previously incurred on our Loan and Security Agreement (LSA) and revolving credit syndication loan (Revolving Credit Facility). Interest expense also includes amortization of debt issuance cost and debt discount from our previous LSA. During 2018, we borrowed $25.0 million under the LSA. In July 2021, we refinanced the LSA by entering into a $50.0 million Revolving Credit Facility. During the year ended December 31, 2022, we repaid the $25.9 million outstanding under the Revolving Credit Facility, and did not draw against the Revolving Credit Facility during the year ended December 31, 2023. As a result, we continue to have access to a total commitment of $50.0 million under the Revolving Credit Facility.</w:t>
      </w:r>
    </w:p>
    <w:p>
      <w:pPr>
        <w:spacing w:after="0" w:line="153"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auto"/>
        </w:rPr>
        <w:t>On June 23, 2023, we executed the First Amendment to the Revolving Credit Facility to transition determination of the rate of interest from the LIBOR benchmark rate to the SOFR benchmark rate effective June 30, 2023.</w:t>
      </w:r>
    </w:p>
    <w:p>
      <w:pPr>
        <w:spacing w:after="0" w:line="120" w:lineRule="exact"/>
        <w:rPr>
          <w:sz w:val="20"/>
          <w:szCs w:val="20"/>
          <w:color w:val="auto"/>
        </w:rPr>
      </w:pPr>
    </w:p>
    <w:p>
      <w:pPr>
        <w:ind w:right="180" w:firstLine="490"/>
        <w:spacing w:after="0" w:line="245" w:lineRule="auto"/>
        <w:rPr>
          <w:sz w:val="20"/>
          <w:szCs w:val="20"/>
          <w:color w:val="auto"/>
        </w:rPr>
      </w:pPr>
      <w:r>
        <w:rPr>
          <w:rFonts w:ascii="Arial" w:cs="Arial" w:eastAsia="Arial" w:hAnsi="Arial"/>
          <w:sz w:val="20"/>
          <w:szCs w:val="20"/>
          <w:color w:val="auto"/>
        </w:rPr>
        <w:t>In accordance with the First Amendment, the Revolving Credit Facility has an adjustable rate of interest based on the type of loan requested, either at a rate based on the Alternate Base Rate (ABR) plus an applicable rate or Adjusted Term SOFR plus an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w:t>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0.71513% depending on the length of the SOFR interest period, multiplied by (z) the Statutory Reserve Rate. The applicable rate is based upon our liquidity as of the most recent consolidated financial information and ranges from 0.75% to 2.25%.</w:t>
      </w:r>
    </w:p>
    <w:p>
      <w:pPr>
        <w:spacing w:after="0" w:line="154"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Prior to the First Amendment, the Revolving Credit Facility had an adjustable rate of interest based on the type of loan requested, either at a rate based on the ABR plus an applicable rate or LIBOR plus an applicable rate. The ABR rate was based on the greatest of (a) the Prime Rate, (b) the Federal Funds Effective Rate plus 1/2 of 1%, or (c) the Adjusted LIBOR for a one-month interest period, plus 1%. The adjusted LIBOR was based on (x) the LIBOR for such interest period, multiplied by (y) the Statutory Reserve Rate. The applicable rate was based upon our liquidity as of the most recent consolidated financial information and ranged from 0.75% to 2.25%.</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Fair Value of Preferred Stock Warrant Liability</w:t>
      </w:r>
    </w:p>
    <w:p>
      <w:pPr>
        <w:spacing w:after="0" w:line="19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 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consolidated statements of operations and comprehensive loss.</w:t>
      </w:r>
    </w:p>
    <w:p>
      <w:pPr>
        <w:sectPr>
          <w:pgSz w:w="12240" w:h="15840" w:orient="portrait"/>
          <w:cols w:equalWidth="0" w:num="1">
            <w:col w:w="10780"/>
          </w:cols>
          <w:pgMar w:left="720" w:top="1164"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10780"/>
          </w:cols>
          <w:pgMar w:left="720" w:top="1164" w:right="740" w:bottom="175"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96" w:lineRule="exact"/>
        <w:rPr>
          <w:sz w:val="20"/>
          <w:szCs w:val="20"/>
          <w:color w:val="auto"/>
        </w:rPr>
      </w:pPr>
    </w:p>
    <w:p>
      <w:pPr>
        <w:ind w:right="420" w:firstLine="490"/>
        <w:spacing w:after="0" w:line="282" w:lineRule="auto"/>
        <w:rPr>
          <w:sz w:val="20"/>
          <w:szCs w:val="20"/>
          <w:color w:val="auto"/>
        </w:rPr>
      </w:pPr>
      <w:r>
        <w:rPr>
          <w:rFonts w:ascii="Arial" w:cs="Arial" w:eastAsia="Arial" w:hAnsi="Arial"/>
          <w:sz w:val="20"/>
          <w:szCs w:val="20"/>
          <w:color w:val="auto"/>
        </w:rPr>
        <w:t>Interest income consists of interest on cash held in interest bearing operating accounts, including money market funds.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Gain (loss) from Remeasurement of Foreign Currency</w:t>
      </w:r>
    </w:p>
    <w:p>
      <w:pPr>
        <w:spacing w:after="0" w:line="196" w:lineRule="exact"/>
        <w:rPr>
          <w:sz w:val="20"/>
          <w:szCs w:val="20"/>
          <w:color w:val="auto"/>
        </w:rPr>
      </w:pPr>
    </w:p>
    <w:p>
      <w:pPr>
        <w:ind w:right="40" w:firstLine="490"/>
        <w:spacing w:after="0" w:line="282" w:lineRule="auto"/>
        <w:rPr>
          <w:sz w:val="20"/>
          <w:szCs w:val="20"/>
          <w:color w:val="auto"/>
        </w:rPr>
      </w:pPr>
      <w:r>
        <w:rPr>
          <w:rFonts w:ascii="Arial" w:cs="Arial" w:eastAsia="Arial" w:hAnsi="Arial"/>
          <w:sz w:val="20"/>
          <w:szCs w:val="20"/>
          <w:color w:val="auto"/>
        </w:rPr>
        <w:t>Gain (loss) from remeasurement of foreign currency consists of gains and losses from the remeasurement of foreign currency transactions into its functional currency.</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w:t>
      </w:r>
    </w:p>
    <w:p>
      <w:pPr>
        <w:spacing w:after="0" w:line="196"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auto"/>
        </w:rPr>
        <w:t>Provision for income taxes consists primarily of foreign and state income taxes. We have historically generated NOL carryforwards for U.S. Federal and state tax purposes as we expand the scale of our business activities. Changes in the U.S. and foreign tax law may impact our overall provision for income taxes in the future.</w:t>
      </w:r>
    </w:p>
    <w:p>
      <w:pPr>
        <w:spacing w:after="0" w:line="140"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We have a valuation allowance on our net U.S. deferred tax assets, including federal and state NOLs and our net U.K. deferred tax assets, including NOL's. We expect to maintain these valuation allowances until it becomes more likely than not that the benefit of our deferred tax assets are realized through future taxable income generated in these jurisdictions.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results for the years ended December 31, 2023 and 2022</w:t>
      </w:r>
    </w:p>
    <w:p>
      <w:pPr>
        <w:spacing w:after="0" w:line="196" w:lineRule="exact"/>
        <w:rPr>
          <w:sz w:val="20"/>
          <w:szCs w:val="20"/>
          <w:color w:val="auto"/>
        </w:rPr>
      </w:pPr>
    </w:p>
    <w:p>
      <w:pPr>
        <w:ind w:right="620" w:firstLine="490"/>
        <w:spacing w:after="0" w:line="282" w:lineRule="auto"/>
        <w:rPr>
          <w:sz w:val="20"/>
          <w:szCs w:val="20"/>
          <w:color w:val="auto"/>
        </w:rPr>
      </w:pPr>
      <w:r>
        <w:rPr>
          <w:rFonts w:ascii="Arial" w:cs="Arial" w:eastAsia="Arial" w:hAnsi="Arial"/>
          <w:sz w:val="20"/>
          <w:szCs w:val="20"/>
          <w:color w:val="auto"/>
        </w:rPr>
        <w:t>All dollar amounts in the tables below are rounded to the nearest million. As a result, certain amounts may not recalculate using the rounded amounts provided.</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sets forth our consolidated results of operations for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c>
          <w:tcPr>
            <w:tcW w:w="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 Change</w:t>
            </w: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82"/>
              <w:spacing w:after="0" w:line="174" w:lineRule="exact"/>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E0E0E0"/>
            </w:tcBorders>
          </w:tcPr>
          <w:p>
            <w:pPr>
              <w:spacing w:after="0"/>
              <w:rPr>
                <w:sz w:val="15"/>
                <w:szCs w:val="15"/>
                <w:color w:val="auto"/>
              </w:rPr>
            </w:pPr>
          </w:p>
        </w:tc>
        <w:tc>
          <w:tcPr>
            <w:tcW w:w="100" w:type="dxa"/>
            <w:vAlign w:val="bottom"/>
            <w:tcBorders>
              <w:top w:val="single" w:sz="8" w:color="auto"/>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81"/>
              <w:spacing w:after="0" w:line="174"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403.1</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113.7</w:t>
            </w:r>
          </w:p>
        </w:tc>
        <w:tc>
          <w:tcPr>
            <w:tcW w:w="200" w:type="dxa"/>
            <w:vAlign w:val="bottom"/>
            <w:shd w:val="clear" w:color="auto" w:fill="E0E0E0"/>
          </w:tcPr>
          <w:p>
            <w:pPr>
              <w:spacing w:after="0"/>
              <w:rPr>
                <w:sz w:val="19"/>
                <w:szCs w:val="19"/>
                <w:color w:val="auto"/>
              </w:rPr>
            </w:pPr>
          </w:p>
        </w:tc>
        <w:tc>
          <w:tcPr>
            <w:tcW w:w="1260" w:type="dxa"/>
            <w:vAlign w:val="bottom"/>
            <w:gridSpan w:val="2"/>
          </w:tcPr>
          <w:p>
            <w:pPr>
              <w:jc w:val="right"/>
              <w:ind w:right="100"/>
              <w:spacing w:after="0" w:line="220" w:lineRule="exact"/>
              <w:rPr>
                <w:sz w:val="20"/>
                <w:szCs w:val="20"/>
                <w:color w:val="auto"/>
              </w:rPr>
            </w:pPr>
            <w:r>
              <w:rPr>
                <w:rFonts w:ascii="Arial" w:cs="Arial" w:eastAsia="Arial" w:hAnsi="Arial"/>
                <w:sz w:val="20"/>
                <w:szCs w:val="20"/>
                <w:color w:val="auto"/>
              </w:rPr>
              <w:t>39.3%</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Payment processing services costs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39.4</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36.5%</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Technology and development</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62.0</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50.3</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11.7</w:t>
            </w:r>
          </w:p>
        </w:tc>
        <w:tc>
          <w:tcPr>
            <w:tcW w:w="1460" w:type="dxa"/>
            <w:vAlign w:val="bottom"/>
            <w:gridSpan w:val="3"/>
            <w:shd w:val="clear" w:color="auto" w:fill="E0E0E0"/>
          </w:tcPr>
          <w:p>
            <w:pPr>
              <w:jc w:val="right"/>
              <w:ind w:right="100"/>
              <w:spacing w:after="0"/>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Selling and marketing</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29.1</w:t>
            </w: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General and administrative</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107.6</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82.9</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24.7</w:t>
            </w:r>
          </w:p>
        </w:tc>
        <w:tc>
          <w:tcPr>
            <w:tcW w:w="1460" w:type="dxa"/>
            <w:vAlign w:val="bottom"/>
            <w:gridSpan w:val="3"/>
            <w:shd w:val="clear" w:color="auto" w:fill="E0E0E0"/>
          </w:tcPr>
          <w:p>
            <w:pPr>
              <w:jc w:val="right"/>
              <w:ind w:right="100"/>
              <w:spacing w:after="0"/>
              <w:rPr>
                <w:sz w:val="20"/>
                <w:szCs w:val="20"/>
                <w:color w:val="auto"/>
              </w:rPr>
            </w:pPr>
            <w:r>
              <w:rPr>
                <w:rFonts w:ascii="Arial" w:cs="Arial" w:eastAsia="Arial" w:hAnsi="Arial"/>
                <w:sz w:val="20"/>
                <w:szCs w:val="20"/>
                <w:color w:val="auto"/>
              </w:rPr>
              <w:t>29.8%</w:t>
            </w:r>
          </w:p>
        </w:tc>
        <w:tc>
          <w:tcPr>
            <w:tcW w:w="0" w:type="dxa"/>
            <w:vAlign w:val="bottom"/>
          </w:tcPr>
          <w:p>
            <w:pPr>
              <w:spacing w:after="0"/>
              <w:rPr>
                <w:sz w:val="1"/>
                <w:szCs w:val="1"/>
                <w:color w:val="auto"/>
              </w:rPr>
            </w:pPr>
          </w:p>
        </w:tc>
      </w:tr>
      <w:tr>
        <w:trPr>
          <w:trHeight w:val="230"/>
        </w:trPr>
        <w:tc>
          <w:tcPr>
            <w:tcW w:w="5440" w:type="dxa"/>
            <w:vAlign w:val="bottom"/>
          </w:tcPr>
          <w:p>
            <w:pPr>
              <w:ind w:left="280"/>
              <w:spacing w:after="0"/>
              <w:rPr>
                <w:sz w:val="20"/>
                <w:szCs w:val="20"/>
                <w:color w:val="auto"/>
              </w:rPr>
            </w:pPr>
            <w:r>
              <w:rPr>
                <w:rFonts w:ascii="Arial" w:cs="Arial" w:eastAsia="Arial" w:hAnsi="Arial"/>
                <w:sz w:val="20"/>
                <w:szCs w:val="20"/>
                <w:color w:val="auto"/>
              </w:rPr>
              <w:t>Total costs and operating expense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105.0</w:t>
            </w: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auto"/>
              </w:rPr>
              <w:t>32.9%</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Loss from operations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8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(21.5)</w:t>
            </w: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00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(30.2)</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8.7</w:t>
            </w:r>
          </w:p>
        </w:tc>
        <w:tc>
          <w:tcPr>
            <w:tcW w:w="1460" w:type="dxa"/>
            <w:vAlign w:val="bottom"/>
            <w:gridSpan w:val="3"/>
            <w:shd w:val="clear" w:color="auto" w:fill="E0E0E0"/>
          </w:tcPr>
          <w:p>
            <w:pPr>
              <w:jc w:val="right"/>
              <w:ind w:right="40"/>
              <w:spacing w:after="0"/>
              <w:rPr>
                <w:sz w:val="20"/>
                <w:szCs w:val="20"/>
                <w:color w:val="auto"/>
              </w:rPr>
            </w:pPr>
            <w:r>
              <w:rPr>
                <w:rFonts w:ascii="Arial" w:cs="Arial" w:eastAsia="Arial" w:hAnsi="Arial"/>
                <w:sz w:val="20"/>
                <w:szCs w:val="20"/>
                <w:color w:val="auto"/>
              </w:rPr>
              <w:t>(28.8)%</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Interest expense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0.8</w:t>
            </w:r>
          </w:p>
        </w:tc>
        <w:tc>
          <w:tcPr>
            <w:tcW w:w="1460" w:type="dxa"/>
            <w:vAlign w:val="bottom"/>
            <w:gridSpan w:val="3"/>
          </w:tcPr>
          <w:p>
            <w:pPr>
              <w:jc w:val="right"/>
              <w:ind w:right="40"/>
              <w:spacing w:after="0"/>
              <w:rPr>
                <w:sz w:val="20"/>
                <w:szCs w:val="20"/>
                <w:color w:val="auto"/>
              </w:rPr>
            </w:pPr>
            <w:r>
              <w:rPr>
                <w:rFonts w:ascii="Arial" w:cs="Arial" w:eastAsia="Arial" w:hAnsi="Arial"/>
                <w:sz w:val="20"/>
                <w:szCs w:val="20"/>
                <w:color w:val="auto"/>
              </w:rPr>
              <w:t>(66.7)%</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Interest income</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13.3</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3.2</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10.1</w:t>
            </w:r>
          </w:p>
        </w:tc>
        <w:tc>
          <w:tcPr>
            <w:tcW w:w="1460" w:type="dxa"/>
            <w:vAlign w:val="bottom"/>
            <w:gridSpan w:val="3"/>
            <w:shd w:val="clear" w:color="auto" w:fill="E0E0E0"/>
          </w:tcPr>
          <w:p>
            <w:pPr>
              <w:jc w:val="right"/>
              <w:ind w:right="100"/>
              <w:spacing w:after="0"/>
              <w:rPr>
                <w:sz w:val="20"/>
                <w:szCs w:val="20"/>
                <w:color w:val="auto"/>
              </w:rPr>
            </w:pPr>
            <w:r>
              <w:rPr>
                <w:rFonts w:ascii="Arial" w:cs="Arial" w:eastAsia="Arial" w:hAnsi="Arial"/>
                <w:sz w:val="20"/>
                <w:szCs w:val="20"/>
                <w:color w:val="auto"/>
              </w:rPr>
              <w:t>315.6%</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Gain (loss) from remeasurement of foreign currency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13.4</w:t>
            </w:r>
          </w:p>
        </w:tc>
        <w:tc>
          <w:tcPr>
            <w:tcW w:w="1460" w:type="dxa"/>
            <w:vAlign w:val="bottom"/>
            <w:gridSpan w:val="3"/>
          </w:tcPr>
          <w:p>
            <w:pPr>
              <w:jc w:val="right"/>
              <w:ind w:right="40"/>
              <w:spacing w:after="0"/>
              <w:rPr>
                <w:sz w:val="20"/>
                <w:szCs w:val="20"/>
                <w:color w:val="auto"/>
              </w:rPr>
            </w:pPr>
            <w:r>
              <w:rPr>
                <w:rFonts w:ascii="Arial" w:cs="Arial" w:eastAsia="Arial" w:hAnsi="Arial"/>
                <w:sz w:val="20"/>
                <w:szCs w:val="20"/>
                <w:color w:val="auto"/>
              </w:rPr>
              <w:t>(145.7)%</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Total other income (expense), net</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17.2</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00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(7.1)</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24.3</w:t>
            </w:r>
          </w:p>
        </w:tc>
        <w:tc>
          <w:tcPr>
            <w:tcW w:w="1460" w:type="dxa"/>
            <w:vAlign w:val="bottom"/>
            <w:gridSpan w:val="3"/>
            <w:shd w:val="clear" w:color="auto" w:fill="E0E0E0"/>
          </w:tcPr>
          <w:p>
            <w:pPr>
              <w:jc w:val="right"/>
              <w:ind w:right="40"/>
              <w:spacing w:after="0"/>
              <w:rPr>
                <w:sz w:val="20"/>
                <w:szCs w:val="20"/>
                <w:color w:val="auto"/>
              </w:rPr>
            </w:pPr>
            <w:r>
              <w:rPr>
                <w:rFonts w:ascii="Arial" w:cs="Arial" w:eastAsia="Arial" w:hAnsi="Arial"/>
                <w:sz w:val="20"/>
                <w:szCs w:val="20"/>
                <w:color w:val="auto"/>
              </w:rPr>
              <w:t>(342.3)%</w:t>
            </w:r>
          </w:p>
        </w:tc>
        <w:tc>
          <w:tcPr>
            <w:tcW w:w="0" w:type="dxa"/>
            <w:vAlign w:val="bottom"/>
          </w:tcPr>
          <w:p>
            <w:pPr>
              <w:spacing w:after="0"/>
              <w:rPr>
                <w:sz w:val="1"/>
                <w:szCs w:val="1"/>
                <w:color w:val="auto"/>
              </w:rPr>
            </w:pPr>
          </w:p>
        </w:tc>
      </w:tr>
      <w:tr>
        <w:trPr>
          <w:trHeight w:val="230"/>
        </w:trPr>
        <w:tc>
          <w:tcPr>
            <w:tcW w:w="5440" w:type="dxa"/>
            <w:vAlign w:val="bottom"/>
          </w:tcPr>
          <w:p>
            <w:pPr>
              <w:ind w:left="280"/>
              <w:spacing w:after="0"/>
              <w:rPr>
                <w:sz w:val="20"/>
                <w:szCs w:val="20"/>
                <w:color w:val="auto"/>
              </w:rPr>
            </w:pPr>
            <w:r>
              <w:rPr>
                <w:rFonts w:ascii="Arial" w:cs="Arial" w:eastAsia="Arial" w:hAnsi="Arial"/>
                <w:sz w:val="20"/>
                <w:szCs w:val="20"/>
                <w:color w:val="auto"/>
              </w:rPr>
              <w:t>Loss before provision for income taxes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33.0</w:t>
            </w:r>
          </w:p>
        </w:tc>
        <w:tc>
          <w:tcPr>
            <w:tcW w:w="1460" w:type="dxa"/>
            <w:vAlign w:val="bottom"/>
            <w:gridSpan w:val="3"/>
          </w:tcPr>
          <w:p>
            <w:pPr>
              <w:jc w:val="right"/>
              <w:ind w:right="40"/>
              <w:spacing w:after="0"/>
              <w:rPr>
                <w:sz w:val="20"/>
                <w:szCs w:val="20"/>
                <w:color w:val="auto"/>
              </w:rPr>
            </w:pPr>
            <w:r>
              <w:rPr>
                <w:rFonts w:ascii="Arial" w:cs="Arial" w:eastAsia="Arial" w:hAnsi="Arial"/>
                <w:sz w:val="20"/>
                <w:szCs w:val="20"/>
                <w:color w:val="auto"/>
              </w:rPr>
              <w:t>(88.2)%</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Provision for income taxes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4.2</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2.0</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2.2</w:t>
            </w:r>
          </w:p>
        </w:tc>
        <w:tc>
          <w:tcPr>
            <w:tcW w:w="1460" w:type="dxa"/>
            <w:vAlign w:val="bottom"/>
            <w:gridSpan w:val="3"/>
            <w:shd w:val="clear" w:color="auto" w:fill="E0E0E0"/>
          </w:tcPr>
          <w:p>
            <w:pPr>
              <w:jc w:val="right"/>
              <w:ind w:right="100"/>
              <w:spacing w:after="0"/>
              <w:rPr>
                <w:sz w:val="20"/>
                <w:szCs w:val="20"/>
                <w:color w:val="auto"/>
              </w:rPr>
            </w:pPr>
            <w:r>
              <w:rPr>
                <w:rFonts w:ascii="Arial" w:cs="Arial" w:eastAsia="Arial" w:hAnsi="Arial"/>
                <w:sz w:val="20"/>
                <w:szCs w:val="20"/>
                <w:color w:val="auto"/>
              </w:rPr>
              <w:t>110.0%</w:t>
            </w:r>
          </w:p>
        </w:tc>
        <w:tc>
          <w:tcPr>
            <w:tcW w:w="0" w:type="dxa"/>
            <w:vAlign w:val="bottom"/>
          </w:tcPr>
          <w:p>
            <w:pPr>
              <w:spacing w:after="0"/>
              <w:rPr>
                <w:sz w:val="1"/>
                <w:szCs w:val="1"/>
                <w:color w:val="auto"/>
              </w:rPr>
            </w:pPr>
          </w:p>
        </w:tc>
      </w:tr>
      <w:tr>
        <w:trPr>
          <w:trHeight w:val="230"/>
        </w:trPr>
        <w:tc>
          <w:tcPr>
            <w:tcW w:w="5440" w:type="dxa"/>
            <w:vAlign w:val="bottom"/>
          </w:tcPr>
          <w:p>
            <w:pPr>
              <w:ind w:left="280"/>
              <w:spacing w:after="0"/>
              <w:rPr>
                <w:sz w:val="20"/>
                <w:szCs w:val="20"/>
                <w:color w:val="auto"/>
              </w:rPr>
            </w:pPr>
            <w:r>
              <w:rPr>
                <w:rFonts w:ascii="Arial" w:cs="Arial" w:eastAsia="Arial" w:hAnsi="Arial"/>
                <w:sz w:val="20"/>
                <w:szCs w:val="20"/>
                <w:color w:val="auto"/>
              </w:rPr>
              <w:t>Net loss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w:t>
            </w:r>
          </w:p>
        </w:tc>
        <w:tc>
          <w:tcPr>
            <w:tcW w:w="1460" w:type="dxa"/>
            <w:vAlign w:val="bottom"/>
            <w:gridSpan w:val="3"/>
          </w:tcPr>
          <w:p>
            <w:pPr>
              <w:jc w:val="right"/>
              <w:ind w:right="40"/>
              <w:spacing w:after="0"/>
              <w:rPr>
                <w:sz w:val="20"/>
                <w:szCs w:val="20"/>
                <w:color w:val="auto"/>
              </w:rPr>
            </w:pPr>
            <w:r>
              <w:rPr>
                <w:rFonts w:ascii="Arial" w:cs="Arial" w:eastAsia="Arial" w:hAnsi="Arial"/>
                <w:sz w:val="20"/>
                <w:szCs w:val="20"/>
                <w:color w:val="auto"/>
              </w:rPr>
              <w:t>(78.1)%</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Foreign currency translation adjustment</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3.2</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00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(1.5)</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4.7</w:t>
            </w:r>
          </w:p>
        </w:tc>
        <w:tc>
          <w:tcPr>
            <w:tcW w:w="1460" w:type="dxa"/>
            <w:vAlign w:val="bottom"/>
            <w:gridSpan w:val="3"/>
            <w:shd w:val="clear" w:color="auto" w:fill="E0E0E0"/>
          </w:tcPr>
          <w:p>
            <w:pPr>
              <w:jc w:val="right"/>
              <w:ind w:right="40"/>
              <w:spacing w:after="0"/>
              <w:rPr>
                <w:sz w:val="20"/>
                <w:szCs w:val="20"/>
                <w:color w:val="auto"/>
              </w:rPr>
            </w:pPr>
            <w:r>
              <w:rPr>
                <w:rFonts w:ascii="Arial" w:cs="Arial" w:eastAsia="Arial" w:hAnsi="Arial"/>
                <w:sz w:val="20"/>
                <w:szCs w:val="20"/>
                <w:color w:val="auto"/>
              </w:rPr>
              <w:t>(313.3)%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20"/>
                <w:szCs w:val="20"/>
                <w:color w:val="auto"/>
              </w:rPr>
              <w:t>Comprehensive loss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440" w:type="dxa"/>
            <w:vAlign w:val="bottom"/>
            <w:vMerge w:val="continue"/>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(5.3)</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(40.9)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35.6</w:t>
            </w:r>
          </w:p>
        </w:tc>
        <w:tc>
          <w:tcPr>
            <w:tcW w:w="1460" w:type="dxa"/>
            <w:vAlign w:val="bottom"/>
            <w:gridSpan w:val="3"/>
          </w:tcPr>
          <w:p>
            <w:pPr>
              <w:jc w:val="right"/>
              <w:ind w:right="40"/>
              <w:spacing w:after="0"/>
              <w:rPr>
                <w:sz w:val="20"/>
                <w:szCs w:val="20"/>
                <w:color w:val="auto"/>
              </w:rPr>
            </w:pPr>
            <w:r>
              <w:rPr>
                <w:rFonts w:ascii="Arial" w:cs="Arial" w:eastAsia="Arial" w:hAnsi="Arial"/>
                <w:sz w:val="20"/>
                <w:szCs w:val="20"/>
                <w:color w:val="auto"/>
              </w:rPr>
              <w:t>(87.0)%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6062345</wp:posOffset>
                </wp:positionH>
                <wp:positionV relativeFrom="paragraph">
                  <wp:posOffset>-2395855</wp:posOffset>
                </wp:positionV>
                <wp:extent cx="617220" cy="1460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146050"/>
                        </a:xfrm>
                        <a:prstGeom prst="rect">
                          <a:avLst/>
                        </a:prstGeom>
                        <a:solidFill>
                          <a:srgbClr val="E0E0E0"/>
                        </a:solidFill>
                      </wps:spPr>
                      <wps:bodyPr/>
                    </wps:wsp>
                  </a:graphicData>
                </a:graphic>
              </wp:anchor>
            </w:drawing>
          </mc:Choice>
          <mc:Fallback>
            <w:pict>
              <v:rect id="Shape 28" o:spid="_x0000_s1053" style="position:absolute;margin-left:477.35pt;margin-top:-188.6499pt;width:4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6679565</wp:posOffset>
                </wp:positionH>
                <wp:positionV relativeFrom="paragraph">
                  <wp:posOffset>-2402205</wp:posOffset>
                </wp:positionV>
                <wp:extent cx="178435" cy="1524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52400"/>
                        </a:xfrm>
                        <a:prstGeom prst="rect">
                          <a:avLst/>
                        </a:prstGeom>
                        <a:solidFill>
                          <a:srgbClr val="E0E0E0"/>
                        </a:solidFill>
                      </wps:spPr>
                      <wps:bodyPr/>
                    </wps:wsp>
                  </a:graphicData>
                </a:graphic>
              </wp:anchor>
            </w:drawing>
          </mc:Choice>
          <mc:Fallback>
            <w:pict>
              <v:rect id="Shape 29" o:spid="_x0000_s1054" style="position:absolute;margin-left:525.95pt;margin-top:-189.1499pt;width:14.0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92"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auto"/>
        </w:rPr>
        <w:t>Revenue was $403.1 million for the year ended December 31, 2023, compared to $289.4 million for the year ended December 31, 2022, an increase of $113.7 million or 39.3%. Revenue is comprised of transaction revenue and platform and usage-based fee revenue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85"/>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Change</w:t>
            </w: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line="174" w:lineRule="exact"/>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5"/>
              <w:spacing w:after="0" w:line="174"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E0E0E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Transaction revenue</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329.7</w:t>
            </w:r>
          </w:p>
        </w:tc>
        <w:tc>
          <w:tcPr>
            <w:tcW w:w="24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224.2</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105.5</w:t>
            </w:r>
          </w:p>
        </w:tc>
        <w:tc>
          <w:tcPr>
            <w:tcW w:w="200" w:type="dxa"/>
            <w:vAlign w:val="bottom"/>
            <w:shd w:val="clear" w:color="auto" w:fill="E0E0E0"/>
          </w:tcPr>
          <w:p>
            <w:pPr>
              <w:spacing w:after="0"/>
              <w:rPr>
                <w:sz w:val="19"/>
                <w:szCs w:val="19"/>
                <w:color w:val="auto"/>
              </w:rPr>
            </w:pPr>
          </w:p>
        </w:tc>
        <w:tc>
          <w:tcPr>
            <w:tcW w:w="126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Platform and usage-based fee revenue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E0E0E0"/>
          </w:tcPr>
          <w:p>
            <w:pPr>
              <w:ind w:left="280"/>
              <w:spacing w:after="0"/>
              <w:rPr>
                <w:sz w:val="20"/>
                <w:szCs w:val="20"/>
                <w:color w:val="auto"/>
              </w:rPr>
            </w:pPr>
            <w:r>
              <w:rPr>
                <w:rFonts w:ascii="Arial" w:cs="Arial" w:eastAsia="Arial" w:hAnsi="Arial"/>
                <w:sz w:val="20"/>
                <w:szCs w:val="20"/>
                <w:color w:val="auto"/>
              </w:rPr>
              <w:t>Revenue</w:t>
            </w:r>
          </w:p>
        </w:tc>
        <w:tc>
          <w:tcPr>
            <w:tcW w:w="140" w:type="dxa"/>
            <w:vAlign w:val="bottom"/>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0E0E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40" w:type="dxa"/>
            <w:vAlign w:val="bottom"/>
            <w:vMerge w:val="continue"/>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403.1</w:t>
            </w:r>
          </w:p>
        </w:tc>
        <w:tc>
          <w:tcPr>
            <w:tcW w:w="240" w:type="dxa"/>
            <w:vAlign w:val="bottom"/>
            <w:vMerge w:val="continue"/>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240" w:type="dxa"/>
            <w:vAlign w:val="bottom"/>
            <w:vMerge w:val="continue"/>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113.7</w:t>
            </w:r>
          </w:p>
        </w:tc>
        <w:tc>
          <w:tcPr>
            <w:tcW w:w="200" w:type="dxa"/>
            <w:vAlign w:val="bottom"/>
            <w:vMerge w:val="continue"/>
            <w:shd w:val="clear" w:color="auto" w:fill="E0E0E0"/>
          </w:tcPr>
          <w:p>
            <w:pPr>
              <w:spacing w:after="0"/>
              <w:rPr>
                <w:sz w:val="19"/>
                <w:szCs w:val="19"/>
                <w:color w:val="auto"/>
              </w:rPr>
            </w:pPr>
          </w:p>
        </w:tc>
        <w:tc>
          <w:tcPr>
            <w:tcW w:w="126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39.3%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6062345</wp:posOffset>
                </wp:positionH>
                <wp:positionV relativeFrom="paragraph">
                  <wp:posOffset>-472440</wp:posOffset>
                </wp:positionV>
                <wp:extent cx="666750"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146050"/>
                        </a:xfrm>
                        <a:prstGeom prst="rect">
                          <a:avLst/>
                        </a:prstGeom>
                        <a:solidFill>
                          <a:srgbClr val="E0E0E0"/>
                        </a:solidFill>
                      </wps:spPr>
                      <wps:bodyPr/>
                    </wps:wsp>
                  </a:graphicData>
                </a:graphic>
              </wp:anchor>
            </w:drawing>
          </mc:Choice>
          <mc:Fallback>
            <w:pict>
              <v:rect id="Shape 30" o:spid="_x0000_s1055" style="position:absolute;margin-left:477.35pt;margin-top:-37.1999pt;width:5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6062345</wp:posOffset>
                </wp:positionH>
                <wp:positionV relativeFrom="paragraph">
                  <wp:posOffset>-173990</wp:posOffset>
                </wp:positionV>
                <wp:extent cx="666750" cy="14541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145415"/>
                        </a:xfrm>
                        <a:prstGeom prst="rect">
                          <a:avLst/>
                        </a:prstGeom>
                        <a:solidFill>
                          <a:srgbClr val="E0E0E0"/>
                        </a:solidFill>
                      </wps:spPr>
                      <wps:bodyPr/>
                    </wps:wsp>
                  </a:graphicData>
                </a:graphic>
              </wp:anchor>
            </w:drawing>
          </mc:Choice>
          <mc:Fallback>
            <w:pict>
              <v:rect id="Shape 31" o:spid="_x0000_s1056" style="position:absolute;margin-left:477.35pt;margin-top:-13.6999pt;width:52.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ectPr>
          <w:pgSz w:w="12240" w:h="15840" w:orient="portrait"/>
          <w:cols w:equalWidth="0" w:num="1">
            <w:col w:w="10800"/>
          </w:cols>
          <w:pgMar w:left="720" w:top="1164" w:right="720" w:bottom="175"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10800"/>
          </w:cols>
          <w:pgMar w:left="720" w:top="1164" w:right="720" w:bottom="175" w:gutter="0" w:footer="0" w:header="0"/>
          <w:type w:val="continuous"/>
        </w:sectPr>
      </w:pPr>
    </w:p>
    <w:bookmarkStart w:id="92" w:name="page93"/>
    <w:bookmarkEnd w:id="92"/>
    <w:p>
      <w:pPr>
        <w:ind w:firstLine="490"/>
        <w:spacing w:after="0" w:line="247" w:lineRule="auto"/>
        <w:rPr>
          <w:sz w:val="20"/>
          <w:szCs w:val="20"/>
          <w:color w:val="auto"/>
        </w:rPr>
      </w:pPr>
      <w:r>
        <w:rPr>
          <w:rFonts w:ascii="Arial" w:cs="Arial" w:eastAsia="Arial" w:hAnsi="Arial"/>
          <w:sz w:val="20"/>
          <w:szCs w:val="20"/>
          <w:color w:val="auto"/>
        </w:rPr>
        <w:t>Transaction revenue was $329.7 million for the year ended December 31, 2023, compared to $224.2 million for the year ended December 31, 2022, an increase of $105.5 million or 47.1%. The increase in transaction revenue was primarily driven by growth in transaction payment volumes, from both our existing clients and new clients added during the year ended December 31, 2023. We experienced strong growth in payment volume across all regions and verticals during the period. Total payment volume increased approximately 33% during the year ended December 31, 2023 to over $24.0 billion. Our marketing services revenue increased as a result of our payments partners using more of our marketing services during the year ended December 31, 2023, compared to the year ended December 31, 2022.</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Platform and usage-based fee revenue was $73.4 million for the year ended December 31, 2023, compared to</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$65.2 million for the year ended December 31, 2022, an increase of $8.2 million or 12.6%. The increase in platform and</w:t>
      </w:r>
    </w:p>
    <w:p>
      <w:pPr>
        <w:spacing w:after="0"/>
        <w:rPr>
          <w:sz w:val="20"/>
          <w:szCs w:val="20"/>
          <w:color w:val="auto"/>
        </w:rPr>
      </w:pPr>
      <w:r>
        <w:rPr>
          <w:rFonts w:ascii="Arial" w:cs="Arial" w:eastAsia="Arial" w:hAnsi="Arial"/>
          <w:sz w:val="20"/>
          <w:szCs w:val="20"/>
          <w:color w:val="auto"/>
        </w:rPr>
        <w:t>usage-based fee revenue was attributable to increased usage by our clients and new clients signed during the year ended</w:t>
      </w:r>
    </w:p>
    <w:p>
      <w:pPr>
        <w:spacing w:after="0"/>
        <w:rPr>
          <w:sz w:val="20"/>
          <w:szCs w:val="20"/>
          <w:color w:val="auto"/>
        </w:rPr>
      </w:pPr>
      <w:r>
        <w:rPr>
          <w:rFonts w:ascii="Arial" w:cs="Arial" w:eastAsia="Arial" w:hAnsi="Arial"/>
          <w:sz w:val="20"/>
          <w:szCs w:val="20"/>
          <w:color w:val="auto"/>
        </w:rPr>
        <w:t>December 31, 2023, compared to the year ended December 31, 2022.</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Payment Processing Services Costs</w:t>
      </w:r>
    </w:p>
    <w:p>
      <w:pPr>
        <w:spacing w:after="0" w:line="192" w:lineRule="exact"/>
        <w:rPr>
          <w:sz w:val="20"/>
          <w:szCs w:val="20"/>
          <w:color w:val="auto"/>
        </w:rPr>
      </w:pPr>
    </w:p>
    <w:p>
      <w:pPr>
        <w:jc w:val="both"/>
        <w:ind w:right="20" w:firstLine="490"/>
        <w:spacing w:after="0" w:line="254" w:lineRule="auto"/>
        <w:rPr>
          <w:sz w:val="20"/>
          <w:szCs w:val="20"/>
          <w:color w:val="auto"/>
        </w:rPr>
      </w:pPr>
      <w:r>
        <w:rPr>
          <w:rFonts w:ascii="Arial" w:cs="Arial" w:eastAsia="Arial" w:hAnsi="Arial"/>
          <w:sz w:val="20"/>
          <w:szCs w:val="20"/>
          <w:color w:val="auto"/>
        </w:rPr>
        <w:t>Payment processing services costs were $147.3 million for the year ended December 31, 2023, compared to $107.9 million for the year ended December 31, 2022, an increase of $39.4 million or 36.5%. The increase in payment processing services costs is correlated with the increase in total payment volume of approximately 33% over the same period as well as increased use of credit cards, which have higher processing costs.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Technology and Development</w:t>
      </w:r>
    </w:p>
    <w:p>
      <w:pPr>
        <w:spacing w:after="0" w:line="192" w:lineRule="exact"/>
        <w:rPr>
          <w:sz w:val="20"/>
          <w:szCs w:val="20"/>
          <w:color w:val="auto"/>
        </w:rPr>
      </w:pPr>
    </w:p>
    <w:p>
      <w:pPr>
        <w:jc w:val="both"/>
        <w:ind w:right="280" w:firstLine="490"/>
        <w:spacing w:after="0" w:line="249" w:lineRule="auto"/>
        <w:rPr>
          <w:sz w:val="20"/>
          <w:szCs w:val="20"/>
          <w:color w:val="auto"/>
        </w:rPr>
      </w:pPr>
      <w:r>
        <w:rPr>
          <w:rFonts w:ascii="Arial" w:cs="Arial" w:eastAsia="Arial" w:hAnsi="Arial"/>
          <w:sz w:val="20"/>
          <w:szCs w:val="20"/>
          <w:color w:val="auto"/>
        </w:rPr>
        <w:t>Technology and development expenses were $62.0 million for the year ended December 31, 2023, compared to $50.3 million for the year ended December 31, 2022, an increase of $11.7 million or 23.3%. The increase in technology and development cost was primarily driven by an increase in personnel costs and stock-based compensation expense.</w:t>
      </w:r>
    </w:p>
    <w:p>
      <w:pPr>
        <w:ind w:right="140"/>
        <w:spacing w:after="0" w:line="243" w:lineRule="auto"/>
        <w:rPr>
          <w:sz w:val="20"/>
          <w:szCs w:val="20"/>
          <w:color w:val="auto"/>
        </w:rPr>
      </w:pPr>
      <w:r>
        <w:rPr>
          <w:rFonts w:ascii="Arial" w:cs="Arial" w:eastAsia="Arial" w:hAnsi="Arial"/>
          <w:sz w:val="20"/>
          <w:szCs w:val="20"/>
          <w:color w:val="auto"/>
        </w:rPr>
        <w:t>Personnel costs were $38.5 million for the year ended December 31, 2023, compared to $32.1 million for the year ended December 31, 2022, an increase of $6.4 million or 19.9%. The increase in personnel costs was primarily driven by an increase in headcount within our technology and development teams. Stock-based compensation expense was $9.3 million for the year ended December 31, 2023, compared to $4.9 million for the year ended December 31, 2022, an increase of $4.4 million or 89.8%. The increase in stock-based compensation is attributable to equity grants awarded to existing and new FlyMates.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and Marketing</w:t>
      </w:r>
    </w:p>
    <w:p>
      <w:pPr>
        <w:spacing w:after="0" w:line="192" w:lineRule="exact"/>
        <w:rPr>
          <w:sz w:val="20"/>
          <w:szCs w:val="20"/>
          <w:color w:val="auto"/>
        </w:rPr>
      </w:pPr>
    </w:p>
    <w:p>
      <w:pPr>
        <w:ind w:right="380" w:firstLine="490"/>
        <w:spacing w:after="0" w:line="258" w:lineRule="auto"/>
        <w:rPr>
          <w:sz w:val="20"/>
          <w:szCs w:val="20"/>
          <w:color w:val="auto"/>
        </w:rPr>
      </w:pPr>
      <w:r>
        <w:rPr>
          <w:rFonts w:ascii="Arial" w:cs="Arial" w:eastAsia="Arial" w:hAnsi="Arial"/>
          <w:sz w:val="19"/>
          <w:szCs w:val="19"/>
          <w:color w:val="auto"/>
        </w:rPr>
        <w:t>Selling and marketing expenses were $107.6 million for the year ended December 31, 2023, compared to $78.5 million for the year ended December 31, 2022, an increase of $29.1 million or 37.1%. The increase in selling and marketing expenses was primarily driven by an increase in personnel costs, professional fees, stock-based compensation, marketing costs, and amortization expense. Personnel costs were $57.0 million for the year ended December 31, 2023, compared to $44.5 million for the year ended December 31, 2022, an increase of $12.5 million or</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28.1%. The increase in personnel costs was primarily driven by an increase in headcount within our selling and marketing teams and commissions earned on sales during the period. Professional fees were $18.5 million for the year ended December 31, 2023, compared to $10.2 million for the year ended December 31, 2022, an increase of $8.3 million or</w:t>
      </w:r>
    </w:p>
    <w:p>
      <w:pPr>
        <w:ind w:right="20"/>
        <w:spacing w:after="0" w:line="241" w:lineRule="auto"/>
        <w:rPr>
          <w:sz w:val="20"/>
          <w:szCs w:val="20"/>
          <w:color w:val="auto"/>
        </w:rPr>
      </w:pPr>
      <w:r>
        <w:rPr>
          <w:rFonts w:ascii="Arial" w:cs="Arial" w:eastAsia="Arial" w:hAnsi="Arial"/>
          <w:sz w:val="20"/>
          <w:szCs w:val="20"/>
          <w:color w:val="auto"/>
        </w:rPr>
        <w:t>81.4%. The increase in professional fees was due to increases in third party commissions. Stock-based compensation was $12.0 million for the year ended December 31, 2023, compared to $7.9 million for the year ended December 31, 2022, an increase of $4.1 million or 51.9%. The increase in stock-based compensation is attributable to equity grants awarded to existing and new FlyMates. Marketing costs were $7.1 million for the year ended December 31, 2023, compared to $5.8 million for the year ended December 31, 2022, an increase of $1.3 million or 22.4%. The increase in marketing costs was due to increased marketing initiatives and hosted events. Amortization of intangible assets were $5.1 million during the year ended December 31, 2023, compared to $3.9 million for the year ended December 31, 2022, an increase of $1.2 million or 30.8%. The increase in amortization expense was due to acquired customer relationships related to the Cohort Go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General and administrative expenses were $107.6 million for the year ended December 31, 2023, compared to</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$82.9 million for the year ended December 31, 2022, an increase of $24.7 million or 29.8%. The increase in general and</w:t>
      </w:r>
    </w:p>
    <w:p>
      <w:pPr>
        <w:spacing w:after="0"/>
        <w:rPr>
          <w:sz w:val="20"/>
          <w:szCs w:val="20"/>
          <w:color w:val="auto"/>
        </w:rPr>
      </w:pPr>
      <w:r>
        <w:rPr>
          <w:rFonts w:ascii="Arial" w:cs="Arial" w:eastAsia="Arial" w:hAnsi="Arial"/>
          <w:sz w:val="20"/>
          <w:szCs w:val="20"/>
          <w:color w:val="auto"/>
        </w:rPr>
        <w:t>administrative expenses was primarily driven by an increase in personnel costs, stock-based compensation, professional</w:t>
      </w:r>
    </w:p>
    <w:p>
      <w:pPr>
        <w:spacing w:after="0"/>
        <w:rPr>
          <w:sz w:val="20"/>
          <w:szCs w:val="20"/>
          <w:color w:val="auto"/>
        </w:rPr>
      </w:pPr>
      <w:r>
        <w:rPr>
          <w:rFonts w:ascii="Arial" w:cs="Arial" w:eastAsia="Arial" w:hAnsi="Arial"/>
          <w:sz w:val="20"/>
          <w:szCs w:val="20"/>
          <w:color w:val="auto"/>
        </w:rPr>
        <w:t>fees, change in the fair value of contingent consideration, and software and hosting expenses. Personnel costs were</w:t>
      </w:r>
    </w:p>
    <w:p>
      <w:pPr>
        <w:spacing w:after="0"/>
        <w:rPr>
          <w:sz w:val="20"/>
          <w:szCs w:val="20"/>
          <w:color w:val="auto"/>
        </w:rPr>
      </w:pPr>
      <w:r>
        <w:rPr>
          <w:rFonts w:ascii="Arial" w:cs="Arial" w:eastAsia="Arial" w:hAnsi="Arial"/>
          <w:sz w:val="20"/>
          <w:szCs w:val="20"/>
          <w:color w:val="auto"/>
        </w:rPr>
        <w:t>$42.4 million for the year ended December 31, 2023, compared to $33.6 million for the year ended December 31, 2022,</w:t>
      </w:r>
    </w:p>
    <w:p>
      <w:pPr>
        <w:spacing w:after="0"/>
        <w:rPr>
          <w:sz w:val="20"/>
          <w:szCs w:val="20"/>
          <w:color w:val="auto"/>
        </w:rPr>
      </w:pPr>
      <w:r>
        <w:rPr>
          <w:rFonts w:ascii="Arial" w:cs="Arial" w:eastAsia="Arial" w:hAnsi="Arial"/>
          <w:sz w:val="20"/>
          <w:szCs w:val="20"/>
          <w:color w:val="auto"/>
        </w:rPr>
        <w:t>an increase of $8.8 million or 26.2%. The increase in personnel costs was primarily driven by an increase in headcount.</w:t>
      </w:r>
    </w:p>
    <w:p>
      <w:pPr>
        <w:sectPr>
          <w:pgSz w:w="12240" w:h="15840" w:orient="portrait"/>
          <w:cols w:equalWidth="0" w:num="1">
            <w:col w:w="10800"/>
          </w:cols>
          <w:pgMar w:left="720" w:top="1160" w:right="720" w:bottom="175"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10800"/>
          </w:cols>
          <w:pgMar w:left="720" w:top="1160" w:right="720" w:bottom="175" w:gutter="0" w:footer="0" w:header="0"/>
          <w:type w:val="continuous"/>
        </w:sectPr>
      </w:pPr>
    </w:p>
    <w:bookmarkStart w:id="93" w:name="page94"/>
    <w:bookmarkEnd w:id="93"/>
    <w:p>
      <w:pPr>
        <w:ind w:right="100"/>
        <w:spacing w:after="0" w:line="243" w:lineRule="auto"/>
        <w:rPr>
          <w:sz w:val="20"/>
          <w:szCs w:val="20"/>
          <w:color w:val="auto"/>
        </w:rPr>
      </w:pPr>
      <w:r>
        <w:rPr>
          <w:rFonts w:ascii="Arial" w:cs="Arial" w:eastAsia="Arial" w:hAnsi="Arial"/>
          <w:sz w:val="20"/>
          <w:szCs w:val="20"/>
          <w:color w:val="auto"/>
        </w:rPr>
        <w:t>Stock-based compensation was $22.5 million for the year ended December 31, 2023, compared to $17.5 million for the year ended December 31, 2022, an increase of $5.0 million or 28.6%. The increase in stock-based compensation is attributable to equity grants awarded to existing and new FlyMates. Professional fees were $14.8 million for the year ended December 31, 2023, compared to $11.1 million for the year ended December 31, 2022, an increase of $3.7 million or 33.3%. The increase in professional fees was due to increased legal, consulting and audit fees. Change in the fair value of contingent consideration related to acquisitions was $0.4 million for the year ended December 31, 2023, compared to $(2.8) million for the year ended December 31, 2022, an increase of $3.2 million or 114.3%. The increase in the fair value of contingent consideration was due to an increase in the fair value of contingent consideration related Cohort Go which was paid in the first quarter of 2023. Software and hosting expenses were $8.3 million for the year ended December 31, 2023, compared to $5.6 million for the year ended December 31, 2022, an increase of $2.7 million or 48.2%. The increase in software and hosting expenses was primarily related to increased hosting fees based on payment volumes growth and additional software needs based on headcount growth.</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2" w:lineRule="exact"/>
        <w:rPr>
          <w:sz w:val="20"/>
          <w:szCs w:val="20"/>
          <w:color w:val="auto"/>
        </w:rPr>
      </w:pPr>
    </w:p>
    <w:p>
      <w:pPr>
        <w:ind w:right="120" w:firstLine="490"/>
        <w:spacing w:after="0" w:line="247" w:lineRule="auto"/>
        <w:rPr>
          <w:sz w:val="20"/>
          <w:szCs w:val="20"/>
          <w:color w:val="auto"/>
        </w:rPr>
      </w:pPr>
      <w:r>
        <w:rPr>
          <w:rFonts w:ascii="Arial" w:cs="Arial" w:eastAsia="Arial" w:hAnsi="Arial"/>
          <w:sz w:val="20"/>
          <w:szCs w:val="20"/>
          <w:color w:val="auto"/>
        </w:rPr>
        <w:t>Interest expense was $0.4 million for the year ended December 31, 2023, compared to $1.2 million for the year ended December 31, 2022, a decrease of 0.8 million or 66.7%. During July 2021, we entered into a Revolving Credit Facility with three banks for a total commitment of $50.0 million. We drew $25.9 million on the Revolving Credit Facility and used the proceeds to early prepay the existing LSA of $25.0 million. During the year ended December 31, 2022, we repaid the $25.9 million outstanding under the Revolving Credit Facility, which resulted in no interest expense on debt for the year ended December 31, 2023. Interest expense for the year ended December 31, 2023 consists primarily of amortization of debt issuance cost and debt discount from our previous LSA.</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192" w:lineRule="exact"/>
        <w:rPr>
          <w:sz w:val="20"/>
          <w:szCs w:val="20"/>
          <w:color w:val="auto"/>
        </w:rPr>
      </w:pPr>
    </w:p>
    <w:p>
      <w:pPr>
        <w:ind w:right="320" w:firstLine="490"/>
        <w:spacing w:after="0" w:line="250" w:lineRule="auto"/>
        <w:rPr>
          <w:sz w:val="20"/>
          <w:szCs w:val="20"/>
          <w:color w:val="auto"/>
        </w:rPr>
      </w:pPr>
      <w:r>
        <w:rPr>
          <w:rFonts w:ascii="Arial" w:cs="Arial" w:eastAsia="Arial" w:hAnsi="Arial"/>
          <w:sz w:val="20"/>
          <w:szCs w:val="20"/>
          <w:color w:val="auto"/>
        </w:rPr>
        <w:t>Interest income was $13.3 million for the year ended December 31, 2023, compared to $3.2 million for the year ended December 31, 2022, an increase of $10.1 million or 315.6%. The increase in interest income was due to our investment in interest bearing accounts during the second quarter of 2022, an increase in yield earned from our investment in money market funds as interest rates increased during the year ended December 31, 2023, compared to the year ended December 31, 2022 and an increase in our cash balance.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(Loss) from Remeasurement of Foreign Currency</w:t>
      </w:r>
    </w:p>
    <w:p>
      <w:pPr>
        <w:spacing w:after="0" w:line="192"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Gain (loss) from remeasurement of foreign currency was $4.2 million for the year ended December 31, 2023, compared to $(9.2) million for the year ended December 31, 2022, an increase of $13.4 million or 145.7%. The increase was primarily the result of the remeasurement of foreign currency transactions into the British pound sterling and impact of fluctuations in exchange rates during respective remeasurement periods.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192" w:lineRule="exact"/>
        <w:rPr>
          <w:sz w:val="20"/>
          <w:szCs w:val="20"/>
          <w:color w:val="auto"/>
        </w:rPr>
      </w:pPr>
    </w:p>
    <w:p>
      <w:pPr>
        <w:ind w:right="220" w:firstLine="490"/>
        <w:spacing w:after="0" w:line="250" w:lineRule="auto"/>
        <w:rPr>
          <w:sz w:val="20"/>
          <w:szCs w:val="20"/>
          <w:color w:val="auto"/>
        </w:rPr>
      </w:pPr>
      <w:r>
        <w:rPr>
          <w:rFonts w:ascii="Arial" w:cs="Arial" w:eastAsia="Arial" w:hAnsi="Arial"/>
          <w:sz w:val="20"/>
          <w:szCs w:val="20"/>
          <w:color w:val="auto"/>
        </w:rPr>
        <w:t>Provision for income taxes was $4.2 million during the year ended December 31, 2023, compared to $2.0 million during the year ended December 31, 2022, an increase of $2.2 million or 110.0%. During the year ended December 31, 2023 and 2022, we recorded an income tax expense of $4.2 million and $2.0 million, respectively, which was primarily attributable to income taxes related to our profitable foreign subsidiaries and U.S. state taxes. Our effective tax rate was (96.8)% for the year ended December 31, 2023, compared to (5.4)% for the year ended December 31, 2022.</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10800"/>
          </w:cols>
          <w:pgMar w:left="720" w:top="1160" w:right="720" w:bottom="175"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Comparison of results for the years ended December 31, 2022 and 2021</w:t>
      </w:r>
    </w:p>
    <w:p>
      <w:pPr>
        <w:spacing w:after="0" w:line="196" w:lineRule="exact"/>
        <w:rPr>
          <w:sz w:val="20"/>
          <w:szCs w:val="20"/>
          <w:color w:val="auto"/>
        </w:rPr>
      </w:pPr>
    </w:p>
    <w:p>
      <w:pPr>
        <w:ind w:right="620" w:firstLine="490"/>
        <w:spacing w:after="0" w:line="282" w:lineRule="auto"/>
        <w:rPr>
          <w:sz w:val="20"/>
          <w:szCs w:val="20"/>
          <w:color w:val="auto"/>
        </w:rPr>
      </w:pPr>
      <w:r>
        <w:rPr>
          <w:rFonts w:ascii="Arial" w:cs="Arial" w:eastAsia="Arial" w:hAnsi="Arial"/>
          <w:sz w:val="20"/>
          <w:szCs w:val="20"/>
          <w:color w:val="auto"/>
        </w:rPr>
        <w:t>All dollar amounts in the tables below are rounded to the nearest million. As a result, certain amounts may not recalculate using the rounded amounts provided.</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sets forth our consolidated results of operations for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7"/>
                <w:szCs w:val="17"/>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 Change</w:t>
            </w:r>
          </w:p>
        </w:tc>
        <w:tc>
          <w:tcPr>
            <w:tcW w:w="200" w:type="dxa"/>
            <w:vAlign w:val="bottom"/>
            <w:gridSpan w:val="2"/>
            <w:vMerge w:val="restart"/>
          </w:tcPr>
          <w:p>
            <w:pPr>
              <w:spacing w:after="0"/>
              <w:rPr>
                <w:sz w:val="17"/>
                <w:szCs w:val="17"/>
                <w:color w:val="auto"/>
              </w:rPr>
            </w:pPr>
          </w:p>
        </w:tc>
        <w:tc>
          <w:tcPr>
            <w:tcW w:w="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 Change</w:t>
            </w: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82"/>
              <w:spacing w:after="0" w:line="174"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81"/>
              <w:spacing w:after="0" w:line="174" w:lineRule="exact"/>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E0E0E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E0E0E0"/>
            </w:tcBorders>
            <w:gridSpan w:val="2"/>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24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201.1</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88.3</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60" w:type="dxa"/>
            <w:vAlign w:val="bottom"/>
            <w:gridSpan w:val="2"/>
          </w:tcPr>
          <w:p>
            <w:pPr>
              <w:jc w:val="right"/>
              <w:ind w:right="100"/>
              <w:spacing w:after="0" w:line="220" w:lineRule="exact"/>
              <w:rPr>
                <w:sz w:val="20"/>
                <w:szCs w:val="20"/>
                <w:color w:val="auto"/>
              </w:rPr>
            </w:pPr>
            <w:r>
              <w:rPr>
                <w:rFonts w:ascii="Arial" w:cs="Arial" w:eastAsia="Arial" w:hAnsi="Arial"/>
                <w:sz w:val="20"/>
                <w:szCs w:val="20"/>
                <w:color w:val="auto"/>
              </w:rPr>
              <w:t>43.9%</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Payment processing services costs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53.7%</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Technology and development</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50.3</w:t>
            </w:r>
          </w:p>
        </w:tc>
        <w:tc>
          <w:tcPr>
            <w:tcW w:w="24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31.3</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19.0</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60.7%</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Selling and marketing</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53.0%</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General and administrative</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82.9</w:t>
            </w:r>
          </w:p>
        </w:tc>
        <w:tc>
          <w:tcPr>
            <w:tcW w:w="24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61.6</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21.3</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34.6%</w:t>
            </w:r>
          </w:p>
        </w:tc>
        <w:tc>
          <w:tcPr>
            <w:tcW w:w="0" w:type="dxa"/>
            <w:vAlign w:val="bottom"/>
          </w:tcPr>
          <w:p>
            <w:pPr>
              <w:spacing w:after="0"/>
              <w:rPr>
                <w:sz w:val="1"/>
                <w:szCs w:val="1"/>
                <w:color w:val="auto"/>
              </w:rPr>
            </w:pPr>
          </w:p>
        </w:tc>
      </w:tr>
      <w:tr>
        <w:trPr>
          <w:trHeight w:val="230"/>
        </w:trPr>
        <w:tc>
          <w:tcPr>
            <w:tcW w:w="5440" w:type="dxa"/>
            <w:vAlign w:val="bottom"/>
          </w:tcPr>
          <w:p>
            <w:pPr>
              <w:ind w:left="280"/>
              <w:spacing w:after="0"/>
              <w:rPr>
                <w:sz w:val="20"/>
                <w:szCs w:val="20"/>
                <w:color w:val="auto"/>
              </w:rPr>
            </w:pPr>
            <w:r>
              <w:rPr>
                <w:rFonts w:ascii="Arial" w:cs="Arial" w:eastAsia="Arial" w:hAnsi="Arial"/>
                <w:sz w:val="20"/>
                <w:szCs w:val="20"/>
                <w:color w:val="auto"/>
              </w:rPr>
              <w:t>Total costs and operating expense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214.4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49.1%</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Loss from operations</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(30.2)</w:t>
            </w:r>
          </w:p>
        </w:tc>
        <w:tc>
          <w:tcPr>
            <w:tcW w:w="24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(13.3)</w:t>
            </w:r>
          </w:p>
        </w:tc>
        <w:tc>
          <w:tcPr>
            <w:tcW w:w="14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(16.9)</w:t>
            </w: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127.1%</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Interest expense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(1.2)</w:t>
            </w: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(2.0)</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Change in fair value of preferred stock warrant liability</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(10.8)</w:t>
            </w: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10.8</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Interest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spacing w:after="0"/>
              <w:rPr>
                <w:sz w:val="20"/>
                <w:szCs w:val="20"/>
                <w:color w:val="auto"/>
              </w:rPr>
            </w:pPr>
            <w:r>
              <w:rPr>
                <w:rFonts w:ascii="Arial" w:cs="Arial" w:eastAsia="Arial" w:hAnsi="Arial"/>
                <w:sz w:val="20"/>
                <w:szCs w:val="20"/>
                <w:color w:val="auto"/>
              </w:rPr>
              <w:t>(Loss) gain from remeasurement of foreign currency</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(9.2)</w:t>
            </w:r>
          </w:p>
        </w:tc>
        <w:tc>
          <w:tcPr>
            <w:tcW w:w="24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0.1</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(9.3)</w:t>
            </w: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(9300.0)%</w:t>
            </w:r>
          </w:p>
        </w:tc>
        <w:tc>
          <w:tcPr>
            <w:tcW w:w="0" w:type="dxa"/>
            <w:vAlign w:val="bottom"/>
          </w:tcPr>
          <w:p>
            <w:pPr>
              <w:spacing w:after="0"/>
              <w:rPr>
                <w:sz w:val="1"/>
                <w:szCs w:val="1"/>
                <w:color w:val="auto"/>
              </w:rPr>
            </w:pPr>
          </w:p>
        </w:tc>
      </w:tr>
      <w:tr>
        <w:trPr>
          <w:trHeight w:val="230"/>
        </w:trPr>
        <w:tc>
          <w:tcPr>
            <w:tcW w:w="5440" w:type="dxa"/>
            <w:vAlign w:val="bottom"/>
          </w:tcPr>
          <w:p>
            <w:pPr>
              <w:ind w:left="280"/>
              <w:spacing w:after="0"/>
              <w:rPr>
                <w:sz w:val="20"/>
                <w:szCs w:val="20"/>
                <w:color w:val="auto"/>
              </w:rPr>
            </w:pPr>
            <w:r>
              <w:rPr>
                <w:rFonts w:ascii="Arial" w:cs="Arial" w:eastAsia="Arial" w:hAnsi="Arial"/>
                <w:sz w:val="20"/>
                <w:szCs w:val="20"/>
                <w:color w:val="auto"/>
              </w:rPr>
              <w:t>Total other income (expense),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(7.1)</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(12.7)</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(44.1)%</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Loss before provision for income taxes</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(37.4)</w:t>
            </w:r>
          </w:p>
        </w:tc>
        <w:tc>
          <w:tcPr>
            <w:tcW w:w="24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(25.9)</w:t>
            </w:r>
          </w:p>
        </w:tc>
        <w:tc>
          <w:tcPr>
            <w:tcW w:w="14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(11.5)</w:t>
            </w: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44.4%</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30"/>
        </w:trPr>
        <w:tc>
          <w:tcPr>
            <w:tcW w:w="54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Net loss</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(39.3)</w:t>
            </w:r>
          </w:p>
        </w:tc>
        <w:tc>
          <w:tcPr>
            <w:tcW w:w="24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(28.1)</w:t>
            </w:r>
          </w:p>
        </w:tc>
        <w:tc>
          <w:tcPr>
            <w:tcW w:w="14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(11.2)</w:t>
            </w:r>
          </w:p>
        </w:tc>
        <w:tc>
          <w:tcPr>
            <w:tcW w:w="1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39.9%</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Foreign currency translation adjustment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(1.5)</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(0.2)</w:t>
            </w: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650.0%</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E0E0E0"/>
          </w:tcPr>
          <w:p>
            <w:pPr>
              <w:spacing w:after="0"/>
              <w:rPr>
                <w:sz w:val="20"/>
                <w:szCs w:val="20"/>
                <w:color w:val="auto"/>
              </w:rPr>
            </w:pPr>
            <w:r>
              <w:rPr>
                <w:rFonts w:ascii="Arial" w:cs="Arial" w:eastAsia="Arial" w:hAnsi="Arial"/>
                <w:sz w:val="20"/>
                <w:szCs w:val="20"/>
                <w:color w:val="auto"/>
              </w:rPr>
              <w:t>Comprehensive loss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440" w:type="dxa"/>
            <w:vAlign w:val="bottom"/>
            <w:vMerge w:val="continue"/>
            <w:shd w:val="clear" w:color="auto" w:fill="E0E0E0"/>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(40.9)</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(28.3)</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(12.6)</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44.5%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6062345</wp:posOffset>
                </wp:positionH>
                <wp:positionV relativeFrom="paragraph">
                  <wp:posOffset>-2541905</wp:posOffset>
                </wp:positionV>
                <wp:extent cx="617220" cy="1460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146050"/>
                        </a:xfrm>
                        <a:prstGeom prst="rect">
                          <a:avLst/>
                        </a:prstGeom>
                        <a:solidFill>
                          <a:srgbClr val="E0E0E0"/>
                        </a:solidFill>
                      </wps:spPr>
                      <wps:bodyPr/>
                    </wps:wsp>
                  </a:graphicData>
                </a:graphic>
              </wp:anchor>
            </w:drawing>
          </mc:Choice>
          <mc:Fallback>
            <w:pict>
              <v:rect id="Shape 32" o:spid="_x0000_s1057" style="position:absolute;margin-left:477.35pt;margin-top:-200.1499pt;width:4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6679565</wp:posOffset>
                </wp:positionH>
                <wp:positionV relativeFrom="paragraph">
                  <wp:posOffset>-2548255</wp:posOffset>
                </wp:positionV>
                <wp:extent cx="178435" cy="1524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52400"/>
                        </a:xfrm>
                        <a:prstGeom prst="rect">
                          <a:avLst/>
                        </a:prstGeom>
                        <a:solidFill>
                          <a:srgbClr val="E0E0E0"/>
                        </a:solidFill>
                      </wps:spPr>
                      <wps:bodyPr/>
                    </wps:wsp>
                  </a:graphicData>
                </a:graphic>
              </wp:anchor>
            </w:drawing>
          </mc:Choice>
          <mc:Fallback>
            <w:pict>
              <v:rect id="Shape 33" o:spid="_x0000_s1058" style="position:absolute;margin-left:525.95pt;margin-top:-200.6499pt;width:14.0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3538855</wp:posOffset>
                </wp:positionH>
                <wp:positionV relativeFrom="paragraph">
                  <wp:posOffset>-198755</wp:posOffset>
                </wp:positionV>
                <wp:extent cx="697865" cy="17081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170815"/>
                        </a:xfrm>
                        <a:prstGeom prst="rect">
                          <a:avLst/>
                        </a:prstGeom>
                        <a:solidFill>
                          <a:srgbClr val="E0E0E0"/>
                        </a:solidFill>
                      </wps:spPr>
                      <wps:bodyPr/>
                    </wps:wsp>
                  </a:graphicData>
                </a:graphic>
              </wp:anchor>
            </w:drawing>
          </mc:Choice>
          <mc:Fallback>
            <w:pict>
              <v:rect id="Shape 34" o:spid="_x0000_s1059" style="position:absolute;margin-left:278.65pt;margin-top:-15.6499pt;width:54.95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4389120</wp:posOffset>
                </wp:positionH>
                <wp:positionV relativeFrom="paragraph">
                  <wp:posOffset>-198755</wp:posOffset>
                </wp:positionV>
                <wp:extent cx="697865" cy="17081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170815"/>
                        </a:xfrm>
                        <a:prstGeom prst="rect">
                          <a:avLst/>
                        </a:prstGeom>
                        <a:solidFill>
                          <a:srgbClr val="E0E0E0"/>
                        </a:solidFill>
                      </wps:spPr>
                      <wps:bodyPr/>
                    </wps:wsp>
                  </a:graphicData>
                </a:graphic>
              </wp:anchor>
            </w:drawing>
          </mc:Choice>
          <mc:Fallback>
            <w:pict>
              <v:rect id="Shape 35" o:spid="_x0000_s1060" style="position:absolute;margin-left:345.6pt;margin-top:-15.6499pt;width:54.95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5239385</wp:posOffset>
                </wp:positionH>
                <wp:positionV relativeFrom="paragraph">
                  <wp:posOffset>-198755</wp:posOffset>
                </wp:positionV>
                <wp:extent cx="685800" cy="17081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170815"/>
                        </a:xfrm>
                        <a:prstGeom prst="rect">
                          <a:avLst/>
                        </a:prstGeom>
                        <a:solidFill>
                          <a:srgbClr val="E0E0E0"/>
                        </a:solidFill>
                      </wps:spPr>
                      <wps:bodyPr/>
                    </wps:wsp>
                  </a:graphicData>
                </a:graphic>
              </wp:anchor>
            </w:drawing>
          </mc:Choice>
          <mc:Fallback>
            <w:pict>
              <v:rect id="Shape 36" o:spid="_x0000_s1061" style="position:absolute;margin-left:412.55pt;margin-top:-15.6499pt;width:54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6062345</wp:posOffset>
                </wp:positionH>
                <wp:positionV relativeFrom="paragraph">
                  <wp:posOffset>-198755</wp:posOffset>
                </wp:positionV>
                <wp:extent cx="617220" cy="17081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170815"/>
                        </a:xfrm>
                        <a:prstGeom prst="rect">
                          <a:avLst/>
                        </a:prstGeom>
                        <a:solidFill>
                          <a:srgbClr val="E0E0E0"/>
                        </a:solidFill>
                      </wps:spPr>
                      <wps:bodyPr/>
                    </wps:wsp>
                  </a:graphicData>
                </a:graphic>
              </wp:anchor>
            </w:drawing>
          </mc:Choice>
          <mc:Fallback>
            <w:pict>
              <v:rect id="Shape 37" o:spid="_x0000_s1062" style="position:absolute;margin-left:477.35pt;margin-top:-15.6499pt;width:48.6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6679565</wp:posOffset>
                </wp:positionH>
                <wp:positionV relativeFrom="paragraph">
                  <wp:posOffset>-205105</wp:posOffset>
                </wp:positionV>
                <wp:extent cx="178435" cy="1771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77165"/>
                        </a:xfrm>
                        <a:prstGeom prst="rect">
                          <a:avLst/>
                        </a:prstGeom>
                        <a:solidFill>
                          <a:srgbClr val="E0E0E0"/>
                        </a:solidFill>
                      </wps:spPr>
                      <wps:bodyPr/>
                    </wps:wsp>
                  </a:graphicData>
                </a:graphic>
              </wp:anchor>
            </w:drawing>
          </mc:Choice>
          <mc:Fallback>
            <w:pict>
              <v:rect id="Shape 38" o:spid="_x0000_s1063" style="position:absolute;margin-left:525.95pt;margin-top:-16.1499pt;width:14.0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92"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auto"/>
        </w:rPr>
        <w:t>Revenue was $289.4 million for the year ended December 31, 2022, compared to $201.1 million for the year ended December 31, 2021, an increase of $88.3 million or 43.9%. Revenue is comprised of transaction revenue and platform and usage-based fee revenue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85"/>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Change</w:t>
            </w: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line="174"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5"/>
              <w:spacing w:after="0" w:line="174" w:lineRule="exact"/>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E0E0E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Transaction revenue</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224.2</w:t>
            </w:r>
          </w:p>
        </w:tc>
        <w:tc>
          <w:tcPr>
            <w:tcW w:w="24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148.0</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76.2</w:t>
            </w:r>
          </w:p>
        </w:tc>
        <w:tc>
          <w:tcPr>
            <w:tcW w:w="200" w:type="dxa"/>
            <w:vAlign w:val="bottom"/>
            <w:shd w:val="clear" w:color="auto" w:fill="E0E0E0"/>
          </w:tcPr>
          <w:p>
            <w:pPr>
              <w:spacing w:after="0"/>
              <w:rPr>
                <w:sz w:val="19"/>
                <w:szCs w:val="19"/>
                <w:color w:val="auto"/>
              </w:rPr>
            </w:pPr>
          </w:p>
        </w:tc>
        <w:tc>
          <w:tcPr>
            <w:tcW w:w="126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Platform and usage-based fee revenue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12.1</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22.8%</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E0E0E0"/>
          </w:tcPr>
          <w:p>
            <w:pPr>
              <w:ind w:left="280"/>
              <w:spacing w:after="0"/>
              <w:rPr>
                <w:sz w:val="20"/>
                <w:szCs w:val="20"/>
                <w:color w:val="auto"/>
              </w:rPr>
            </w:pPr>
            <w:r>
              <w:rPr>
                <w:rFonts w:ascii="Arial" w:cs="Arial" w:eastAsia="Arial" w:hAnsi="Arial"/>
                <w:sz w:val="20"/>
                <w:szCs w:val="20"/>
                <w:color w:val="auto"/>
              </w:rPr>
              <w:t>Revenue</w:t>
            </w:r>
          </w:p>
        </w:tc>
        <w:tc>
          <w:tcPr>
            <w:tcW w:w="140" w:type="dxa"/>
            <w:vAlign w:val="bottom"/>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0E0E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40" w:type="dxa"/>
            <w:vAlign w:val="bottom"/>
            <w:vMerge w:val="continue"/>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289.4</w:t>
            </w:r>
          </w:p>
        </w:tc>
        <w:tc>
          <w:tcPr>
            <w:tcW w:w="240" w:type="dxa"/>
            <w:vAlign w:val="bottom"/>
            <w:vMerge w:val="continue"/>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201.1</w:t>
            </w:r>
          </w:p>
        </w:tc>
        <w:tc>
          <w:tcPr>
            <w:tcW w:w="240" w:type="dxa"/>
            <w:vAlign w:val="bottom"/>
            <w:vMerge w:val="continue"/>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88.3</w:t>
            </w:r>
          </w:p>
        </w:tc>
        <w:tc>
          <w:tcPr>
            <w:tcW w:w="200" w:type="dxa"/>
            <w:vAlign w:val="bottom"/>
            <w:vMerge w:val="continue"/>
            <w:shd w:val="clear" w:color="auto" w:fill="E0E0E0"/>
          </w:tcPr>
          <w:p>
            <w:pPr>
              <w:spacing w:after="0"/>
              <w:rPr>
                <w:sz w:val="19"/>
                <w:szCs w:val="19"/>
                <w:color w:val="auto"/>
              </w:rPr>
            </w:pPr>
          </w:p>
        </w:tc>
        <w:tc>
          <w:tcPr>
            <w:tcW w:w="126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43.9%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6062345</wp:posOffset>
                </wp:positionH>
                <wp:positionV relativeFrom="paragraph">
                  <wp:posOffset>-472440</wp:posOffset>
                </wp:positionV>
                <wp:extent cx="666750" cy="14605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146050"/>
                        </a:xfrm>
                        <a:prstGeom prst="rect">
                          <a:avLst/>
                        </a:prstGeom>
                        <a:solidFill>
                          <a:srgbClr val="E0E0E0"/>
                        </a:solidFill>
                      </wps:spPr>
                      <wps:bodyPr/>
                    </wps:wsp>
                  </a:graphicData>
                </a:graphic>
              </wp:anchor>
            </w:drawing>
          </mc:Choice>
          <mc:Fallback>
            <w:pict>
              <v:rect id="Shape 39" o:spid="_x0000_s1064" style="position:absolute;margin-left:477.35pt;margin-top:-37.1999pt;width:5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6062345</wp:posOffset>
                </wp:positionH>
                <wp:positionV relativeFrom="paragraph">
                  <wp:posOffset>-173990</wp:posOffset>
                </wp:positionV>
                <wp:extent cx="666750" cy="14541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145415"/>
                        </a:xfrm>
                        <a:prstGeom prst="rect">
                          <a:avLst/>
                        </a:prstGeom>
                        <a:solidFill>
                          <a:srgbClr val="E0E0E0"/>
                        </a:solidFill>
                      </wps:spPr>
                      <wps:bodyPr/>
                    </wps:wsp>
                  </a:graphicData>
                </a:graphic>
              </wp:anchor>
            </w:drawing>
          </mc:Choice>
          <mc:Fallback>
            <w:pict>
              <v:rect id="Shape 40" o:spid="_x0000_s1065" style="position:absolute;margin-left:477.35pt;margin-top:-13.6999pt;width:52.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61"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Transaction revenue was $224.2 million for the year ended December 31, 2022, compared to $148.0 million for the year ended December 31, 2021, an increase of $76.2 million or 51.5%. The increase in transaction revenue was primarily driven by growth in transaction payment volumes, from both our existing clients and new clients added during the year ended December 31, 2022. We experienced strong growth in payment volume across all regions and verticals during the period. Total payment volume increased approximately 37% during the year ended December 31, 2022 to $18.1 billion. Our marketing services revenue increased as a result of our payments partners using more of our marketing services during the year ended December 31, 2022, compared to the year ended December 31, 2021.</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Platform and usage-based fee revenue was $65.2 million for the year ended December 31, 2022, compared to</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$53.1 million for the year ended December 31, 2021, an increase of $12.1 million or 22.8%. The increase in platform and</w:t>
      </w:r>
    </w:p>
    <w:p>
      <w:pPr>
        <w:spacing w:after="0"/>
        <w:rPr>
          <w:sz w:val="20"/>
          <w:szCs w:val="20"/>
          <w:color w:val="auto"/>
        </w:rPr>
      </w:pPr>
      <w:r>
        <w:rPr>
          <w:rFonts w:ascii="Arial" w:cs="Arial" w:eastAsia="Arial" w:hAnsi="Arial"/>
          <w:sz w:val="20"/>
          <w:szCs w:val="20"/>
          <w:color w:val="auto"/>
        </w:rPr>
        <w:t>usage-based fee revenue was primarily driven by the WPM and Cohort Go acquisitions, which accounted for a $9.7</w:t>
      </w:r>
    </w:p>
    <w:p>
      <w:pPr>
        <w:spacing w:after="0"/>
        <w:rPr>
          <w:sz w:val="20"/>
          <w:szCs w:val="20"/>
          <w:color w:val="auto"/>
        </w:rPr>
      </w:pPr>
      <w:r>
        <w:rPr>
          <w:rFonts w:ascii="Arial" w:cs="Arial" w:eastAsia="Arial" w:hAnsi="Arial"/>
          <w:sz w:val="20"/>
          <w:szCs w:val="20"/>
          <w:color w:val="auto"/>
        </w:rPr>
        <w:t>million increase over 2021. The remainder of the increase was attributable to increased usage by our clients and new</w:t>
      </w:r>
    </w:p>
    <w:p>
      <w:pPr>
        <w:spacing w:after="0"/>
        <w:rPr>
          <w:sz w:val="20"/>
          <w:szCs w:val="20"/>
          <w:color w:val="auto"/>
        </w:rPr>
      </w:pPr>
      <w:r>
        <w:rPr>
          <w:rFonts w:ascii="Arial" w:cs="Arial" w:eastAsia="Arial" w:hAnsi="Arial"/>
          <w:sz w:val="20"/>
          <w:szCs w:val="20"/>
          <w:color w:val="auto"/>
        </w:rPr>
        <w:t>clients signed during the year ended December 31, 2022.</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Payment Processing Services Costs</w:t>
      </w:r>
    </w:p>
    <w:p>
      <w:pPr>
        <w:spacing w:after="0" w:line="192"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Payment processing services costs were $107.9 million for the year ended December 31, 2022, compared to $70.2 million for the year ended December 31, 2021, an increase of $37.7 million or 53.7%. The increase in payment processing services costs is correlated with the increase in total payment volume of approximately 37% over the same period as well as increased use of credit cards, which have higher processing costs.</w:t>
      </w:r>
    </w:p>
    <w:p>
      <w:pPr>
        <w:sectPr>
          <w:pgSz w:w="12240" w:h="15840" w:orient="portrait"/>
          <w:cols w:equalWidth="0" w:num="1">
            <w:col w:w="10800"/>
          </w:cols>
          <w:pgMar w:left="720" w:top="1164" w:right="720" w:bottom="175"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2240" w:h="15840" w:orient="portrait"/>
          <w:cols w:equalWidth="0" w:num="1">
            <w:col w:w="10800"/>
          </w:cols>
          <w:pgMar w:left="720" w:top="1164" w:right="720" w:bottom="175"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i w:val="1"/>
          <w:iCs w:val="1"/>
          <w:color w:val="auto"/>
        </w:rPr>
        <w:t>Technology and Development</w:t>
      </w:r>
    </w:p>
    <w:p>
      <w:pPr>
        <w:spacing w:after="0" w:line="19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Technology and development expenses were $50.3 million for the year ended December 31, 2022, compared to $31.3 million for the year ended December 31, 2021, an increase of $19.0 million or 60.7%. The increase in technology and development cost was primarily driven by an increase in personnel costs, stock-based compensation expense, amortization expense, and software and hosting expenses. Personnel costs were $32.1 million for the year ended December 31, 2022, compared to $18.3 million for the year ended December 31, 2021, an increase of $13.8 million or 75.4%. The increase in personnel costs was primarily driven by an increase in headcount within our technology and development teams. Stock-based compensation expense was $4.9 million for the year ended December 31, 2022, compared to $2.5 million for the year ended December 31, 2021, an increase of $2.4 million or 96.0%. The increase in stock-based compensation is attributable to equity grants awarded to existing and new FlyMates. Amortization of intangible assets was $6.3 million for the year ended December 31, 2022, compared to $5.0 million for the year ended December 31, 2021, an increase of $1.3 million or 26.0%. The increase in amortization expense was due to acquired relationships related to the WPM and Cohort Go acquisitions. Software and hosting expenses was $4.6 million for the year ended December 31, 2022, compared to $3.9 million for the year ended December 31, 2021, an increase of $0.7 million or 17.9%. The increase in software and hosting expenses was primarily related to increased hosting fees based on payment volumes growth and additional software needs based on headcount growth.</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and Marketing</w:t>
      </w:r>
    </w:p>
    <w:p>
      <w:pPr>
        <w:spacing w:after="0" w:line="192" w:lineRule="exact"/>
        <w:rPr>
          <w:sz w:val="20"/>
          <w:szCs w:val="20"/>
          <w:color w:val="auto"/>
        </w:rPr>
      </w:pPr>
    </w:p>
    <w:p>
      <w:pPr>
        <w:ind w:right="80" w:firstLine="490"/>
        <w:spacing w:after="0" w:line="255" w:lineRule="auto"/>
        <w:rPr>
          <w:sz w:val="20"/>
          <w:szCs w:val="20"/>
          <w:color w:val="auto"/>
        </w:rPr>
      </w:pPr>
      <w:r>
        <w:rPr>
          <w:rFonts w:ascii="Arial" w:cs="Arial" w:eastAsia="Arial" w:hAnsi="Arial"/>
          <w:sz w:val="19"/>
          <w:szCs w:val="19"/>
          <w:color w:val="auto"/>
        </w:rPr>
        <w:t>Selling and marketing expenses were $78.5 million for the year ended December 31, 2022, compared to $51.3 million for the year ended December 31, 2021, an increase of $27.2 million or 53.0%. The increase in selling and marketing expenses was primarily driven by an increase in personnel costs, professional fees, stock-based compensation, marketing costs, travel related expenses, amortization expense and software and hosting expenses. Personnel costs were $44.5 million for the year ended December 31, 2022, compared to $31.7 million for the year ended December 31, 2021, an increase of $12.8 million or 40.4%. The increase in personnel costs was primarily driven by an increase in headcount within our selling and marketing teams and commissions earned on sales during the period. Professional fee expenses were $10.2 million for the year ended December 31, 2022, compared to $4.9 million for the year ended December 31, 2021, an increase of $5.3 million or 108.2%. The increase in professional fees was due to increases in third party commissions and consulting fees. Stock-based compensation was $7.9 million for the year ended December 31, 2022, compared to $5.2 million for the year ended December 31, 2021, an increase of $2.7 million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51.9%. The increase in stock-based compensation is attributable to equity grants awarded to existing and new FlyMates.</w:t>
      </w:r>
    </w:p>
    <w:p>
      <w:pPr>
        <w:spacing w:after="0"/>
        <w:rPr>
          <w:sz w:val="20"/>
          <w:szCs w:val="20"/>
          <w:color w:val="auto"/>
        </w:rPr>
      </w:pPr>
      <w:r>
        <w:rPr>
          <w:rFonts w:ascii="Arial" w:cs="Arial" w:eastAsia="Arial" w:hAnsi="Arial"/>
          <w:sz w:val="20"/>
          <w:szCs w:val="20"/>
          <w:color w:val="auto"/>
        </w:rPr>
        <w:t>Marketing costs were $5.8 million during the year ended December 31, 2022, compared to $4.0 million for the year ended</w:t>
      </w:r>
    </w:p>
    <w:p>
      <w:pPr>
        <w:spacing w:after="0"/>
        <w:rPr>
          <w:sz w:val="20"/>
          <w:szCs w:val="20"/>
          <w:color w:val="auto"/>
        </w:rPr>
      </w:pPr>
      <w:r>
        <w:rPr>
          <w:rFonts w:ascii="Arial" w:cs="Arial" w:eastAsia="Arial" w:hAnsi="Arial"/>
          <w:sz w:val="20"/>
          <w:szCs w:val="20"/>
          <w:color w:val="auto"/>
        </w:rPr>
        <w:t>December 31, 2021, an increase of $1.8 million or 45.0%. The increase in marketing costs was due to increased</w:t>
      </w:r>
    </w:p>
    <w:p>
      <w:pPr>
        <w:spacing w:after="0"/>
        <w:rPr>
          <w:sz w:val="20"/>
          <w:szCs w:val="20"/>
          <w:color w:val="auto"/>
        </w:rPr>
      </w:pPr>
      <w:r>
        <w:rPr>
          <w:rFonts w:ascii="Arial" w:cs="Arial" w:eastAsia="Arial" w:hAnsi="Arial"/>
          <w:sz w:val="20"/>
          <w:szCs w:val="20"/>
          <w:color w:val="auto"/>
        </w:rPr>
        <w:t>marketing initiatives and hosted events. Travel expenses were $2.4 million during the year ended December 31, 2022,</w:t>
      </w:r>
    </w:p>
    <w:p>
      <w:pPr>
        <w:spacing w:after="0"/>
        <w:rPr>
          <w:sz w:val="20"/>
          <w:szCs w:val="20"/>
          <w:color w:val="auto"/>
        </w:rPr>
      </w:pPr>
      <w:r>
        <w:rPr>
          <w:rFonts w:ascii="Arial" w:cs="Arial" w:eastAsia="Arial" w:hAnsi="Arial"/>
          <w:sz w:val="20"/>
          <w:szCs w:val="20"/>
          <w:color w:val="auto"/>
        </w:rPr>
        <w:t>compared to $0.8 million for the year ended December 31, 2021, an increase of $1.6 million or 200.0%. Higher travel</w:t>
      </w:r>
    </w:p>
    <w:p>
      <w:pPr>
        <w:spacing w:after="0"/>
        <w:rPr>
          <w:sz w:val="20"/>
          <w:szCs w:val="20"/>
          <w:color w:val="auto"/>
        </w:rPr>
      </w:pPr>
      <w:r>
        <w:rPr>
          <w:rFonts w:ascii="Arial" w:cs="Arial" w:eastAsia="Arial" w:hAnsi="Arial"/>
          <w:sz w:val="20"/>
          <w:szCs w:val="20"/>
          <w:color w:val="auto"/>
        </w:rPr>
        <w:t>expenses were due to increased client engagement and FlyMate collaboration. Amortization of intangible assets were</w:t>
      </w:r>
    </w:p>
    <w:p>
      <w:pPr>
        <w:spacing w:after="0"/>
        <w:rPr>
          <w:sz w:val="20"/>
          <w:szCs w:val="20"/>
          <w:color w:val="auto"/>
        </w:rPr>
      </w:pPr>
      <w:r>
        <w:rPr>
          <w:rFonts w:ascii="Arial" w:cs="Arial" w:eastAsia="Arial" w:hAnsi="Arial"/>
          <w:sz w:val="20"/>
          <w:szCs w:val="20"/>
          <w:color w:val="auto"/>
        </w:rPr>
        <w:t>$3.9 million during the year ended December 31, 2022, compared to $2.4 million for the year ended December 31, 2021,</w:t>
      </w:r>
    </w:p>
    <w:p>
      <w:pPr>
        <w:spacing w:after="0"/>
        <w:rPr>
          <w:sz w:val="20"/>
          <w:szCs w:val="20"/>
          <w:color w:val="auto"/>
        </w:rPr>
      </w:pPr>
      <w:r>
        <w:rPr>
          <w:rFonts w:ascii="Arial" w:cs="Arial" w:eastAsia="Arial" w:hAnsi="Arial"/>
          <w:sz w:val="20"/>
          <w:szCs w:val="20"/>
          <w:color w:val="auto"/>
        </w:rPr>
        <w:t>an increase of $1.5 million or 62.5%. The increase in amortization expense was due to acquired customer relationships</w:t>
      </w:r>
    </w:p>
    <w:p>
      <w:pPr>
        <w:spacing w:after="0"/>
        <w:rPr>
          <w:sz w:val="20"/>
          <w:szCs w:val="20"/>
          <w:color w:val="auto"/>
        </w:rPr>
      </w:pPr>
      <w:r>
        <w:rPr>
          <w:rFonts w:ascii="Arial" w:cs="Arial" w:eastAsia="Arial" w:hAnsi="Arial"/>
          <w:sz w:val="20"/>
          <w:szCs w:val="20"/>
          <w:color w:val="auto"/>
        </w:rPr>
        <w:t>related to the WPM and Cohort Go acquisitions. Software and hosting expenses was $2.0 million for the year ended</w:t>
      </w:r>
    </w:p>
    <w:p>
      <w:pPr>
        <w:spacing w:after="0"/>
        <w:rPr>
          <w:sz w:val="20"/>
          <w:szCs w:val="20"/>
          <w:color w:val="auto"/>
        </w:rPr>
      </w:pPr>
      <w:r>
        <w:rPr>
          <w:rFonts w:ascii="Arial" w:cs="Arial" w:eastAsia="Arial" w:hAnsi="Arial"/>
          <w:sz w:val="20"/>
          <w:szCs w:val="20"/>
          <w:color w:val="auto"/>
        </w:rPr>
        <w:t>December 31, 2022, compared to $1.1 million for the year ended December 31, 2021, an increase of $0.9 million or</w:t>
      </w:r>
    </w:p>
    <w:p>
      <w:pPr>
        <w:ind w:right="40"/>
        <w:spacing w:after="0" w:line="255" w:lineRule="auto"/>
        <w:rPr>
          <w:sz w:val="20"/>
          <w:szCs w:val="20"/>
          <w:color w:val="auto"/>
        </w:rPr>
      </w:pPr>
      <w:r>
        <w:rPr>
          <w:rFonts w:ascii="Arial" w:cs="Arial" w:eastAsia="Arial" w:hAnsi="Arial"/>
          <w:sz w:val="20"/>
          <w:szCs w:val="20"/>
          <w:color w:val="auto"/>
        </w:rPr>
        <w:t>81.8%. The increase in software and hosting expenses was primarily related to increased hosting fees based on payment volumes growth and additional software needs based on headcount growth.</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General and Administrative</w:t>
      </w:r>
    </w:p>
    <w:p>
      <w:pPr>
        <w:spacing w:after="0" w:line="192"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General and administrative expenses were $82.9 million for the year ended December 31, 2022, compared to $61.6 million for the year ended December 31, 2021, an increase of $21.3 million or 34.6%. The increase in general and administrative expenses was primarily driven by an increase in personnel costs, stock-based compensation, professional fees, general and administrative expenses, software and hosting expenses, other costs, and travel related expenses, offset by a change in the fair value of contingent consideration. Personnel costs were $33.6 million for the year ended December 31, 2022, compared to $23.7 million for the year ended December 31, 2021, an increase of $9.9 million or</w:t>
      </w:r>
    </w:p>
    <w:p>
      <w:pPr>
        <w:spacing w:after="0" w:line="3"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41.8%. The increase in personnel costs was primarily driven by an increase in headcount. Stock-based compensation was $17.5 million for the year ended December 31, 2022, compared to $11.3 million for the year ended December 31, 2021, an increase of $6.2 million or 54.9%. The increase in stock-based compensation is attributable to equity grants awarded to existing and new FlyMates. Professional fees were $11.1 million for the year ended December 31, 2022, compared to $7.2 million for the year ended December 31, 2021, an increase of $3.9 million or 54.2%. The increase in professional fees was due to increased legal and audit fees as a result of becoming a public company in May 2021. General and administrative costs were $5.7 million for the year ended December 31, 2022, compared to $3.8 million for</w:t>
      </w:r>
    </w:p>
    <w:p>
      <w:pPr>
        <w:sectPr>
          <w:pgSz w:w="12240" w:h="15840" w:orient="portrait"/>
          <w:cols w:equalWidth="0" w:num="1">
            <w:col w:w="10760"/>
          </w:cols>
          <w:pgMar w:left="720" w:top="1168" w:right="760" w:bottom="175"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10760"/>
          </w:cols>
          <w:pgMar w:left="720" w:top="1168" w:right="760" w:bottom="175" w:gutter="0" w:footer="0" w:header="0"/>
          <w:type w:val="continuous"/>
        </w:sectPr>
      </w:pPr>
    </w:p>
    <w:bookmarkStart w:id="96" w:name="page97"/>
    <w:bookmarkEnd w:id="96"/>
    <w:p>
      <w:pPr>
        <w:ind w:right="160"/>
        <w:spacing w:after="0" w:line="259" w:lineRule="auto"/>
        <w:rPr>
          <w:sz w:val="20"/>
          <w:szCs w:val="20"/>
          <w:color w:val="auto"/>
        </w:rPr>
      </w:pPr>
      <w:r>
        <w:rPr>
          <w:rFonts w:ascii="Arial" w:cs="Arial" w:eastAsia="Arial" w:hAnsi="Arial"/>
          <w:sz w:val="19"/>
          <w:szCs w:val="19"/>
          <w:color w:val="auto"/>
        </w:rPr>
        <w:t>the year ended December 31, 2021, an increase of $1.9 million or 50.0%. The increase in general and administrative costs was primarily due to increased insurance costs as a public company, and additional insurance obligations incurred as a result of the WPM and Cohort Go acquisitions. Software and hosting expenses were $5.6 million for the year ended December 31, 2022, compared to $3.8 million for the year ended December 31, 2021, an increase of $1.8 million or</w:t>
      </w:r>
    </w:p>
    <w:p>
      <w:pPr>
        <w:spacing w:after="0" w:line="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47.4%. The increase in software and hosting expenses was primarily related to increased hosting fees based on payment volumes growth and additional software needs based on headcount growth. Other costs were $4.2 million for the year ended December 31, 2022, compared to $3.0 million for the year ended December 31, 2021, an increase of $1.2 million or 40.0%. The increase in other costs is primarily due to increased hedging fees related to increase in total payment volume and indirect taxes recorded during the period. Travel expenses were $1.4 million during the year ended December 31, 2022, compared to $0.5 million for the year ended December 31, 2021, an increase of $0.9 million or 180.0%. Higher travel expenses were due to increased client engagement and FlyMate collaboration. The change in the fair value of contingent consideration related to acquisitions was $(2.8) million for the year ended December 31, 2022, compared to $2.3 million for the year ended December 31, 2021, a decrease of $5.1 million or 221.7%.</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2" w:lineRule="exact"/>
        <w:rPr>
          <w:sz w:val="20"/>
          <w:szCs w:val="20"/>
          <w:color w:val="auto"/>
        </w:rPr>
      </w:pPr>
    </w:p>
    <w:p>
      <w:pPr>
        <w:ind w:right="140" w:firstLine="490"/>
        <w:spacing w:after="0" w:line="247" w:lineRule="auto"/>
        <w:rPr>
          <w:sz w:val="20"/>
          <w:szCs w:val="20"/>
          <w:color w:val="auto"/>
        </w:rPr>
      </w:pPr>
      <w:r>
        <w:rPr>
          <w:rFonts w:ascii="Arial" w:cs="Arial" w:eastAsia="Arial" w:hAnsi="Arial"/>
          <w:sz w:val="20"/>
          <w:szCs w:val="20"/>
          <w:color w:val="auto"/>
        </w:rPr>
        <w:t>Interest expense was $1.2 million for the year ended December 31, 2022, compared to $2.0 million for the year ended December 31, 2021, a decrease of 0.8 million or 40.0%. During July 2021, we entered into a Revolving Credit Facility with three banks for a total commitment of $50.0 million. We drew $25.9 million on the Revolving Credit Facility and used the proceeds to early prepay the existing LSA of $25.0 million, which resulted in a new interest rate per year. During the year ended December 31, 2022, we repaid the $25.9 million outstanding under the Revolving Credit Facility. Following the repayment, we continued to have access to a total commitment of $50.0 million under the Revolving Credit Facility.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Fair Value of Preferred Stock Warrant Liability</w:t>
      </w:r>
    </w:p>
    <w:p>
      <w:pPr>
        <w:spacing w:after="0" w:line="192"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Change in fair value of preferred stock warrant liability was $0 for the year ended December 31, 2022, compared to $10.8 million for the year ended December 31, 2021, a decrease of $10.8 million or 100%. Upon the completion of our IPO, all preferred stock warrants were either fully exercised or converted to warrants to purchase common stock. As a result, we no longer recognize the change in fair value of preferred stock warrant liability in our consolidated statements of operations and comprehensive loss.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192"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Interest income was $3.2 million for the year ended December 31, 2022, compared to $0 for the year ended December 31, 2021, an increase of $3.2 million or 100.0%. The increase in interest income was due to our investment in interest bearing accounts during the second quarter of 2022.</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Gain from Remeasurement of Foreign Currency</w:t>
      </w:r>
    </w:p>
    <w:p>
      <w:pPr>
        <w:spacing w:after="0" w:line="192"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(Loss) gain from remeasurement of foreign currency was $(9.2) million for the year ended December 31, 2022, compared to $0.1 million for the year ended December 31, 2021, a decrease of $9.3 million. The decrease was primarily the result of the remeasurement of foreign currency transactions into the British pound sterling and impact of fluctuations in exchange rates during respective remeasurement periods.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232" w:lineRule="exact"/>
        <w:rPr>
          <w:sz w:val="20"/>
          <w:szCs w:val="20"/>
          <w:color w:val="auto"/>
        </w:rPr>
      </w:pPr>
    </w:p>
    <w:p>
      <w:pPr>
        <w:ind w:right="200" w:firstLine="490"/>
        <w:spacing w:after="0" w:line="250" w:lineRule="auto"/>
        <w:rPr>
          <w:sz w:val="20"/>
          <w:szCs w:val="20"/>
          <w:color w:val="auto"/>
        </w:rPr>
      </w:pPr>
      <w:r>
        <w:rPr>
          <w:rFonts w:ascii="Arial" w:cs="Arial" w:eastAsia="Arial" w:hAnsi="Arial"/>
          <w:sz w:val="20"/>
          <w:szCs w:val="20"/>
          <w:color w:val="auto"/>
        </w:rPr>
        <w:t>Provision for income taxes was $2.0 million during the year ended December 31, 2022, compared to $ 2.2 million during the year ended December 31, 2021, a decrease of $(0.2) million or 9.1%. During the year ended December 31, 2022 and 2021, we recorded an income tax expense of $2.0 million and $2.2 million, respectively, which was primarily attributable to income taxes related to our profitable foreign subsidiaries and U.S. state taxes. Our effective tax rate was (5.4)% for the year ended December 31, 2022, compared to (8.3)% for the year ended December 31, 2021.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04" w:lineRule="exact"/>
        <w:rPr>
          <w:sz w:val="20"/>
          <w:szCs w:val="20"/>
          <w:color w:val="auto"/>
        </w:rPr>
      </w:pPr>
    </w:p>
    <w:p>
      <w:pPr>
        <w:ind w:right="300" w:firstLine="490"/>
        <w:spacing w:after="0" w:line="282" w:lineRule="auto"/>
        <w:rPr>
          <w:sz w:val="20"/>
          <w:szCs w:val="20"/>
          <w:color w:val="auto"/>
        </w:rPr>
      </w:pPr>
      <w:r>
        <w:rPr>
          <w:rFonts w:ascii="Arial" w:cs="Arial" w:eastAsia="Arial" w:hAnsi="Arial"/>
          <w:sz w:val="20"/>
          <w:szCs w:val="20"/>
          <w:color w:val="auto"/>
        </w:rPr>
        <w:t>Since inception, we have financed operations primarily through proceeds received from sales of equity securities, credit facilities and payments received from our clients as further detailed below.</w:t>
      </w:r>
    </w:p>
    <w:p>
      <w:pPr>
        <w:spacing w:after="0" w:line="120" w:lineRule="exact"/>
        <w:rPr>
          <w:sz w:val="20"/>
          <w:szCs w:val="20"/>
          <w:color w:val="auto"/>
        </w:rPr>
      </w:pPr>
    </w:p>
    <w:p>
      <w:pPr>
        <w:ind w:right="520" w:firstLine="490"/>
        <w:spacing w:after="0" w:line="282" w:lineRule="auto"/>
        <w:rPr>
          <w:sz w:val="20"/>
          <w:szCs w:val="20"/>
          <w:color w:val="auto"/>
        </w:rPr>
      </w:pPr>
      <w:r>
        <w:rPr>
          <w:rFonts w:ascii="Arial" w:cs="Arial" w:eastAsia="Arial" w:hAnsi="Arial"/>
          <w:sz w:val="20"/>
          <w:szCs w:val="20"/>
          <w:color w:val="auto"/>
        </w:rPr>
        <w:t>As of December 31, 2023, our principal source of liquidity is cash and cash equivalents of $654.6 million. Cash equivalents is comprised primarily of money market funds and bank deposits.</w:t>
      </w:r>
    </w:p>
    <w:p>
      <w:pPr>
        <w:sectPr>
          <w:pgSz w:w="12240" w:h="15840" w:orient="portrait"/>
          <w:cols w:equalWidth="0" w:num="1">
            <w:col w:w="10780"/>
          </w:cols>
          <w:pgMar w:left="720" w:top="1160" w:right="740" w:bottom="175"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ectPr>
          <w:pgSz w:w="12240" w:h="15840" w:orient="portrait"/>
          <w:cols w:equalWidth="0" w:num="1">
            <w:col w:w="10780"/>
          </w:cols>
          <w:pgMar w:left="720" w:top="1160" w:right="740" w:bottom="175" w:gutter="0" w:footer="0" w:header="0"/>
          <w:type w:val="continuous"/>
        </w:sectPr>
      </w:pPr>
    </w:p>
    <w:bookmarkStart w:id="97" w:name="page98"/>
    <w:bookmarkEnd w:id="97"/>
    <w:p>
      <w:pPr>
        <w:ind w:right="180" w:firstLine="490"/>
        <w:spacing w:after="0" w:line="254" w:lineRule="auto"/>
        <w:rPr>
          <w:sz w:val="20"/>
          <w:szCs w:val="20"/>
          <w:color w:val="auto"/>
        </w:rPr>
      </w:pPr>
      <w:r>
        <w:rPr>
          <w:rFonts w:ascii="Arial" w:cs="Arial" w:eastAsia="Arial" w:hAnsi="Arial"/>
          <w:sz w:val="20"/>
          <w:szCs w:val="20"/>
          <w:color w:val="auto"/>
        </w:rPr>
        <w:t xml:space="preserve">On February 23, 2024, we entered into an Amended and Restated Credit Agreement for a five-year senior secured revolving credit syndication loan with four banks for a total commitment of $125.0 million, which replaced the Revolving Credit Facility of $50.0 that was in effect as of December 31, 2023. Refer to </w:t>
      </w:r>
      <w:r>
        <w:rPr>
          <w:rFonts w:ascii="Arial" w:cs="Arial" w:eastAsia="Arial" w:hAnsi="Arial"/>
          <w:sz w:val="20"/>
          <w:szCs w:val="20"/>
          <w:i w:val="1"/>
          <w:iCs w:val="1"/>
          <w:color w:val="auto"/>
        </w:rPr>
        <w:t>Note 18 - Subsequent Event</w:t>
      </w:r>
      <w:r>
        <w:rPr>
          <w:rFonts w:ascii="Arial" w:cs="Arial" w:eastAsia="Arial" w:hAnsi="Arial"/>
          <w:sz w:val="20"/>
          <w:szCs w:val="20"/>
          <w:color w:val="auto"/>
        </w:rPr>
        <w:t xml:space="preserve"> for additional details on the new Revolving Credit Facility.</w:t>
      </w:r>
    </w:p>
    <w:p>
      <w:pPr>
        <w:spacing w:after="0" w:line="14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On August 14, 2023, we completed our follow-on public offering which resulted in aggregate net proceeds of $260.1 million, after underwriting discounts and commissions of $10.9 million and other issuance costs of $1.1 million.</w:t>
      </w:r>
    </w:p>
    <w:p>
      <w:pPr>
        <w:spacing w:after="0" w:line="120"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In May 2021, we completed our IPO which resulted in aggregate net proceeds of $263.8 million, after underwriting discounts of $19.4 million and issuance costs of $4.9 million.</w:t>
      </w:r>
    </w:p>
    <w:p>
      <w:pPr>
        <w:spacing w:after="0" w:line="120"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We believe that our existing cash will be sufficient to support our expected working capital needs and material cash requirements for at least the next 12 months from the issuance of these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Contractual obligations consist of operating leases that relate to real estate for our primary facilities.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our contractual obligations as of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10"/>
          </w:tcPr>
          <w:p>
            <w:pPr>
              <w:jc w:val="center"/>
              <w:ind w:left="490"/>
              <w:spacing w:after="0"/>
              <w:rPr>
                <w:sz w:val="20"/>
                <w:szCs w:val="20"/>
                <w:color w:val="auto"/>
              </w:rPr>
            </w:pPr>
            <w:r>
              <w:rPr>
                <w:rFonts w:ascii="Arial" w:cs="Arial" w:eastAsia="Arial" w:hAnsi="Arial"/>
                <w:sz w:val="16"/>
                <w:szCs w:val="16"/>
                <w:b w:val="1"/>
                <w:bCs w:val="1"/>
                <w:color w:val="auto"/>
                <w:w w:val="99"/>
              </w:rPr>
              <w:t>Payments Due by Year</w:t>
            </w: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7"/>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center"/>
              <w:ind w:right="40"/>
              <w:spacing w:after="0" w:line="155" w:lineRule="exact"/>
              <w:rPr>
                <w:sz w:val="20"/>
                <w:szCs w:val="20"/>
                <w:color w:val="auto"/>
              </w:rPr>
            </w:pPr>
            <w:r>
              <w:rPr>
                <w:rFonts w:ascii="Arial" w:cs="Arial" w:eastAsia="Arial" w:hAnsi="Arial"/>
                <w:sz w:val="16"/>
                <w:szCs w:val="16"/>
                <w:b w:val="1"/>
                <w:bCs w:val="1"/>
                <w:color w:val="auto"/>
                <w:w w:val="98"/>
              </w:rPr>
              <w:t>Less Than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rPr>
              <w:t>1 to 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4 to 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More Than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9"/>
              </w:rPr>
              <w:t>1 Year</w:t>
            </w:r>
          </w:p>
        </w:tc>
        <w:tc>
          <w:tcPr>
            <w:tcW w:w="2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Years</w:t>
            </w:r>
          </w:p>
        </w:tc>
        <w:tc>
          <w:tcPr>
            <w:tcW w:w="2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Years</w:t>
            </w:r>
          </w:p>
        </w:tc>
        <w:tc>
          <w:tcPr>
            <w:tcW w:w="2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7"/>
              <w:spacing w:after="0"/>
              <w:rPr>
                <w:sz w:val="20"/>
                <w:szCs w:val="20"/>
                <w:color w:val="auto"/>
              </w:rPr>
            </w:pPr>
            <w:r>
              <w:rPr>
                <w:rFonts w:ascii="Arial" w:cs="Arial" w:eastAsia="Arial" w:hAnsi="Arial"/>
                <w:sz w:val="16"/>
                <w:szCs w:val="16"/>
                <w:b w:val="1"/>
                <w:bCs w:val="1"/>
                <w:color w:val="auto"/>
              </w:rPr>
              <w:t>5 Years</w:t>
            </w:r>
          </w:p>
        </w:tc>
        <w:tc>
          <w:tcPr>
            <w:tcW w:w="10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Operating lease obligations</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ind w:right="25"/>
              <w:spacing w:after="0"/>
              <w:rPr>
                <w:sz w:val="20"/>
                <w:szCs w:val="20"/>
                <w:color w:val="auto"/>
              </w:rPr>
            </w:pPr>
            <w:r>
              <w:rPr>
                <w:rFonts w:ascii="Arial" w:cs="Arial" w:eastAsia="Arial" w:hAnsi="Arial"/>
                <w:sz w:val="15"/>
                <w:szCs w:val="15"/>
                <w:color w:val="auto"/>
                <w:w w:val="71"/>
                <w:shd w:val="clear" w:color="auto" w:fill="E0E0E0"/>
              </w:rPr>
              <w:t>$</w:t>
            </w:r>
          </w:p>
        </w:tc>
        <w:tc>
          <w:tcPr>
            <w:tcW w:w="7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3,840</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8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1,643</w:t>
            </w: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7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2,197</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0E0E0"/>
          </w:tcPr>
          <w:p>
            <w:pPr>
              <w:ind w:left="560"/>
              <w:spacing w:after="0" w:line="220" w:lineRule="exact"/>
              <w:rPr>
                <w:sz w:val="20"/>
                <w:szCs w:val="20"/>
                <w:color w:val="auto"/>
              </w:rPr>
            </w:pPr>
            <w:r>
              <w:rPr>
                <w:rFonts w:ascii="Arial" w:cs="Arial" w:eastAsia="Arial" w:hAnsi="Arial"/>
                <w:sz w:val="20"/>
                <w:szCs w:val="20"/>
                <w:color w:val="auto"/>
                <w:w w:val="99"/>
              </w:rPr>
              <w:t>—</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E0E0E0"/>
          </w:tcPr>
          <w:p>
            <w:pPr>
              <w:ind w:left="620"/>
              <w:spacing w:after="0" w:line="220" w:lineRule="exact"/>
              <w:rPr>
                <w:sz w:val="20"/>
                <w:szCs w:val="20"/>
                <w:color w:val="auto"/>
              </w:rPr>
            </w:pPr>
            <w:r>
              <w:rPr>
                <w:rFonts w:ascii="Arial" w:cs="Arial" w:eastAsia="Arial" w:hAnsi="Arial"/>
                <w:sz w:val="20"/>
                <w:szCs w:val="20"/>
                <w:color w:val="auto"/>
                <w:w w:val="89"/>
              </w:rPr>
              <w:t>—</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80"/>
              <w:spacing w:after="0" w:line="220" w:lineRule="exact"/>
              <w:rPr>
                <w:sz w:val="20"/>
                <w:szCs w:val="20"/>
                <w:color w:val="auto"/>
              </w:rPr>
            </w:pPr>
            <w:r>
              <w:rPr>
                <w:rFonts w:ascii="Arial" w:cs="Arial" w:eastAsia="Arial" w:hAnsi="Arial"/>
                <w:sz w:val="20"/>
                <w:szCs w:val="20"/>
                <w:color w:val="auto"/>
              </w:rPr>
              <w:t>Total</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3,840</w:t>
            </w: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1,643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2,197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ind w:left="620"/>
              <w:spacing w:after="0" w:line="220" w:lineRule="exact"/>
              <w:rPr>
                <w:sz w:val="20"/>
                <w:szCs w:val="20"/>
                <w:color w:val="auto"/>
              </w:rPr>
            </w:pPr>
            <w:r>
              <w:rPr>
                <w:rFonts w:ascii="Arial" w:cs="Arial" w:eastAsia="Arial" w:hAnsi="Arial"/>
                <w:sz w:val="20"/>
                <w:szCs w:val="20"/>
                <w:color w:val="auto"/>
                <w:w w:val="8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sets forth a summary of our cash flow information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9"/>
              </w:rPr>
              <w:t>December 31,</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0E0E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
              <w:spacing w:after="0" w:line="174" w:lineRule="exact"/>
              <w:rPr>
                <w:sz w:val="20"/>
                <w:szCs w:val="20"/>
                <w:color w:val="auto"/>
              </w:rPr>
            </w:pPr>
            <w:r>
              <w:rPr>
                <w:rFonts w:ascii="Arial" w:cs="Arial" w:eastAsia="Arial" w:hAnsi="Arial"/>
                <w:sz w:val="16"/>
                <w:szCs w:val="16"/>
                <w:b w:val="1"/>
                <w:bCs w:val="1"/>
                <w:color w:val="auto"/>
                <w:w w:val="95"/>
              </w:rPr>
              <w:t>2022</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Net cash provided by operating activities</w:t>
            </w:r>
          </w:p>
        </w:tc>
        <w:tc>
          <w:tcPr>
            <w:tcW w:w="14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80.6</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5.4</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17.1</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auto"/>
              </w:rPr>
              <w:t>(38.8)</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(24.7)</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(62.9)</w:t>
            </w:r>
          </w:p>
        </w:tc>
        <w:tc>
          <w:tcPr>
            <w:tcW w:w="0" w:type="dxa"/>
            <w:vAlign w:val="bottom"/>
          </w:tcPr>
          <w:p>
            <w:pPr>
              <w:spacing w:after="0"/>
              <w:rPr>
                <w:sz w:val="1"/>
                <w:szCs w:val="1"/>
                <w:color w:val="auto"/>
              </w:rPr>
            </w:pPr>
          </w:p>
        </w:tc>
      </w:tr>
      <w:tr>
        <w:trPr>
          <w:trHeight w:val="230"/>
        </w:trPr>
        <w:tc>
          <w:tcPr>
            <w:tcW w:w="6220" w:type="dxa"/>
            <w:vAlign w:val="bottom"/>
            <w:shd w:val="clear" w:color="auto" w:fill="E0E0E0"/>
          </w:tcPr>
          <w:p>
            <w:pPr>
              <w:spacing w:after="0"/>
              <w:rPr>
                <w:sz w:val="20"/>
                <w:szCs w:val="20"/>
                <w:color w:val="auto"/>
              </w:rPr>
            </w:pPr>
            <w:r>
              <w:rPr>
                <w:rFonts w:ascii="Arial" w:cs="Arial" w:eastAsia="Arial" w:hAnsi="Arial"/>
                <w:sz w:val="20"/>
                <w:szCs w:val="20"/>
                <w:color w:val="auto"/>
              </w:rPr>
              <w:t>Net cash provided by (used in) financing activities</w:t>
            </w:r>
          </w:p>
        </w:tc>
        <w:tc>
          <w:tcPr>
            <w:tcW w:w="1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263.4</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2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(24.0)</w:t>
            </w: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327.5</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auto"/>
              </w:rPr>
              <w:t>Effect of exchange rate changes on cash and cash equivalents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1"/>
        </w:trPr>
        <w:tc>
          <w:tcPr>
            <w:tcW w:w="6220" w:type="dxa"/>
            <w:vAlign w:val="bottom"/>
            <w:tcBorders>
              <w:top w:val="single" w:sz="8" w:color="E0E0E0"/>
            </w:tcBorders>
            <w:shd w:val="clear" w:color="auto" w:fill="E0E0E0"/>
          </w:tcPr>
          <w:p>
            <w:pPr>
              <w:ind w:left="280"/>
              <w:spacing w:after="0" w:line="201" w:lineRule="exact"/>
              <w:rPr>
                <w:sz w:val="20"/>
                <w:szCs w:val="20"/>
                <w:color w:val="auto"/>
              </w:rPr>
            </w:pPr>
            <w:r>
              <w:rPr>
                <w:rFonts w:ascii="Arial" w:cs="Arial" w:eastAsia="Arial" w:hAnsi="Arial"/>
                <w:sz w:val="20"/>
                <w:szCs w:val="20"/>
                <w:color w:val="auto"/>
              </w:rPr>
              <w:t>Net increase (decrease) in cash, cash equivalents and</w:t>
            </w:r>
          </w:p>
        </w:tc>
        <w:tc>
          <w:tcPr>
            <w:tcW w:w="140" w:type="dxa"/>
            <w:vAlign w:val="bottom"/>
            <w:tcBorders>
              <w:top w:val="single" w:sz="8" w:color="E0E0E0"/>
            </w:tcBorders>
            <w:shd w:val="clear" w:color="auto" w:fill="E0E0E0"/>
          </w:tcPr>
          <w:p>
            <w:pPr>
              <w:spacing w:after="0"/>
              <w:rPr>
                <w:sz w:val="17"/>
                <w:szCs w:val="17"/>
                <w:color w:val="auto"/>
              </w:rPr>
            </w:pPr>
          </w:p>
        </w:tc>
        <w:tc>
          <w:tcPr>
            <w:tcW w:w="280" w:type="dxa"/>
            <w:vAlign w:val="bottom"/>
            <w:tcBorders>
              <w:top w:val="single" w:sz="8" w:color="auto"/>
            </w:tcBorders>
            <w:shd w:val="clear" w:color="auto" w:fill="E0E0E0"/>
          </w:tcPr>
          <w:p>
            <w:pPr>
              <w:spacing w:after="0"/>
              <w:rPr>
                <w:sz w:val="17"/>
                <w:szCs w:val="17"/>
                <w:color w:val="auto"/>
              </w:rPr>
            </w:pPr>
          </w:p>
        </w:tc>
        <w:tc>
          <w:tcPr>
            <w:tcW w:w="1000" w:type="dxa"/>
            <w:vAlign w:val="bottom"/>
            <w:tcBorders>
              <w:top w:val="single" w:sz="8" w:color="auto"/>
            </w:tcBorders>
            <w:shd w:val="clear" w:color="auto" w:fill="E0E0E0"/>
          </w:tcPr>
          <w:p>
            <w:pPr>
              <w:spacing w:after="0"/>
              <w:rPr>
                <w:sz w:val="17"/>
                <w:szCs w:val="17"/>
                <w:color w:val="auto"/>
              </w:rPr>
            </w:pPr>
          </w:p>
        </w:tc>
        <w:tc>
          <w:tcPr>
            <w:tcW w:w="2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shd w:val="clear" w:color="auto" w:fill="E0E0E0"/>
          </w:tcPr>
          <w:p>
            <w:pPr>
              <w:spacing w:after="0"/>
              <w:rPr>
                <w:sz w:val="17"/>
                <w:szCs w:val="17"/>
                <w:color w:val="auto"/>
              </w:rPr>
            </w:pPr>
          </w:p>
        </w:tc>
        <w:tc>
          <w:tcPr>
            <w:tcW w:w="1000" w:type="dxa"/>
            <w:vAlign w:val="bottom"/>
            <w:tcBorders>
              <w:top w:val="single" w:sz="8" w:color="auto"/>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20" w:type="dxa"/>
            <w:vAlign w:val="bottom"/>
            <w:shd w:val="clear" w:color="auto" w:fill="E0E0E0"/>
          </w:tcPr>
          <w:p>
            <w:pPr>
              <w:ind w:left="440"/>
              <w:spacing w:after="0"/>
              <w:rPr>
                <w:sz w:val="20"/>
                <w:szCs w:val="20"/>
                <w:color w:val="auto"/>
              </w:rPr>
            </w:pPr>
            <w:r>
              <w:rPr>
                <w:rFonts w:ascii="Arial" w:cs="Arial" w:eastAsia="Arial" w:hAnsi="Arial"/>
                <w:sz w:val="20"/>
                <w:szCs w:val="20"/>
                <w:color w:val="auto"/>
              </w:rPr>
              <w:t>restricted cash</w:t>
            </w:r>
          </w:p>
        </w:tc>
        <w:tc>
          <w:tcPr>
            <w:tcW w:w="140" w:type="dxa"/>
            <w:vAlign w:val="bottom"/>
            <w:shd w:val="clear" w:color="auto" w:fill="E0E0E0"/>
          </w:tcPr>
          <w:p>
            <w:pPr>
              <w:spacing w:after="0"/>
              <w:rPr>
                <w:sz w:val="21"/>
                <w:szCs w:val="21"/>
                <w:color w:val="auto"/>
              </w:rPr>
            </w:pPr>
          </w:p>
        </w:tc>
        <w:tc>
          <w:tcPr>
            <w:tcW w:w="280" w:type="dxa"/>
            <w:vAlign w:val="bottom"/>
            <w:shd w:val="clear" w:color="auto" w:fill="E0E0E0"/>
          </w:tcPr>
          <w:p>
            <w:pPr>
              <w:jc w:val="right"/>
              <w:ind w:right="60"/>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303.4</w:t>
            </w:r>
          </w:p>
        </w:tc>
        <w:tc>
          <w:tcPr>
            <w:tcW w:w="260" w:type="dxa"/>
            <w:vAlign w:val="bottom"/>
            <w:shd w:val="clear" w:color="auto" w:fill="E0E0E0"/>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(38.2)</w:t>
            </w:r>
          </w:p>
        </w:tc>
        <w:tc>
          <w:tcPr>
            <w:tcW w:w="280" w:type="dxa"/>
            <w:vAlign w:val="bottom"/>
            <w:shd w:val="clear" w:color="auto" w:fill="E0E0E0"/>
          </w:tcPr>
          <w:p>
            <w:pPr>
              <w:jc w:val="right"/>
              <w:ind w:right="60"/>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280.3</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5012055</wp:posOffset>
                </wp:positionH>
                <wp:positionV relativeFrom="paragraph">
                  <wp:posOffset>-320040</wp:posOffset>
                </wp:positionV>
                <wp:extent cx="807720" cy="2921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292100"/>
                        </a:xfrm>
                        <a:prstGeom prst="rect">
                          <a:avLst/>
                        </a:prstGeom>
                        <a:solidFill>
                          <a:srgbClr val="E0E0E0"/>
                        </a:solidFill>
                      </wps:spPr>
                      <wps:bodyPr/>
                    </wps:wsp>
                  </a:graphicData>
                </a:graphic>
              </wp:anchor>
            </w:drawing>
          </mc:Choice>
          <mc:Fallback>
            <w:pict>
              <v:rect id="Shape 41" o:spid="_x0000_s1066" style="position:absolute;margin-left:394.65pt;margin-top:-25.1999pt;width:63.6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5819775</wp:posOffset>
                </wp:positionH>
                <wp:positionV relativeFrom="paragraph">
                  <wp:posOffset>-326390</wp:posOffset>
                </wp:positionV>
                <wp:extent cx="164465" cy="29781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297815"/>
                        </a:xfrm>
                        <a:prstGeom prst="rect">
                          <a:avLst/>
                        </a:prstGeom>
                        <a:solidFill>
                          <a:srgbClr val="E0E0E0"/>
                        </a:solidFill>
                      </wps:spPr>
                      <wps:bodyPr/>
                    </wps:wsp>
                  </a:graphicData>
                </a:graphic>
              </wp:anchor>
            </w:drawing>
          </mc:Choice>
          <mc:Fallback>
            <w:pict>
              <v:rect id="Shape 42" o:spid="_x0000_s1067" style="position:absolute;margin-left:458.25pt;margin-top:-25.6999pt;width:12.95pt;height:2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92" w:lineRule="exact"/>
        <w:rPr>
          <w:sz w:val="20"/>
          <w:szCs w:val="20"/>
          <w:color w:val="auto"/>
        </w:rPr>
      </w:pPr>
    </w:p>
    <w:p>
      <w:pPr>
        <w:ind w:right="400" w:firstLine="490"/>
        <w:spacing w:after="0" w:line="282" w:lineRule="auto"/>
        <w:rPr>
          <w:sz w:val="20"/>
          <w:szCs w:val="20"/>
          <w:color w:val="auto"/>
        </w:rPr>
      </w:pPr>
      <w:r>
        <w:rPr>
          <w:rFonts w:ascii="Arial" w:cs="Arial" w:eastAsia="Arial" w:hAnsi="Arial"/>
          <w:sz w:val="20"/>
          <w:szCs w:val="20"/>
          <w:color w:val="auto"/>
        </w:rPr>
        <w:t>Net cash provided by operating activities consists of net loss adjusted for certain non-cash items and changes in other assets and liabilities.</w:t>
      </w:r>
    </w:p>
    <w:p>
      <w:pPr>
        <w:spacing w:after="0" w:line="120" w:lineRule="exact"/>
        <w:rPr>
          <w:sz w:val="20"/>
          <w:szCs w:val="20"/>
          <w:color w:val="auto"/>
        </w:rPr>
      </w:pPr>
    </w:p>
    <w:p>
      <w:pPr>
        <w:ind w:right="120" w:firstLine="490"/>
        <w:spacing w:after="0" w:line="254" w:lineRule="auto"/>
        <w:rPr>
          <w:sz w:val="20"/>
          <w:szCs w:val="20"/>
          <w:color w:val="auto"/>
        </w:rPr>
      </w:pPr>
      <w:r>
        <w:rPr>
          <w:rFonts w:ascii="Arial" w:cs="Arial" w:eastAsia="Arial" w:hAnsi="Arial"/>
          <w:sz w:val="20"/>
          <w:szCs w:val="20"/>
          <w:color w:val="auto"/>
        </w:rPr>
        <w:t>During 2023, cash provided by operating activities of $80.6 million was primarily the result of net loss of $8.6 million adjusted for non-cash expenses of $62.4 million, which primarily consisted of stock-based compensation expense of $43.7 million and depreciation and amortization of $15.8 million, and the benefit of changes in operating assets and liabilities of $26.8 million.</w:t>
      </w:r>
    </w:p>
    <w:p>
      <w:pPr>
        <w:spacing w:after="0" w:line="146"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auto"/>
        </w:rPr>
        <w:t>During 2022, cash provided by operating activities of $5.4 million was primarily the result of net loss of $39.3 million adjusted for noncash expenses of $40.3 million, which primarily include stock-based compensation expense of $30.3</w:t>
      </w:r>
    </w:p>
    <w:p>
      <w:pPr>
        <w:sectPr>
          <w:pgSz w:w="12240" w:h="15840" w:orient="portrait"/>
          <w:cols w:equalWidth="0" w:num="1">
            <w:col w:w="10800"/>
          </w:cols>
          <w:pgMar w:left="720" w:top="1160" w:right="720" w:bottom="175"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2240" w:h="15840" w:orient="portrait"/>
          <w:cols w:equalWidth="0" w:num="1">
            <w:col w:w="10800"/>
          </w:cols>
          <w:pgMar w:left="720" w:top="1160" w:right="720" w:bottom="175" w:gutter="0" w:footer="0" w:header="0"/>
          <w:type w:val="continuous"/>
        </w:sectPr>
      </w:pPr>
    </w:p>
    <w:bookmarkStart w:id="98" w:name="page99"/>
    <w:bookmarkEnd w:id="98"/>
    <w:p>
      <w:pPr>
        <w:jc w:val="both"/>
        <w:ind w:right="100"/>
        <w:spacing w:after="0" w:line="261" w:lineRule="auto"/>
        <w:rPr>
          <w:sz w:val="20"/>
          <w:szCs w:val="20"/>
          <w:color w:val="auto"/>
        </w:rPr>
      </w:pPr>
      <w:r>
        <w:rPr>
          <w:rFonts w:ascii="Arial" w:cs="Arial" w:eastAsia="Arial" w:hAnsi="Arial"/>
          <w:sz w:val="20"/>
          <w:szCs w:val="20"/>
          <w:color w:val="auto"/>
        </w:rPr>
        <w:t>million, depreciation and amortization of $12.3 million and amortization of contract costs of $1.8 million, offset by change in fair value of contingent consideration of $(2.8) million and deferred tax benefit of $(1.7) million, benefited by changes in operating assets and liabilities of $4.4 million.</w:t>
      </w:r>
    </w:p>
    <w:p>
      <w:pPr>
        <w:spacing w:after="0" w:line="140"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During 2021, cash provided by operating activities of $17.1 million was primarily the result of net loss of $28.1 million adjusted for noncash expenses of $41.8 million, which primarily include stock-based compensation expense of $18.9 million, change in fair value of preferred stock warrant liability of $10.8 million, depreciation and amortization of $9.0 million, change in fair value of contingent consideration of $2.3 million, non-cash interest expense of $0.3 million, amortization of deferred contract costs of $0.2 million, bad debt expense of $0.2 million and deferred tax provision of $0.1 million, benefited by changes in operating assets and liabilities of $3.5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92" w:lineRule="exact"/>
        <w:rPr>
          <w:sz w:val="20"/>
          <w:szCs w:val="20"/>
          <w:color w:val="auto"/>
        </w:rPr>
      </w:pPr>
    </w:p>
    <w:p>
      <w:pPr>
        <w:ind w:right="100" w:firstLine="490"/>
        <w:spacing w:after="0" w:line="261" w:lineRule="auto"/>
        <w:rPr>
          <w:sz w:val="20"/>
          <w:szCs w:val="20"/>
          <w:color w:val="auto"/>
        </w:rPr>
      </w:pPr>
      <w:r>
        <w:rPr>
          <w:rFonts w:ascii="Arial" w:cs="Arial" w:eastAsia="Arial" w:hAnsi="Arial"/>
          <w:sz w:val="20"/>
          <w:szCs w:val="20"/>
          <w:color w:val="auto"/>
        </w:rPr>
        <w:t>During 2023, cash used in investing activities of $38.8 million was the result of our acquisition of StudyLink for a purchase consideration of $32.8 million, net of cash acquired, capitalization of internally developed software costs of $5.0 million and purchase of property and equipment for $1.0 million.</w:t>
      </w:r>
    </w:p>
    <w:p>
      <w:pPr>
        <w:spacing w:after="0" w:line="140"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auto"/>
        </w:rPr>
        <w:t>During 2022, cash used in investing activities of $24.7 million was primarily the result of our acquisition of Cohort Go for a purchase consideration of $17.1 million, capitalization of internally developed software costs of $5.7 million and purchase of property and equipment for $1.4 million.</w:t>
      </w:r>
    </w:p>
    <w:p>
      <w:pPr>
        <w:spacing w:after="0" w:line="140" w:lineRule="exact"/>
        <w:rPr>
          <w:sz w:val="20"/>
          <w:szCs w:val="20"/>
          <w:color w:val="auto"/>
        </w:rPr>
      </w:pPr>
    </w:p>
    <w:p>
      <w:pPr>
        <w:ind w:right="640" w:firstLine="490"/>
        <w:spacing w:after="0" w:line="261" w:lineRule="auto"/>
        <w:rPr>
          <w:sz w:val="20"/>
          <w:szCs w:val="20"/>
          <w:color w:val="auto"/>
        </w:rPr>
      </w:pPr>
      <w:r>
        <w:rPr>
          <w:rFonts w:ascii="Arial" w:cs="Arial" w:eastAsia="Arial" w:hAnsi="Arial"/>
          <w:sz w:val="20"/>
          <w:szCs w:val="20"/>
          <w:color w:val="auto"/>
        </w:rPr>
        <w:t>During 2021, cash used in investing activities of $62.9 million was the result of our acquisition of WPM for a purchase consideration of $56.1 million in cash, capitalization of internally developed software costs of $5.6 million, purchase of property and equipment for $1.0 million and asset acquisition of $0.1 million.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192"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During 2023, cash provided by financing activities of $263.4 million was driven by the proceeds from issuance of common stock in our follow-on public offering of $261.1 million, proceeds from the exercise of stock options of $10.4 million and proceeds from the issuance of stock under the ESPP of $2.7 million, offset by payments of tax withholdings for net settled option exercises of $8.5 million, payments for contingent consideration of $1.2 million and payments of costs related to our follow-on public offering of $1.1 million.</w:t>
      </w:r>
    </w:p>
    <w:p>
      <w:pPr>
        <w:spacing w:after="0" w:line="152"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During 2022, cash used in financing activities of $24.0 million was driven by the repayment of our Revolving Credit Facility of $25.9 million, payments for contingent consideration of $3.7 million primarily related to the acquisition of Simplee, payments of tax withholdings of $2.6 million for net settled option exercises, offset by proceeds from the exercise of stock options of $7.0 million and proceeds from the issuance of stock under the ESPP of $1.3 million.</w:t>
      </w:r>
    </w:p>
    <w:p>
      <w:pPr>
        <w:spacing w:after="0" w:line="146" w:lineRule="exact"/>
        <w:rPr>
          <w:sz w:val="20"/>
          <w:szCs w:val="20"/>
          <w:color w:val="auto"/>
        </w:rPr>
      </w:pPr>
    </w:p>
    <w:p>
      <w:pPr>
        <w:ind w:right="180" w:firstLine="490"/>
        <w:spacing w:after="0" w:line="248" w:lineRule="auto"/>
        <w:rPr>
          <w:sz w:val="20"/>
          <w:szCs w:val="20"/>
          <w:color w:val="auto"/>
        </w:rPr>
      </w:pPr>
      <w:r>
        <w:rPr>
          <w:rFonts w:ascii="Arial" w:cs="Arial" w:eastAsia="Arial" w:hAnsi="Arial"/>
          <w:sz w:val="20"/>
          <w:szCs w:val="20"/>
          <w:color w:val="auto"/>
        </w:rPr>
        <w:t>During 2021, cash provided by financing activities of $327.5 million was primarily driven by the net proceeds received from our IPO of $263.8 million, net proceeds received from our sale of preferred stock of $59.7 million and proceeds from the exercise of stock options of $6.9 million, net proceeds from borrowings under our Revolving Credit Facility of $25.9 million, offset by the payoff of our previously existing term loan of $25.0 million, payments for contingent consideration of $3.8 million related to our acquisition of Simplee and $0.4 million related to issuance costs associated with our Revolving Credit Facility.</w:t>
      </w:r>
    </w:p>
    <w:p>
      <w:pPr>
        <w:spacing w:after="0" w:line="154"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auto"/>
        </w:rPr>
        <w:t>As of December 31, 2023 and 2022, we had $0 of outstanding indebtedness under the Revolving Credit Facility and as of December 31, 2021, we had $25.9 million of outstanding indebtedness under the Revolving Credit Facility. On October 28, 2022, we repaid the $25.9 million outstanding under the Revolving Credit Facility. Following the repayment, we continue to have access to a total commitment of $50.0 million under the Revolving Credit Facility.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04"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2240" w:h="15840" w:orient="portrait"/>
          <w:cols w:equalWidth="0" w:num="1">
            <w:col w:w="10800"/>
          </w:cols>
          <w:pgMar w:left="720" w:top="1160" w:right="720" w:bottom="175" w:gutter="0" w:footer="0" w:header="0"/>
          <w:type w:val="continuous"/>
        </w:sectPr>
      </w:pPr>
    </w:p>
    <w:bookmarkStart w:id="99" w:name="page100"/>
    <w:bookmarkEnd w:id="99"/>
    <w:p>
      <w:pPr>
        <w:ind w:right="660"/>
        <w:spacing w:after="0" w:line="282" w:lineRule="auto"/>
        <w:rPr>
          <w:sz w:val="20"/>
          <w:szCs w:val="20"/>
          <w:color w:val="auto"/>
        </w:rPr>
      </w:pPr>
      <w:r>
        <w:rPr>
          <w:rFonts w:ascii="Arial" w:cs="Arial" w:eastAsia="Arial" w:hAnsi="Arial"/>
          <w:sz w:val="20"/>
          <w:szCs w:val="20"/>
          <w:color w:val="auto"/>
        </w:rPr>
        <w:t>readily apparent from other sources. Actual results may differ from these estimates under different assumptions or conditions.</w:t>
      </w:r>
    </w:p>
    <w:p>
      <w:pPr>
        <w:spacing w:after="0" w:line="120"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 xml:space="preserve">Our significant accounting policies are described in </w:t>
      </w:r>
      <w:r>
        <w:rPr>
          <w:rFonts w:ascii="Arial" w:cs="Arial" w:eastAsia="Arial" w:hAnsi="Arial"/>
          <w:sz w:val="20"/>
          <w:szCs w:val="20"/>
          <w:i w:val="1"/>
          <w:iCs w:val="1"/>
          <w:color w:val="auto"/>
        </w:rPr>
        <w:t>Note 1 - Business Overview and Summary of Significant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Accounting Policies </w:t>
      </w:r>
      <w:r>
        <w:rPr>
          <w:rFonts w:ascii="Arial" w:cs="Arial" w:eastAsia="Arial" w:hAnsi="Arial"/>
          <w:sz w:val="20"/>
          <w:szCs w:val="20"/>
          <w:color w:val="auto"/>
        </w:rPr>
        <w:t>to our consolidated financial statements included elsewhere in this Annual Report on Form 10-K. We</w:t>
      </w:r>
      <w:r>
        <w:rPr>
          <w:rFonts w:ascii="Arial" w:cs="Arial" w:eastAsia="Arial" w:hAnsi="Arial"/>
          <w:sz w:val="20"/>
          <w:szCs w:val="20"/>
          <w:i w:val="1"/>
          <w:iCs w:val="1"/>
          <w:color w:val="auto"/>
        </w:rPr>
        <w:t xml:space="preserve"> </w:t>
      </w:r>
      <w:r>
        <w:rPr>
          <w:rFonts w:ascii="Arial" w:cs="Arial" w:eastAsia="Arial" w:hAnsi="Arial"/>
          <w:sz w:val="20"/>
          <w:szCs w:val="20"/>
          <w:color w:val="auto"/>
        </w:rPr>
        <w:t>believe that the following critical accounting policies are most important to the judgments and estimates used in the preparation of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 net</w:t>
      </w:r>
    </w:p>
    <w:p>
      <w:pPr>
        <w:spacing w:after="0" w:line="196" w:lineRule="exact"/>
        <w:rPr>
          <w:sz w:val="20"/>
          <w:szCs w:val="20"/>
          <w:color w:val="auto"/>
        </w:rPr>
      </w:pPr>
    </w:p>
    <w:p>
      <w:pPr>
        <w:ind w:right="340" w:firstLine="490"/>
        <w:spacing w:after="0" w:line="254" w:lineRule="auto"/>
        <w:rPr>
          <w:sz w:val="20"/>
          <w:szCs w:val="20"/>
          <w:color w:val="auto"/>
        </w:rPr>
      </w:pPr>
      <w:r>
        <w:rPr>
          <w:rFonts w:ascii="Arial" w:cs="Arial" w:eastAsia="Arial" w:hAnsi="Arial"/>
          <w:sz w:val="20"/>
          <w:szCs w:val="20"/>
          <w:color w:val="auto"/>
        </w:rPr>
        <w:t>Intangible assets consist of acquired developed technology, acquired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46" w:lineRule="exact"/>
        <w:rPr>
          <w:sz w:val="20"/>
          <w:szCs w:val="20"/>
          <w:color w:val="auto"/>
        </w:rPr>
      </w:pPr>
    </w:p>
    <w:p>
      <w:pPr>
        <w:ind w:right="100" w:firstLine="490"/>
        <w:spacing w:after="0" w:line="242" w:lineRule="auto"/>
        <w:rPr>
          <w:sz w:val="20"/>
          <w:szCs w:val="20"/>
          <w:color w:val="auto"/>
        </w:rPr>
      </w:pPr>
      <w:r>
        <w:rPr>
          <w:rFonts w:ascii="Arial" w:cs="Arial" w:eastAsia="Arial" w:hAnsi="Arial"/>
          <w:sz w:val="20"/>
          <w:szCs w:val="20"/>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acquired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w:t>
      </w:r>
    </w:p>
    <w:p>
      <w:pPr>
        <w:spacing w:after="0" w:line="169"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54" w:lineRule="exact"/>
        <w:rPr>
          <w:sz w:val="20"/>
          <w:szCs w:val="20"/>
          <w:color w:val="auto"/>
        </w:rPr>
      </w:pPr>
    </w:p>
    <w:p>
      <w:pPr>
        <w:ind w:right="620" w:firstLine="490"/>
        <w:spacing w:after="0" w:line="261" w:lineRule="auto"/>
        <w:rPr>
          <w:sz w:val="20"/>
          <w:szCs w:val="20"/>
          <w:color w:val="auto"/>
        </w:rPr>
      </w:pPr>
      <w:r>
        <w:rPr>
          <w:rFonts w:ascii="Arial" w:cs="Arial" w:eastAsia="Arial" w:hAnsi="Arial"/>
          <w:sz w:val="20"/>
          <w:szCs w:val="20"/>
          <w:color w:val="404040"/>
        </w:rPr>
        <w:t>In</w:t>
      </w:r>
      <w:r>
        <w:rPr>
          <w:rFonts w:ascii="Arial" w:cs="Arial" w:eastAsia="Arial" w:hAnsi="Arial"/>
          <w:sz w:val="20"/>
          <w:szCs w:val="20"/>
          <w:color w:val="000000"/>
        </w:rPr>
        <w:t>tangible assets are amortized using a method that reflects the pattern in which the economic benefits of the</w:t>
      </w:r>
      <w:r>
        <w:rPr>
          <w:rFonts w:ascii="Arial" w:cs="Arial" w:eastAsia="Arial" w:hAnsi="Arial"/>
          <w:sz w:val="20"/>
          <w:szCs w:val="20"/>
          <w:color w:val="404040"/>
        </w:rPr>
        <w:t xml:space="preserve"> </w:t>
      </w:r>
      <w:r>
        <w:rPr>
          <w:rFonts w:ascii="Arial" w:cs="Arial" w:eastAsia="Arial" w:hAnsi="Arial"/>
          <w:sz w:val="20"/>
          <w:szCs w:val="20"/>
          <w:color w:val="000000"/>
        </w:rPr>
        <w:t>intangible asset are expected to be realized over their estimated useful lives ranging from one to fifteen years. No significant residual value is estimated for intangible assets.</w:t>
      </w:r>
    </w:p>
    <w:p>
      <w:pPr>
        <w:spacing w:after="0" w:line="140"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The estimated fair values of these intangible assets reflect various assumptions including discount rates, revenue growth rates, operating margins, terminal values, attrition, useful lives and other prospective financial information.</w:t>
      </w:r>
    </w:p>
    <w:p>
      <w:pPr>
        <w:spacing w:after="0" w:line="120"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Contingent consideration in business combinations is recognized at fair value on the acquisition date.</w:t>
      </w:r>
    </w:p>
    <w:p>
      <w:pPr>
        <w:spacing w:after="0" w:line="200"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In connection with the acquisition of StudyLink, we entered into an agreement to make certain earn-out payments based on StudyLink's achievement of revenue, volume, cross-selling and engineering implementation milestones established through a period ending December 31, 2025. The fair value of the contingent consideration related to the revenue and volume of money movement milestones was determined using an option pricing model and the fair value of the contingent consideration related to the cross-selling and engineering implementation milestones was determined using a scenario-based method that reflect our expectation about the probability of payment based on facts and</w:t>
      </w:r>
    </w:p>
    <w:p>
      <w:pPr>
        <w:sectPr>
          <w:pgSz w:w="12240" w:h="15840" w:orient="portrait"/>
          <w:cols w:equalWidth="0" w:num="1">
            <w:col w:w="10740"/>
          </w:cols>
          <w:pgMar w:left="720" w:top="1160" w:right="780" w:bottom="175" w:gutter="0" w:footer="0" w:header="0"/>
        </w:sectPr>
      </w:pP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98</w:t>
      </w:r>
    </w:p>
    <w:p>
      <w:pPr>
        <w:sectPr>
          <w:pgSz w:w="12240" w:h="15840" w:orient="portrait"/>
          <w:cols w:equalWidth="0" w:num="1">
            <w:col w:w="10740"/>
          </w:cols>
          <w:pgMar w:left="720" w:top="1160" w:right="780" w:bottom="175" w:gutter="0" w:footer="0" w:header="0"/>
          <w:type w:val="continuous"/>
        </w:sectPr>
      </w:pPr>
    </w:p>
    <w:bookmarkStart w:id="100" w:name="page101"/>
    <w:bookmarkEnd w:id="100"/>
    <w:p>
      <w:pPr>
        <w:ind w:right="460"/>
        <w:spacing w:after="0" w:line="247" w:lineRule="auto"/>
        <w:rPr>
          <w:sz w:val="20"/>
          <w:szCs w:val="20"/>
          <w:color w:val="auto"/>
        </w:rPr>
      </w:pPr>
      <w:r>
        <w:rPr>
          <w:rFonts w:ascii="Arial" w:cs="Arial" w:eastAsia="Arial" w:hAnsi="Arial"/>
          <w:sz w:val="20"/>
          <w:szCs w:val="20"/>
          <w:color w:val="auto"/>
        </w:rPr>
        <w:t>circumstances that existed at the acquisition closing date. The option pricing model includes significant unobservable inputs such as probability of achieving earn-out revenue thresholds and discount rates. The scenario-based method includes significant unobservable inputs such as the probability of achieving earn-out targets and discount rates. Increases or decreases in any of the probabilities of success in which the revenue, volume, cross-selling and the engineering implementation milestones are expected to be achieved would result in higher or lower fair value measurement, respectively. Increases or decreases in the discount rate would result in a lower or higher fair value measurement, respectively.</w:t>
      </w:r>
    </w:p>
    <w:p>
      <w:pPr>
        <w:spacing w:after="0" w:line="153"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In connection with the acquisition of Cohort Go, we entered into an agreement to make certain earn-out payments based on Cohort Go's achievement of specific post-acquisition milestones established through a period ending March 31, 2023. The fair value of the contingent consideration was determined using a scenario-based method formed on the likelihoods of achieving each of the milestones. 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53"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In connection with the acquisition of WPM, we entered into an agreement to make certain earn-out payments based on the achievement of certain platform integration objectives as well as the achievement of minimum payment volume targets. The fair value of the contingent consideration related to the payment volume targets was determined using an option pricing model and the fair value of the contingent consideration related to the platform integration objectives was determined using a scenario-based method that reflected our expectation about the probability of payment based on facts and circumstances that existed at the acquisition closing date. The option pricing model included significant unobservable inputs such as expectations regarding payment volume, a market price of risk adjustment for revenue and revenue volatility. The scenario-based method included significant unobservable inputs such as the probability of completing certain platform integrations. Increases or decreases in any of the probabilities of success in which the platform integration objectives were expected to be achieved would result in higher or lower fair value measurement, respectively. Increases or decreases in expectations regarding the level at which payment volume were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60"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The maximum amount we would be required to pay related to the StudyLink acquisition is $3.9 million. During the year ended December 31, 2023, we made the final Cohort Go payment of contingent consideration of $1.7 million, in the form of cash, based on Cohort Go's successful and timely achievement of the contracted milestones. No additional contingent consideration is due or payable with respect to the Cohort Go acquisition. As of December 31, 2023, no contingent consideration is due or payable with respect to the WPM acquisition. The fair value of the contingent consideration at December 31, 2023 and 2022 was $2.9 million and $1.3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of Warrants to Purchase Preferred Stock</w:t>
      </w:r>
    </w:p>
    <w:p>
      <w:pPr>
        <w:spacing w:after="0" w:line="196" w:lineRule="exact"/>
        <w:rPr>
          <w:sz w:val="20"/>
          <w:szCs w:val="20"/>
          <w:color w:val="auto"/>
        </w:rPr>
      </w:pPr>
    </w:p>
    <w:p>
      <w:pPr>
        <w:ind w:right="80" w:firstLine="490"/>
        <w:spacing w:after="0" w:line="242" w:lineRule="auto"/>
        <w:rPr>
          <w:sz w:val="20"/>
          <w:szCs w:val="20"/>
          <w:color w:val="auto"/>
        </w:rPr>
      </w:pPr>
      <w:r>
        <w:rPr>
          <w:rFonts w:ascii="Arial" w:cs="Arial" w:eastAsia="Arial" w:hAnsi="Arial"/>
          <w:sz w:val="20"/>
          <w:szCs w:val="20"/>
          <w:color w:val="auto"/>
        </w:rPr>
        <w:t>Prior to our IPO, we classified warrants to purchase shares of our convertible preferred stock as liabilities on our balance sheets as these were free standing instruments that may have required us to transfer assets upon exercise. The warrant liability associated with these warrants was recorded at fair value on the issuance date of each warrant and was subsequently marked to market each reporting period based on changes in the warrants’ fair value calculated using the Black-Scholes model. Inputs used in the fair value calculation included exercise price, risk-free interest rate, expected dividend yield, remaining contractual term and expected volatility. We determined the fair value per share of the underlying preferred stock by taking into consideration the most recent sales of our convertible preferred stock, results obtained from third-party valuations and additional factors that we deemed relevant. We were a private company and lacked company-specific historical and implied volatility information of our stock. Therefore, we estimated expected stock volatility based on the historical volatility of publicly traded peer companies for a term equal to the remaining contractual term of the warrants. The risk-free interest rate was determined by reference to the U.S. Treasury yield curve for time periods approximately equal to the remaining contractual term of the warrants. We estimated a 0% dividend yield based on the fact that we have never paid or declared dividends. Following our IPO in March 2021, the preferred stock warrants were either fully exercised or converted to warrants to purchase common stock. As of December 31, 2023, 2022 and 2021, there were no preferred stock warrants outstanding. Changes in fair value of the warrants were recognized on the consolidated statements of operations and comprehensive loss.</w:t>
      </w:r>
    </w:p>
    <w:p>
      <w:pPr>
        <w:sectPr>
          <w:pgSz w:w="12240" w:h="15840" w:orient="portrait"/>
          <w:cols w:equalWidth="0" w:num="1">
            <w:col w:w="10780"/>
          </w:cols>
          <w:pgMar w:left="720" w:top="1160" w:right="740" w:bottom="175"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2240" w:h="15840" w:orient="portrait"/>
          <w:cols w:equalWidth="0" w:num="1">
            <w:col w:w="10780"/>
          </w:cols>
          <w:pgMar w:left="720" w:top="1160" w:right="740" w:bottom="175"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derive revenue from transactions and platform and usage-based fees.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 Revenue</w:t>
      </w:r>
    </w:p>
    <w:p>
      <w:pPr>
        <w:spacing w:after="0" w:line="196"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62"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46"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services costs line in the consolidated statements of operations and comprehensive loss.</w:t>
      </w:r>
    </w:p>
    <w:p>
      <w:pPr>
        <w:spacing w:after="0" w:line="154"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auto"/>
        </w:rPr>
        <w:t xml:space="preserve">We also earn revenue from interest on funds held for customers, which do not represent revenues recognized in the scope of ASC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As we process payment transactions, customer funds are initially deposited into our bank accounts that are separate from our operating cash accounts until remitted to the customers. Interest is earned from interest bearing deposit accounts.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Platform and Usage-Based Fee Revenue</w:t>
      </w:r>
    </w:p>
    <w:p>
      <w:pPr>
        <w:spacing w:after="0" w:line="196" w:lineRule="exact"/>
        <w:rPr>
          <w:sz w:val="20"/>
          <w:szCs w:val="20"/>
          <w:color w:val="auto"/>
        </w:rPr>
      </w:pPr>
    </w:p>
    <w:p>
      <w:pPr>
        <w:ind w:right="180" w:firstLine="490"/>
        <w:spacing w:after="0" w:line="250" w:lineRule="auto"/>
        <w:rPr>
          <w:sz w:val="20"/>
          <w:szCs w:val="20"/>
          <w:color w:val="auto"/>
        </w:rPr>
      </w:pPr>
      <w:r>
        <w:rPr>
          <w:rFonts w:ascii="Arial" w:cs="Arial" w:eastAsia="Arial" w:hAnsi="Arial"/>
          <w:sz w:val="20"/>
          <w:szCs w:val="20"/>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Obligations</w:t>
      </w:r>
    </w:p>
    <w:p>
      <w:pPr>
        <w:spacing w:after="0" w:line="196" w:lineRule="exact"/>
        <w:rPr>
          <w:sz w:val="20"/>
          <w:szCs w:val="20"/>
          <w:color w:val="auto"/>
        </w:rPr>
      </w:pPr>
    </w:p>
    <w:p>
      <w:pPr>
        <w:ind w:right="140" w:firstLine="490"/>
        <w:spacing w:after="0" w:line="248" w:lineRule="auto"/>
        <w:rPr>
          <w:sz w:val="20"/>
          <w:szCs w:val="20"/>
          <w:color w:val="auto"/>
        </w:rPr>
      </w:pPr>
      <w:r>
        <w:rPr>
          <w:rFonts w:ascii="Arial" w:cs="Arial" w:eastAsia="Arial" w:hAnsi="Arial"/>
          <w:sz w:val="20"/>
          <w:szCs w:val="20"/>
          <w:color w:val="auto"/>
        </w:rPr>
        <w:t>We use significant judgment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54"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54" w:lineRule="exact"/>
        <w:rPr>
          <w:sz w:val="20"/>
          <w:szCs w:val="20"/>
          <w:color w:val="auto"/>
        </w:rPr>
      </w:pPr>
    </w:p>
    <w:p>
      <w:pPr>
        <w:ind w:right="100" w:firstLine="490"/>
        <w:spacing w:after="0" w:line="282" w:lineRule="auto"/>
        <w:rPr>
          <w:sz w:val="20"/>
          <w:szCs w:val="20"/>
          <w:color w:val="auto"/>
        </w:rPr>
      </w:pPr>
      <w:r>
        <w:rPr>
          <w:rFonts w:ascii="Arial" w:cs="Arial" w:eastAsia="Arial" w:hAnsi="Arial"/>
          <w:sz w:val="20"/>
          <w:szCs w:val="20"/>
          <w:color w:val="auto"/>
        </w:rPr>
        <w:t>For those arrangements that include fixed consideration, the fixed component is recognized ratably over the service period while variable consideration is recognized in the period earned.</w:t>
      </w:r>
    </w:p>
    <w:p>
      <w:pPr>
        <w:sectPr>
          <w:pgSz w:w="12240" w:h="15840" w:orient="portrait"/>
          <w:cols w:equalWidth="0" w:num="1">
            <w:col w:w="10800"/>
          </w:cols>
          <w:pgMar w:left="720" w:top="1164" w:right="720" w:bottom="186"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10800"/>
          </w:cols>
          <w:pgMar w:left="720" w:top="1164" w:right="720" w:bottom="186" w:gutter="0" w:footer="0" w:header="0"/>
          <w:type w:val="continuous"/>
        </w:sectPr>
      </w:pPr>
    </w:p>
    <w:bookmarkStart w:id="102" w:name="page103"/>
    <w:bookmarkEnd w:id="102"/>
    <w:p>
      <w:pPr>
        <w:ind w:right="260" w:firstLine="490"/>
        <w:spacing w:after="0" w:line="261" w:lineRule="auto"/>
        <w:rPr>
          <w:sz w:val="20"/>
          <w:szCs w:val="20"/>
          <w:color w:val="auto"/>
        </w:rPr>
      </w:pPr>
      <w:r>
        <w:rPr>
          <w:rFonts w:ascii="Arial" w:cs="Arial" w:eastAsia="Arial" w:hAnsi="Arial"/>
          <w:sz w:val="20"/>
          <w:szCs w:val="20"/>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Variable Consideration</w:t>
      </w:r>
    </w:p>
    <w:p>
      <w:pPr>
        <w:spacing w:after="0" w:line="196"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Revenue Recognition Policies</w:t>
      </w:r>
    </w:p>
    <w:p>
      <w:pPr>
        <w:spacing w:after="0" w:line="196"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96"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We determine stock-based compensation expense associated with stock options and ESPP based on the estimated grant date fair value method using the Black-Scholes option-pricing model. We recognize these compensation costs on a straight-line basis over the requisite service period of the award, which is generally the vesting term of four years for stock options and the offering period of 6 months for ESPP. We estimate the expected forfeiture rate and recognize expense only for those shares expected to vest.</w:t>
      </w:r>
    </w:p>
    <w:p>
      <w:pPr>
        <w:spacing w:after="0" w:line="152"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Black-Scholes option-pricing model requires the use of highly subjective assumptions to determine the fair value of stock- based awards. These assumptions include:</w:t>
      </w:r>
    </w:p>
    <w:p>
      <w:pPr>
        <w:spacing w:after="0" w:line="120"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—The expected volatility is estimated based on the historical volatility of our common stock.</w:t>
      </w:r>
      <w:r>
        <w:rPr>
          <w:rFonts w:ascii="Arial" w:cs="Arial" w:eastAsia="Arial" w:hAnsi="Arial"/>
          <w:sz w:val="20"/>
          <w:szCs w:val="20"/>
          <w:i w:val="1"/>
          <w:iCs w:val="1"/>
          <w:color w:val="auto"/>
        </w:rPr>
        <w:t xml:space="preserve"> </w:t>
      </w:r>
      <w:r>
        <w:rPr>
          <w:rFonts w:ascii="Arial" w:cs="Arial" w:eastAsia="Arial" w:hAnsi="Arial"/>
          <w:sz w:val="20"/>
          <w:szCs w:val="20"/>
          <w:color w:val="auto"/>
        </w:rPr>
        <w:t>However, since we were a recent public company with limited trading history for our common stock, the expected volatility for stock options granted during 2022 and 2021 was estimated based on the average volatility for comparable publicly traded companies over a period equal to the expected term of the stock option grants. The comparable companies were chosen based on their similar size, stage in the lifecycle or area of specialty.</w:t>
      </w:r>
    </w:p>
    <w:p>
      <w:pPr>
        <w:spacing w:after="0" w:line="152" w:lineRule="exact"/>
        <w:rPr>
          <w:sz w:val="20"/>
          <w:szCs w:val="20"/>
          <w:color w:val="auto"/>
        </w:rPr>
      </w:pPr>
    </w:p>
    <w:p>
      <w:pPr>
        <w:jc w:val="both"/>
        <w:ind w:right="120" w:firstLine="490"/>
        <w:spacing w:after="0" w:line="261" w:lineRule="auto"/>
        <w:rPr>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—The expected term represents the period that stock-based awards are expected to be outstanding.</w:t>
      </w:r>
      <w:r>
        <w:rPr>
          <w:rFonts w:ascii="Arial" w:cs="Arial" w:eastAsia="Arial" w:hAnsi="Arial"/>
          <w:sz w:val="20"/>
          <w:szCs w:val="20"/>
          <w:i w:val="1"/>
          <w:iCs w:val="1"/>
          <w:color w:val="auto"/>
        </w:rPr>
        <w:t xml:space="preserve"> </w:t>
      </w:r>
      <w:r>
        <w:rPr>
          <w:rFonts w:ascii="Arial" w:cs="Arial" w:eastAsia="Arial" w:hAnsi="Arial"/>
          <w:sz w:val="20"/>
          <w:szCs w:val="20"/>
          <w:color w:val="auto"/>
        </w:rPr>
        <w:t>The expected term for option grants is determined using the simplified method. The simplified method deems the term to be the average of the time-to-vesting and the contractual life of the stock-based awards.</w:t>
      </w:r>
    </w:p>
    <w:p>
      <w:pPr>
        <w:spacing w:after="0" w:line="140" w:lineRule="exact"/>
        <w:rPr>
          <w:sz w:val="20"/>
          <w:szCs w:val="20"/>
          <w:color w:val="auto"/>
        </w:rPr>
      </w:pPr>
    </w:p>
    <w:p>
      <w:pPr>
        <w:ind w:right="280" w:firstLine="490"/>
        <w:spacing w:after="0" w:line="282"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—The risk-free interest rate is based on the U.S. Treasury yield curve in effect at the time of</w:t>
      </w:r>
      <w:r>
        <w:rPr>
          <w:rFonts w:ascii="Arial" w:cs="Arial" w:eastAsia="Arial" w:hAnsi="Arial"/>
          <w:sz w:val="20"/>
          <w:szCs w:val="20"/>
          <w:i w:val="1"/>
          <w:iCs w:val="1"/>
          <w:color w:val="auto"/>
        </w:rPr>
        <w:t xml:space="preserve"> </w:t>
      </w:r>
      <w:r>
        <w:rPr>
          <w:rFonts w:ascii="Arial" w:cs="Arial" w:eastAsia="Arial" w:hAnsi="Arial"/>
          <w:sz w:val="20"/>
          <w:szCs w:val="20"/>
          <w:color w:val="auto"/>
        </w:rPr>
        <w:t>grant for periods corresponding with the expected term of the award.</w:t>
      </w:r>
    </w:p>
    <w:p>
      <w:pPr>
        <w:spacing w:after="0" w:line="120" w:lineRule="exact"/>
        <w:rPr>
          <w:sz w:val="20"/>
          <w:szCs w:val="20"/>
          <w:color w:val="auto"/>
        </w:rPr>
      </w:pPr>
    </w:p>
    <w:p>
      <w:pPr>
        <w:ind w:right="260" w:firstLine="490"/>
        <w:spacing w:after="0" w:line="282" w:lineRule="auto"/>
        <w:rPr>
          <w:sz w:val="20"/>
          <w:szCs w:val="20"/>
          <w:color w:val="auto"/>
        </w:rPr>
      </w:pPr>
      <w:r>
        <w:rPr>
          <w:rFonts w:ascii="Arial" w:cs="Arial" w:eastAsia="Arial" w:hAnsi="Arial"/>
          <w:sz w:val="20"/>
          <w:szCs w:val="20"/>
          <w:i w:val="1"/>
          <w:iCs w:val="1"/>
          <w:color w:val="auto"/>
        </w:rPr>
        <w:t>Expected dividend yield</w:t>
      </w:r>
      <w:r>
        <w:rPr>
          <w:rFonts w:ascii="Arial" w:cs="Arial" w:eastAsia="Arial" w:hAnsi="Arial"/>
          <w:sz w:val="20"/>
          <w:szCs w:val="20"/>
          <w:color w:val="auto"/>
        </w:rPr>
        <w:t>—We have never paid dividends on our common stock and non-voting common stock and</w:t>
      </w:r>
      <w:r>
        <w:rPr>
          <w:rFonts w:ascii="Arial" w:cs="Arial" w:eastAsia="Arial" w:hAnsi="Arial"/>
          <w:sz w:val="20"/>
          <w:szCs w:val="20"/>
          <w:i w:val="1"/>
          <w:iCs w:val="1"/>
          <w:color w:val="auto"/>
        </w:rPr>
        <w:t xml:space="preserve"> </w:t>
      </w:r>
      <w:r>
        <w:rPr>
          <w:rFonts w:ascii="Arial" w:cs="Arial" w:eastAsia="Arial" w:hAnsi="Arial"/>
          <w:sz w:val="20"/>
          <w:szCs w:val="20"/>
          <w:color w:val="auto"/>
        </w:rPr>
        <w:t>have no plans to pay dividends on our common stock.</w:t>
      </w:r>
    </w:p>
    <w:p>
      <w:pPr>
        <w:spacing w:after="0" w:line="12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i w:val="1"/>
          <w:iCs w:val="1"/>
          <w:color w:val="auto"/>
        </w:rPr>
        <w:t>Common Stock Valuation</w:t>
      </w:r>
      <w:r>
        <w:rPr>
          <w:rFonts w:ascii="Arial" w:cs="Arial" w:eastAsia="Arial" w:hAnsi="Arial"/>
          <w:sz w:val="20"/>
          <w:szCs w:val="20"/>
          <w:color w:val="auto"/>
        </w:rPr>
        <w:t>—Given the absence of an active market for our common stock and non-voting common</w:t>
      </w:r>
      <w:r>
        <w:rPr>
          <w:rFonts w:ascii="Arial" w:cs="Arial" w:eastAsia="Arial" w:hAnsi="Arial"/>
          <w:sz w:val="20"/>
          <w:szCs w:val="20"/>
          <w:i w:val="1"/>
          <w:iCs w:val="1"/>
          <w:color w:val="auto"/>
        </w:rPr>
        <w:t xml:space="preserve"> </w:t>
      </w:r>
      <w:r>
        <w:rPr>
          <w:rFonts w:ascii="Arial" w:cs="Arial" w:eastAsia="Arial" w:hAnsi="Arial"/>
          <w:sz w:val="20"/>
          <w:szCs w:val="20"/>
          <w:color w:val="auto"/>
        </w:rPr>
        <w:t>stock prior to our IPO, the fair 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a company, assuming various outcomes. The common stock value is based on the probability-weighted present value of expected future investment returns considering each of the possible outcomes available as well as the rights of each class</w:t>
      </w:r>
    </w:p>
    <w:p>
      <w:pPr>
        <w:sectPr>
          <w:pgSz w:w="12240" w:h="15840" w:orient="portrait"/>
          <w:cols w:equalWidth="0" w:num="1">
            <w:col w:w="10800"/>
          </w:cols>
          <w:pgMar w:left="720" w:top="1160" w:right="720" w:bottom="186"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0800"/>
          </w:cols>
          <w:pgMar w:left="720" w:top="1160" w:right="720" w:bottom="186" w:gutter="0" w:footer="0" w:header="0"/>
          <w:type w:val="continuous"/>
        </w:sectPr>
      </w:pPr>
    </w:p>
    <w:bookmarkStart w:id="103" w:name="page104"/>
    <w:bookmarkEnd w:id="103"/>
    <w:p>
      <w:pPr>
        <w:spacing w:after="0" w:line="244" w:lineRule="auto"/>
        <w:rPr>
          <w:sz w:val="20"/>
          <w:szCs w:val="20"/>
          <w:color w:val="auto"/>
        </w:rPr>
      </w:pPr>
      <w:r>
        <w:rPr>
          <w:rFonts w:ascii="Arial" w:cs="Arial" w:eastAsia="Arial" w:hAnsi="Arial"/>
          <w:sz w:val="20"/>
          <w:szCs w:val="20"/>
          <w:color w:val="auto"/>
        </w:rPr>
        <w:t>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62" w:lineRule="exact"/>
        <w:rPr>
          <w:sz w:val="20"/>
          <w:szCs w:val="20"/>
          <w:color w:val="auto"/>
        </w:rPr>
      </w:pPr>
    </w:p>
    <w:p>
      <w:pPr>
        <w:jc w:val="both"/>
        <w:ind w:right="80" w:firstLine="490"/>
        <w:spacing w:after="0" w:line="261" w:lineRule="auto"/>
        <w:rPr>
          <w:sz w:val="20"/>
          <w:szCs w:val="20"/>
          <w:color w:val="auto"/>
        </w:rPr>
      </w:pPr>
      <w:r>
        <w:rPr>
          <w:rFonts w:ascii="Arial" w:cs="Arial" w:eastAsia="Arial" w:hAnsi="Arial"/>
          <w:sz w:val="20"/>
          <w:szCs w:val="20"/>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153" w:lineRule="exact"/>
        <w:rPr>
          <w:sz w:val="20"/>
          <w:szCs w:val="20"/>
          <w:color w:val="auto"/>
        </w:rPr>
      </w:pPr>
    </w:p>
    <w:p>
      <w:pPr>
        <w:ind w:left="860" w:hanging="255"/>
        <w:spacing w:after="0"/>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actual operating results and financial performance;</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conditions in the industry and economy in general;</w:t>
      </w:r>
    </w:p>
    <w:p>
      <w:pPr>
        <w:spacing w:after="0" w:line="213" w:lineRule="exact"/>
        <w:rPr>
          <w:rFonts w:ascii="Arial" w:cs="Arial" w:eastAsia="Arial" w:hAnsi="Arial"/>
          <w:sz w:val="20"/>
          <w:szCs w:val="20"/>
          <w:color w:val="auto"/>
        </w:rPr>
      </w:pPr>
    </w:p>
    <w:p>
      <w:pPr>
        <w:ind w:left="860" w:right="260" w:hanging="255"/>
        <w:spacing w:after="0" w:line="282" w:lineRule="auto"/>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rights, preferences and privileges of our redeemable convertible preferred stock and convertible preferred stock relative to those of our common stock;</w:t>
      </w:r>
    </w:p>
    <w:p>
      <w:pPr>
        <w:spacing w:after="0" w:line="132" w:lineRule="exact"/>
        <w:rPr>
          <w:rFonts w:ascii="Arial" w:cs="Arial" w:eastAsia="Arial" w:hAnsi="Arial"/>
          <w:sz w:val="20"/>
          <w:szCs w:val="20"/>
          <w:color w:val="auto"/>
        </w:rPr>
      </w:pPr>
    </w:p>
    <w:p>
      <w:pPr>
        <w:ind w:left="860" w:right="80" w:hanging="255"/>
        <w:spacing w:after="0" w:line="282" w:lineRule="auto"/>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likelihood of achieving a liquidity event for the holders of our common stock, such as an IPO or a sale of our company, given prevailing market conditions;</w:t>
      </w:r>
    </w:p>
    <w:p>
      <w:pPr>
        <w:spacing w:after="0" w:line="132" w:lineRule="exact"/>
        <w:rPr>
          <w:rFonts w:ascii="Arial" w:cs="Arial" w:eastAsia="Arial" w:hAnsi="Arial"/>
          <w:sz w:val="20"/>
          <w:szCs w:val="20"/>
          <w:color w:val="auto"/>
        </w:rPr>
      </w:pPr>
    </w:p>
    <w:p>
      <w:pPr>
        <w:ind w:left="860" w:right="360" w:hanging="255"/>
        <w:spacing w:after="0" w:line="282" w:lineRule="auto"/>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equity market conditions affecting comparable public companies and the market performance of comparable publicly traded companies;</w:t>
      </w:r>
    </w:p>
    <w:p>
      <w:pPr>
        <w:spacing w:after="0" w:line="132" w:lineRule="exact"/>
        <w:rPr>
          <w:rFonts w:ascii="Arial" w:cs="Arial" w:eastAsia="Arial" w:hAnsi="Arial"/>
          <w:sz w:val="20"/>
          <w:szCs w:val="20"/>
          <w:color w:val="auto"/>
        </w:rPr>
      </w:pPr>
    </w:p>
    <w:p>
      <w:pPr>
        <w:ind w:left="860" w:hanging="255"/>
        <w:spacing w:after="0"/>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U.S. and global capital market conditions; and</w:t>
      </w:r>
    </w:p>
    <w:p>
      <w:pPr>
        <w:spacing w:after="0" w:line="213" w:lineRule="exact"/>
        <w:rPr>
          <w:rFonts w:ascii="Arial" w:cs="Arial" w:eastAsia="Arial" w:hAnsi="Arial"/>
          <w:sz w:val="20"/>
          <w:szCs w:val="20"/>
          <w:color w:val="auto"/>
        </w:rPr>
      </w:pPr>
    </w:p>
    <w:p>
      <w:pPr>
        <w:ind w:left="860" w:hanging="255"/>
        <w:spacing w:after="0"/>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lack of marketability of our common stock and the results of independent third-party valuations.</w:t>
      </w:r>
    </w:p>
    <w:p>
      <w:pPr>
        <w:spacing w:after="0" w:line="200" w:lineRule="exact"/>
        <w:rPr>
          <w:sz w:val="20"/>
          <w:szCs w:val="20"/>
          <w:color w:val="auto"/>
        </w:rPr>
      </w:pPr>
    </w:p>
    <w:p>
      <w:pPr>
        <w:ind w:right="320" w:firstLine="490"/>
        <w:spacing w:after="0" w:line="254" w:lineRule="auto"/>
        <w:rPr>
          <w:sz w:val="20"/>
          <w:szCs w:val="20"/>
          <w:color w:val="auto"/>
        </w:rPr>
      </w:pPr>
      <w:r>
        <w:rPr>
          <w:rFonts w:ascii="Arial" w:cs="Arial" w:eastAsia="Arial" w:hAnsi="Arial"/>
          <w:sz w:val="20"/>
          <w:szCs w:val="20"/>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46"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auto"/>
        </w:rPr>
        <w:t>Following our IPO, our board of directors no longer estimate the fair value of our common stock in connection with granted stock options and other granted equity awards as the fair value of our common stock is determined based on the closing quoted market price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04" w:lineRule="exact"/>
        <w:rPr>
          <w:sz w:val="20"/>
          <w:szCs w:val="20"/>
          <w:color w:val="auto"/>
        </w:rPr>
      </w:pPr>
    </w:p>
    <w:p>
      <w:pPr>
        <w:ind w:right="560" w:firstLine="490"/>
        <w:spacing w:after="0" w:line="261"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1 - Business Overview and Summary of Significant Accounting Policies</w:t>
      </w:r>
      <w:r>
        <w:rPr>
          <w:rFonts w:ascii="Arial" w:cs="Arial" w:eastAsia="Arial" w:hAnsi="Arial"/>
          <w:sz w:val="20"/>
          <w:szCs w:val="20"/>
          <w:color w:val="auto"/>
        </w:rPr>
        <w:t xml:space="preserve"> to our consolidated financial statements included elsewhere in this Annual Report on Form 10-K for accounting pronouncements adopted and accounting pronouncements not yet adopted as of December 31, 2023.</w:t>
      </w:r>
    </w:p>
    <w:p>
      <w:pPr>
        <w:sectPr>
          <w:pgSz w:w="12240" w:h="15840" w:orient="portrait"/>
          <w:cols w:equalWidth="0" w:num="1">
            <w:col w:w="10760"/>
          </w:cols>
          <w:pgMar w:left="720" w:top="1160"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10760"/>
          </w:cols>
          <w:pgMar w:left="720" w:top="1160" w:right="760" w:bottom="186" w:gutter="0" w:footer="0" w:header="0"/>
          <w:type w:val="continuous"/>
        </w:sectPr>
      </w:pPr>
    </w:p>
    <w:bookmarkStart w:id="104" w:name="page105"/>
    <w:bookmarkEnd w:id="104"/>
    <w:p>
      <w:pPr>
        <w:ind w:right="4300"/>
        <w:spacing w:after="0" w:line="450" w:lineRule="auto"/>
        <w:rPr>
          <w:sz w:val="20"/>
          <w:szCs w:val="20"/>
          <w:color w:val="auto"/>
        </w:rPr>
      </w:pPr>
      <w:r>
        <w:rPr>
          <w:rFonts w:ascii="Arial" w:cs="Arial" w:eastAsia="Arial" w:hAnsi="Arial"/>
          <w:sz w:val="20"/>
          <w:szCs w:val="20"/>
          <w:b w:val="1"/>
          <w:bCs w:val="1"/>
          <w:color w:val="auto"/>
        </w:rPr>
        <w:t>Item 7A. Quantitative and Qualitative Disclosures About Market Risk Quantitative and Qualitative Disclosures About Market Risk</w:t>
      </w:r>
    </w:p>
    <w:p>
      <w:pPr>
        <w:spacing w:after="0" w:line="2" w:lineRule="exact"/>
        <w:rPr>
          <w:sz w:val="20"/>
          <w:szCs w:val="20"/>
          <w:color w:val="auto"/>
        </w:rPr>
      </w:pPr>
    </w:p>
    <w:p>
      <w:pPr>
        <w:ind w:right="200" w:firstLine="490"/>
        <w:spacing w:after="0" w:line="261" w:lineRule="auto"/>
        <w:rPr>
          <w:sz w:val="20"/>
          <w:szCs w:val="20"/>
          <w:color w:val="auto"/>
        </w:rPr>
      </w:pPr>
      <w:r>
        <w:rPr>
          <w:rFonts w:ascii="Arial" w:cs="Arial" w:eastAsia="Arial" w:hAnsi="Arial"/>
          <w:sz w:val="20"/>
          <w:szCs w:val="20"/>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Our Revolving Credit Facility consists of ABR loans or Eurodollar Borrowings, at our option.</w:t>
      </w:r>
    </w:p>
    <w:p>
      <w:pPr>
        <w:spacing w:after="0" w:line="200" w:lineRule="exact"/>
        <w:rPr>
          <w:sz w:val="20"/>
          <w:szCs w:val="20"/>
          <w:color w:val="auto"/>
        </w:rPr>
      </w:pPr>
    </w:p>
    <w:p>
      <w:pPr>
        <w:ind w:right="120" w:firstLine="490"/>
        <w:spacing w:after="0" w:line="246" w:lineRule="auto"/>
        <w:rPr>
          <w:sz w:val="20"/>
          <w:szCs w:val="20"/>
          <w:color w:val="auto"/>
        </w:rPr>
      </w:pPr>
      <w:r>
        <w:rPr>
          <w:rFonts w:ascii="Arial" w:cs="Arial" w:eastAsia="Arial" w:hAnsi="Arial"/>
          <w:sz w:val="20"/>
          <w:szCs w:val="20"/>
          <w:color w:val="auto"/>
        </w:rPr>
        <w:t>On June 23, 2023, we executed the First Amendment to its Revolving Credit Facility to transition from the LIBOR benchmark rate to the SOFR benchmark rate effective June 30, 2023. In accordance with the First Amendment, ABR loans bear interest at the ABR plus the applicable rate. Eurodollar Borrowings bear interest at the Adjusted Term SOFR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54" w:lineRule="exact"/>
        <w:rPr>
          <w:sz w:val="20"/>
          <w:szCs w:val="20"/>
          <w:color w:val="auto"/>
        </w:rPr>
      </w:pPr>
    </w:p>
    <w:p>
      <w:pPr>
        <w:ind w:right="180" w:firstLine="490"/>
        <w:spacing w:after="0" w:line="266" w:lineRule="auto"/>
        <w:rPr>
          <w:sz w:val="20"/>
          <w:szCs w:val="20"/>
          <w:color w:val="auto"/>
        </w:rPr>
      </w:pPr>
      <w:r>
        <w:rPr>
          <w:rFonts w:ascii="Arial" w:cs="Arial" w:eastAsia="Arial" w:hAnsi="Arial"/>
          <w:sz w:val="19"/>
          <w:szCs w:val="19"/>
          <w:color w:val="auto"/>
        </w:rPr>
        <w:t>Prior to the First Amendment, ABR loans bore interest at the ABR plus applicable rate. Eurodollar Borrowings bore interest at the Adjusted LIBOR plus the applicable rate. The ABR rate was based on the greatest of (a) the Prime Rate,</w:t>
      </w:r>
    </w:p>
    <w:p>
      <w:pPr>
        <w:spacing w:after="0" w:line="2" w:lineRule="exact"/>
        <w:rPr>
          <w:sz w:val="20"/>
          <w:szCs w:val="20"/>
          <w:color w:val="auto"/>
        </w:rPr>
      </w:pPr>
    </w:p>
    <w:p>
      <w:pPr>
        <w:jc w:val="both"/>
        <w:ind w:right="160"/>
        <w:spacing w:after="0" w:line="247"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Federal Funds Effective Rate plus 1/2 of 1%, or (c) the Adjusted LIBOR for a one-month interest period, plus 1%. The adjusted LIBOR was based on (x) the LIBOR, multiplied by (y) the Statutory Reserve Rate. The applicable rate was based upon our liquidity as of the most recent consolidated financial information and ranged from 0.75% to 2.25%.</w:t>
      </w:r>
    </w:p>
    <w:p>
      <w:pPr>
        <w:spacing w:after="0" w:line="154"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Revolving Credit Facility incurs a commitment fee ranging from 0.25% to 0.35% based upon our liquidity as of the most recent consolidated financial information assessed on the average undrawn portion of the available commitment.</w:t>
      </w:r>
    </w:p>
    <w:p>
      <w:pPr>
        <w:spacing w:after="0" w:line="120" w:lineRule="exact"/>
        <w:rPr>
          <w:sz w:val="20"/>
          <w:szCs w:val="20"/>
          <w:color w:val="auto"/>
        </w:rPr>
      </w:pPr>
    </w:p>
    <w:p>
      <w:pPr>
        <w:jc w:val="both"/>
        <w:ind w:right="80" w:firstLine="490"/>
        <w:spacing w:after="0" w:line="261" w:lineRule="auto"/>
        <w:rPr>
          <w:sz w:val="20"/>
          <w:szCs w:val="20"/>
          <w:color w:val="auto"/>
        </w:rPr>
      </w:pPr>
      <w:r>
        <w:rPr>
          <w:rFonts w:ascii="Arial" w:cs="Arial" w:eastAsia="Arial" w:hAnsi="Arial"/>
          <w:sz w:val="20"/>
          <w:szCs w:val="20"/>
          <w:color w:val="auto"/>
        </w:rPr>
        <w:t>As of December 31, 2023 and 2022, there was no outstanding indebtedness under the Revolving Credit Facility. An immediate 10% increase or decrease in interest rates would not have a material effect on our financial position,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Risk</w:t>
      </w:r>
    </w:p>
    <w:p>
      <w:pPr>
        <w:spacing w:after="0" w:line="204"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60" w:lineRule="exact"/>
        <w:rPr>
          <w:sz w:val="20"/>
          <w:szCs w:val="20"/>
          <w:color w:val="auto"/>
        </w:rPr>
      </w:pPr>
    </w:p>
    <w:p>
      <w:pPr>
        <w:ind w:right="300" w:firstLine="490"/>
        <w:spacing w:after="0" w:line="264" w:lineRule="auto"/>
        <w:rPr>
          <w:sz w:val="20"/>
          <w:szCs w:val="20"/>
          <w:color w:val="auto"/>
        </w:rPr>
      </w:pPr>
      <w:r>
        <w:rPr>
          <w:rFonts w:ascii="Arial" w:cs="Arial" w:eastAsia="Arial" w:hAnsi="Arial"/>
          <w:sz w:val="19"/>
          <w:szCs w:val="19"/>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During the year ended December 31, 2023, as the U.S. Dollar strengthened against several currencies, including the British Pound, relative to the prior year, these foreign exchange impacts reduced our reported revenue in U.S. Dollars by approximately $1.4 million compared to 2022 on a constant currency basis.</w:t>
      </w:r>
    </w:p>
    <w:p>
      <w:pPr>
        <w:spacing w:after="0" w:line="138"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Fluctuations in foreign currency exchange rates may also impact the value of assets and liabilities denominated in currencies other than the functional currencies of our entities. Our reporting currency and the functional currency of our</w:t>
      </w:r>
    </w:p>
    <w:p>
      <w:pPr>
        <w:sectPr>
          <w:pgSz w:w="12240" w:h="15840" w:orient="portrait"/>
          <w:cols w:equalWidth="0" w:num="1">
            <w:col w:w="10780"/>
          </w:cols>
          <w:pgMar w:left="720" w:top="1156" w:right="740" w:bottom="186"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0780"/>
          </w:cols>
          <w:pgMar w:left="720" w:top="1156" w:right="740" w:bottom="186" w:gutter="0" w:footer="0" w:header="0"/>
          <w:type w:val="continuous"/>
        </w:sectPr>
      </w:pPr>
    </w:p>
    <w:bookmarkStart w:id="105" w:name="page106"/>
    <w:bookmarkEnd w:id="105"/>
    <w:p>
      <w:pPr>
        <w:spacing w:after="0" w:line="245" w:lineRule="auto"/>
        <w:rPr>
          <w:sz w:val="20"/>
          <w:szCs w:val="20"/>
          <w:color w:val="auto"/>
        </w:rPr>
      </w:pPr>
      <w:r>
        <w:rPr>
          <w:rFonts w:ascii="Arial" w:cs="Arial" w:eastAsia="Arial" w:hAnsi="Arial"/>
          <w:sz w:val="20"/>
          <w:szCs w:val="20"/>
          <w:color w:val="auto"/>
        </w:rPr>
        <w:t>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income (loss) in our consolidated balance sheets. Gains and losses from the remeasurement of foreign currencies into functional currencies are recognized in the consolidated statements of operations and comprehensive loss. A potential change in foreign exchange rates of 10% from such remeasurement would have impacted loss before income taxes by approximately $19.9 million and $10.9 million for the years ended December 31, 2023 and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Risk</w:t>
      </w:r>
    </w:p>
    <w:p>
      <w:pPr>
        <w:spacing w:after="0" w:line="204" w:lineRule="exact"/>
        <w:rPr>
          <w:sz w:val="20"/>
          <w:szCs w:val="20"/>
          <w:color w:val="auto"/>
        </w:rPr>
      </w:pPr>
    </w:p>
    <w:p>
      <w:pPr>
        <w:jc w:val="both"/>
        <w:ind w:right="20" w:firstLine="490"/>
        <w:spacing w:after="0" w:line="261" w:lineRule="auto"/>
        <w:rPr>
          <w:sz w:val="20"/>
          <w:szCs w:val="20"/>
          <w:color w:val="auto"/>
        </w:rPr>
      </w:pPr>
      <w:r>
        <w:rPr>
          <w:rFonts w:ascii="Arial" w:cs="Arial" w:eastAsia="Arial" w:hAnsi="Arial"/>
          <w:sz w:val="20"/>
          <w:szCs w:val="20"/>
          <w:color w:val="auto"/>
        </w:rPr>
        <w:t>Inflation did not have a material effect on our cash flows and results of operations during the year ended December 31, 2023. If our costs were to become subject to significant inflationary pressures, we may not be able to fully offset such higher costs through increase in prices of our product offerings.</w:t>
      </w:r>
    </w:p>
    <w:p>
      <w:pPr>
        <w:sectPr>
          <w:pgSz w:w="12240" w:h="15840" w:orient="portrait"/>
          <w:cols w:equalWidth="0" w:num="1">
            <w:col w:w="10680"/>
          </w:cols>
          <w:pgMar w:left="720" w:top="1160" w:right="8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0680"/>
          </w:cols>
          <w:pgMar w:left="720" w:top="1160" w:right="840" w:bottom="186"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20"/>
          <w:szCs w:val="20"/>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12065</wp:posOffset>
            </wp:positionV>
            <wp:extent cx="47942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a:extLst>
                        <a:ext uri="{28A0092B-C50C-407E-A947-70E740481C1C}"/>
                      </a:extLst>
                    </a:blip>
                    <a:srcRect/>
                    <a:stretch>
                      <a:fillRect/>
                    </a:stretch>
                  </pic:blipFill>
                  <pic:spPr bwMode="auto">
                    <a:xfrm>
                      <a:off x="0" y="0"/>
                      <a:ext cx="479425" cy="12700"/>
                    </a:xfrm>
                    <a:prstGeom prst="rect">
                      <a:avLst/>
                    </a:prstGeom>
                    <a:noFill/>
                  </pic:spPr>
                </pic:pic>
              </a:graphicData>
            </a:graphic>
          </wp:anchor>
        </w:drawing>
      </w:r>
    </w:p>
    <w:p>
      <w:pPr>
        <w:spacing w:after="0" w:line="270" w:lineRule="exact"/>
        <w:rPr>
          <w:sz w:val="20"/>
          <w:szCs w:val="20"/>
          <w:color w:val="auto"/>
        </w:rPr>
      </w:pPr>
    </w:p>
    <w:p>
      <w:pPr>
        <w:ind w:left="20"/>
        <w:spacing w:after="0"/>
        <w:tabs>
          <w:tab w:leader="dot" w:pos="10440" w:val="left"/>
        </w:tabs>
        <w:rPr>
          <w:sz w:val="20"/>
          <w:szCs w:val="20"/>
          <w:color w:val="auto"/>
        </w:rPr>
      </w:pPr>
      <w:r>
        <w:rPr>
          <w:rFonts w:ascii="Arial" w:cs="Arial" w:eastAsia="Arial" w:hAnsi="Arial"/>
          <w:sz w:val="20"/>
          <w:szCs w:val="20"/>
          <w:color w:val="auto"/>
        </w:rPr>
        <w:t>Report of Independent Registered Public Accounting Firm (PCAOB ID 238)</w:t>
      </w:r>
      <w:r>
        <w:rPr>
          <w:sz w:val="20"/>
          <w:szCs w:val="20"/>
          <w:color w:val="auto"/>
        </w:rPr>
        <w:tab/>
      </w:r>
      <w:r>
        <w:rPr>
          <w:rFonts w:ascii="Arial" w:cs="Arial" w:eastAsia="Arial" w:hAnsi="Arial"/>
          <w:sz w:val="19"/>
          <w:szCs w:val="19"/>
          <w:color w:val="auto"/>
        </w:rPr>
        <w:t>106</w:t>
      </w:r>
    </w:p>
    <w:p>
      <w:pPr>
        <w:spacing w:after="0" w:line="41" w:lineRule="exact"/>
        <w:rPr>
          <w:sz w:val="20"/>
          <w:szCs w:val="20"/>
          <w:color w:val="auto"/>
        </w:rPr>
      </w:pPr>
    </w:p>
    <w:p>
      <w:pPr>
        <w:ind w:left="20"/>
        <w:spacing w:after="0"/>
        <w:tabs>
          <w:tab w:leader="dot" w:pos="10440" w:val="left"/>
        </w:tabs>
        <w:rPr>
          <w:sz w:val="20"/>
          <w:szCs w:val="20"/>
          <w:color w:val="auto"/>
        </w:rPr>
      </w:pPr>
      <w:r>
        <w:rPr>
          <w:rFonts w:ascii="Arial" w:cs="Arial" w:eastAsia="Arial" w:hAnsi="Arial"/>
          <w:sz w:val="20"/>
          <w:szCs w:val="20"/>
          <w:color w:val="auto"/>
        </w:rPr>
        <w:t>Consolidated Balance Sheets</w:t>
      </w:r>
      <w:r>
        <w:rPr>
          <w:sz w:val="20"/>
          <w:szCs w:val="20"/>
          <w:color w:val="auto"/>
        </w:rPr>
        <w:tab/>
      </w:r>
      <w:r>
        <w:rPr>
          <w:rFonts w:ascii="Arial" w:cs="Arial" w:eastAsia="Arial" w:hAnsi="Arial"/>
          <w:sz w:val="19"/>
          <w:szCs w:val="19"/>
          <w:color w:val="auto"/>
        </w:rPr>
        <w:t>109</w:t>
      </w:r>
    </w:p>
    <w:p>
      <w:pPr>
        <w:spacing w:after="0" w:line="20" w:lineRule="exact"/>
        <w:rPr>
          <w:sz w:val="20"/>
          <w:szCs w:val="20"/>
          <w:color w:val="auto"/>
        </w:rPr>
      </w:pPr>
    </w:p>
    <w:p>
      <w:pPr>
        <w:ind w:left="20"/>
        <w:spacing w:after="0"/>
        <w:tabs>
          <w:tab w:leader="dot" w:pos="10440" w:val="left"/>
        </w:tabs>
        <w:rPr>
          <w:sz w:val="20"/>
          <w:szCs w:val="20"/>
          <w:color w:val="auto"/>
        </w:rPr>
      </w:pPr>
      <w:r>
        <w:rPr>
          <w:rFonts w:ascii="Arial" w:cs="Arial" w:eastAsia="Arial" w:hAnsi="Arial"/>
          <w:sz w:val="20"/>
          <w:szCs w:val="20"/>
          <w:color w:val="auto"/>
        </w:rPr>
        <w:t>Consolidated Statements of Operations and Comprehensive Loss</w:t>
      </w:r>
      <w:r>
        <w:rPr>
          <w:sz w:val="20"/>
          <w:szCs w:val="20"/>
          <w:color w:val="auto"/>
        </w:rPr>
        <w:tab/>
      </w:r>
      <w:r>
        <w:rPr>
          <w:rFonts w:ascii="Arial" w:cs="Arial" w:eastAsia="Arial" w:hAnsi="Arial"/>
          <w:sz w:val="19"/>
          <w:szCs w:val="19"/>
          <w:color w:val="auto"/>
        </w:rPr>
        <w:t>110</w:t>
      </w:r>
    </w:p>
    <w:p>
      <w:pPr>
        <w:spacing w:after="0" w:line="5"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Consolidated Statements of Convertible Preferred Stock, Redeemable Convertible Preferred Stock and</w:t>
      </w:r>
    </w:p>
    <w:p>
      <w:pPr>
        <w:ind w:left="260"/>
        <w:spacing w:after="0"/>
        <w:tabs>
          <w:tab w:leader="dot" w:pos="10440" w:val="left"/>
        </w:tabs>
        <w:rPr>
          <w:sz w:val="20"/>
          <w:szCs w:val="20"/>
          <w:color w:val="auto"/>
        </w:rPr>
      </w:pPr>
      <w:r>
        <w:rPr>
          <w:rFonts w:ascii="Arial" w:cs="Arial" w:eastAsia="Arial" w:hAnsi="Arial"/>
          <w:sz w:val="20"/>
          <w:szCs w:val="20"/>
          <w:color w:val="auto"/>
        </w:rPr>
        <w:t>Stockholders’ Equity (Deficit)</w:t>
      </w:r>
      <w:r>
        <w:rPr>
          <w:sz w:val="20"/>
          <w:szCs w:val="20"/>
          <w:color w:val="auto"/>
        </w:rPr>
        <w:tab/>
      </w:r>
      <w:r>
        <w:rPr>
          <w:rFonts w:ascii="Arial" w:cs="Arial" w:eastAsia="Arial" w:hAnsi="Arial"/>
          <w:sz w:val="19"/>
          <w:szCs w:val="19"/>
          <w:color w:val="auto"/>
        </w:rPr>
        <w:t>111</w:t>
      </w:r>
    </w:p>
    <w:p>
      <w:pPr>
        <w:spacing w:after="0" w:line="20" w:lineRule="exact"/>
        <w:rPr>
          <w:sz w:val="20"/>
          <w:szCs w:val="20"/>
          <w:color w:val="auto"/>
        </w:rPr>
      </w:pPr>
    </w:p>
    <w:p>
      <w:pPr>
        <w:ind w:left="20"/>
        <w:spacing w:after="0"/>
        <w:tabs>
          <w:tab w:leader="dot" w:pos="10440" w:val="left"/>
        </w:tabs>
        <w:rPr>
          <w:sz w:val="20"/>
          <w:szCs w:val="20"/>
          <w:color w:val="auto"/>
        </w:rPr>
      </w:pPr>
      <w:r>
        <w:rPr>
          <w:rFonts w:ascii="Arial" w:cs="Arial" w:eastAsia="Arial" w:hAnsi="Arial"/>
          <w:sz w:val="20"/>
          <w:szCs w:val="20"/>
          <w:color w:val="auto"/>
        </w:rPr>
        <w:t>Consolidated Statements of Cash Flows</w:t>
      </w:r>
      <w:r>
        <w:rPr>
          <w:sz w:val="20"/>
          <w:szCs w:val="20"/>
          <w:color w:val="auto"/>
        </w:rPr>
        <w:tab/>
      </w:r>
      <w:r>
        <w:rPr>
          <w:rFonts w:ascii="Arial" w:cs="Arial" w:eastAsia="Arial" w:hAnsi="Arial"/>
          <w:sz w:val="19"/>
          <w:szCs w:val="19"/>
          <w:color w:val="auto"/>
        </w:rPr>
        <w:t>114</w:t>
      </w:r>
    </w:p>
    <w:p>
      <w:pPr>
        <w:spacing w:after="0" w:line="15" w:lineRule="exact"/>
        <w:rPr>
          <w:sz w:val="20"/>
          <w:szCs w:val="20"/>
          <w:color w:val="auto"/>
        </w:rPr>
      </w:pPr>
    </w:p>
    <w:p>
      <w:pPr>
        <w:ind w:left="20"/>
        <w:spacing w:after="0"/>
        <w:tabs>
          <w:tab w:leader="dot" w:pos="10440" w:val="left"/>
        </w:tabs>
        <w:rPr>
          <w:sz w:val="20"/>
          <w:szCs w:val="20"/>
          <w:color w:val="auto"/>
        </w:rPr>
      </w:pPr>
      <w:r>
        <w:rPr>
          <w:rFonts w:ascii="Arial" w:cs="Arial" w:eastAsia="Arial" w:hAnsi="Arial"/>
          <w:sz w:val="20"/>
          <w:szCs w:val="20"/>
          <w:color w:val="auto"/>
        </w:rPr>
        <w:t>Notes to Consolidated Financial Statements</w:t>
      </w:r>
      <w:r>
        <w:rPr>
          <w:sz w:val="20"/>
          <w:szCs w:val="20"/>
          <w:color w:val="auto"/>
        </w:rPr>
        <w:tab/>
      </w:r>
      <w:r>
        <w:rPr>
          <w:rFonts w:ascii="Arial" w:cs="Arial" w:eastAsia="Arial" w:hAnsi="Arial"/>
          <w:sz w:val="19"/>
          <w:szCs w:val="19"/>
          <w:color w:val="auto"/>
        </w:rPr>
        <w:t>116</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 Business Overview and Summary of Significant Accounting Policies</w:t>
      </w:r>
      <w:r>
        <w:rPr>
          <w:sz w:val="20"/>
          <w:szCs w:val="20"/>
          <w:color w:val="auto"/>
        </w:rPr>
        <w:tab/>
      </w:r>
      <w:r>
        <w:rPr>
          <w:rFonts w:ascii="Arial" w:cs="Arial" w:eastAsia="Arial" w:hAnsi="Arial"/>
          <w:sz w:val="19"/>
          <w:szCs w:val="19"/>
          <w:color w:val="auto"/>
        </w:rPr>
        <w:t>116</w:t>
      </w:r>
    </w:p>
    <w:p>
      <w:pPr>
        <w:spacing w:after="0" w:line="25"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2. Revenue and Recognition</w:t>
      </w:r>
      <w:r>
        <w:rPr>
          <w:sz w:val="20"/>
          <w:szCs w:val="20"/>
          <w:color w:val="auto"/>
        </w:rPr>
        <w:tab/>
      </w:r>
      <w:r>
        <w:rPr>
          <w:rFonts w:ascii="Arial" w:cs="Arial" w:eastAsia="Arial" w:hAnsi="Arial"/>
          <w:sz w:val="19"/>
          <w:szCs w:val="19"/>
          <w:color w:val="auto"/>
        </w:rPr>
        <w:t>129</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3. Allowance for Credit Losses</w:t>
      </w:r>
      <w:r>
        <w:rPr>
          <w:sz w:val="20"/>
          <w:szCs w:val="20"/>
          <w:color w:val="auto"/>
        </w:rPr>
        <w:tab/>
      </w:r>
      <w:r>
        <w:rPr>
          <w:rFonts w:ascii="Arial" w:cs="Arial" w:eastAsia="Arial" w:hAnsi="Arial"/>
          <w:sz w:val="19"/>
          <w:szCs w:val="19"/>
          <w:color w:val="auto"/>
        </w:rPr>
        <w:t>131</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4. Fair Value Measurements</w:t>
      </w:r>
      <w:r>
        <w:rPr>
          <w:sz w:val="20"/>
          <w:szCs w:val="20"/>
          <w:color w:val="auto"/>
        </w:rPr>
        <w:tab/>
      </w:r>
      <w:r>
        <w:rPr>
          <w:rFonts w:ascii="Arial" w:cs="Arial" w:eastAsia="Arial" w:hAnsi="Arial"/>
          <w:sz w:val="19"/>
          <w:szCs w:val="19"/>
          <w:color w:val="auto"/>
        </w:rPr>
        <w:t>131</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5. Derivative Instruments</w:t>
      </w:r>
      <w:r>
        <w:rPr>
          <w:sz w:val="20"/>
          <w:szCs w:val="20"/>
          <w:color w:val="auto"/>
        </w:rPr>
        <w:tab/>
      </w:r>
      <w:r>
        <w:rPr>
          <w:rFonts w:ascii="Arial" w:cs="Arial" w:eastAsia="Arial" w:hAnsi="Arial"/>
          <w:sz w:val="19"/>
          <w:szCs w:val="19"/>
          <w:color w:val="auto"/>
        </w:rPr>
        <w:t>133</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6. Accrued Expenses and Other Current Liabilities</w:t>
      </w:r>
      <w:r>
        <w:rPr>
          <w:sz w:val="20"/>
          <w:szCs w:val="20"/>
          <w:color w:val="auto"/>
        </w:rPr>
        <w:tab/>
      </w:r>
      <w:r>
        <w:rPr>
          <w:rFonts w:ascii="Arial" w:cs="Arial" w:eastAsia="Arial" w:hAnsi="Arial"/>
          <w:sz w:val="19"/>
          <w:szCs w:val="19"/>
          <w:color w:val="auto"/>
        </w:rPr>
        <w:t>133</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7. Property and Equipment, net</w:t>
      </w:r>
      <w:r>
        <w:rPr>
          <w:sz w:val="20"/>
          <w:szCs w:val="20"/>
          <w:color w:val="auto"/>
        </w:rPr>
        <w:tab/>
      </w:r>
      <w:r>
        <w:rPr>
          <w:rFonts w:ascii="Arial" w:cs="Arial" w:eastAsia="Arial" w:hAnsi="Arial"/>
          <w:sz w:val="19"/>
          <w:szCs w:val="19"/>
          <w:color w:val="auto"/>
        </w:rPr>
        <w:t>134</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8. Business Combinations</w:t>
      </w:r>
      <w:r>
        <w:rPr>
          <w:sz w:val="20"/>
          <w:szCs w:val="20"/>
          <w:color w:val="auto"/>
        </w:rPr>
        <w:tab/>
      </w:r>
      <w:r>
        <w:rPr>
          <w:rFonts w:ascii="Arial" w:cs="Arial" w:eastAsia="Arial" w:hAnsi="Arial"/>
          <w:sz w:val="19"/>
          <w:szCs w:val="19"/>
          <w:color w:val="auto"/>
        </w:rPr>
        <w:t>134</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9. Goodwill and Acquired Intangible Assets</w:t>
      </w:r>
      <w:r>
        <w:rPr>
          <w:sz w:val="20"/>
          <w:szCs w:val="20"/>
          <w:color w:val="auto"/>
        </w:rPr>
        <w:tab/>
      </w:r>
      <w:r>
        <w:rPr>
          <w:rFonts w:ascii="Arial" w:cs="Arial" w:eastAsia="Arial" w:hAnsi="Arial"/>
          <w:sz w:val="19"/>
          <w:szCs w:val="19"/>
          <w:color w:val="auto"/>
        </w:rPr>
        <w:t>139</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10. Debt</w:t>
      </w:r>
      <w:r>
        <w:rPr>
          <w:sz w:val="20"/>
          <w:szCs w:val="20"/>
          <w:color w:val="auto"/>
        </w:rPr>
        <w:tab/>
      </w:r>
      <w:r>
        <w:rPr>
          <w:rFonts w:ascii="Arial" w:cs="Arial" w:eastAsia="Arial" w:hAnsi="Arial"/>
          <w:sz w:val="19"/>
          <w:szCs w:val="19"/>
          <w:color w:val="auto"/>
        </w:rPr>
        <w:t>140</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11. Stockholders’ Equity (Deficit)</w:t>
      </w:r>
      <w:r>
        <w:rPr>
          <w:sz w:val="20"/>
          <w:szCs w:val="20"/>
          <w:color w:val="auto"/>
        </w:rPr>
        <w:tab/>
      </w:r>
      <w:r>
        <w:rPr>
          <w:rFonts w:ascii="Arial" w:cs="Arial" w:eastAsia="Arial" w:hAnsi="Arial"/>
          <w:sz w:val="19"/>
          <w:szCs w:val="19"/>
          <w:color w:val="auto"/>
        </w:rPr>
        <w:t>141</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12. Stock-Based Compensation</w:t>
      </w:r>
      <w:r>
        <w:rPr>
          <w:sz w:val="20"/>
          <w:szCs w:val="20"/>
          <w:color w:val="auto"/>
        </w:rPr>
        <w:tab/>
      </w:r>
      <w:r>
        <w:rPr>
          <w:rFonts w:ascii="Arial" w:cs="Arial" w:eastAsia="Arial" w:hAnsi="Arial"/>
          <w:sz w:val="19"/>
          <w:szCs w:val="19"/>
          <w:color w:val="auto"/>
        </w:rPr>
        <w:t>142</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13. Net Loss per Share</w:t>
      </w:r>
      <w:r>
        <w:rPr>
          <w:sz w:val="20"/>
          <w:szCs w:val="20"/>
          <w:color w:val="auto"/>
        </w:rPr>
        <w:tab/>
      </w:r>
      <w:r>
        <w:rPr>
          <w:rFonts w:ascii="Arial" w:cs="Arial" w:eastAsia="Arial" w:hAnsi="Arial"/>
          <w:sz w:val="19"/>
          <w:szCs w:val="19"/>
          <w:color w:val="auto"/>
        </w:rPr>
        <w:t>145</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14. Income Taxes</w:t>
      </w:r>
      <w:r>
        <w:rPr>
          <w:sz w:val="20"/>
          <w:szCs w:val="20"/>
          <w:color w:val="auto"/>
        </w:rPr>
        <w:tab/>
      </w:r>
      <w:r>
        <w:rPr>
          <w:rFonts w:ascii="Arial" w:cs="Arial" w:eastAsia="Arial" w:hAnsi="Arial"/>
          <w:sz w:val="19"/>
          <w:szCs w:val="19"/>
          <w:color w:val="auto"/>
        </w:rPr>
        <w:t>145</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15. Leases</w:t>
      </w:r>
      <w:r>
        <w:rPr>
          <w:sz w:val="20"/>
          <w:szCs w:val="20"/>
          <w:color w:val="auto"/>
        </w:rPr>
        <w:tab/>
      </w:r>
      <w:r>
        <w:rPr>
          <w:rFonts w:ascii="Arial" w:cs="Arial" w:eastAsia="Arial" w:hAnsi="Arial"/>
          <w:sz w:val="19"/>
          <w:szCs w:val="19"/>
          <w:color w:val="auto"/>
        </w:rPr>
        <w:t>148</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16. Commitments and Contingencies</w:t>
      </w:r>
      <w:r>
        <w:rPr>
          <w:sz w:val="20"/>
          <w:szCs w:val="20"/>
          <w:color w:val="auto"/>
        </w:rPr>
        <w:tab/>
      </w:r>
      <w:r>
        <w:rPr>
          <w:rFonts w:ascii="Arial" w:cs="Arial" w:eastAsia="Arial" w:hAnsi="Arial"/>
          <w:sz w:val="19"/>
          <w:szCs w:val="19"/>
          <w:color w:val="auto"/>
        </w:rPr>
        <w:t>149</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17. Employee Benefit Plan</w:t>
      </w:r>
      <w:r>
        <w:rPr>
          <w:sz w:val="20"/>
          <w:szCs w:val="20"/>
          <w:color w:val="auto"/>
        </w:rPr>
        <w:tab/>
      </w:r>
      <w:r>
        <w:rPr>
          <w:rFonts w:ascii="Arial" w:cs="Arial" w:eastAsia="Arial" w:hAnsi="Arial"/>
          <w:sz w:val="19"/>
          <w:szCs w:val="19"/>
          <w:color w:val="auto"/>
        </w:rPr>
        <w:t>150</w:t>
      </w:r>
    </w:p>
    <w:p>
      <w:pPr>
        <w:spacing w:after="0" w:line="20" w:lineRule="exact"/>
        <w:rPr>
          <w:sz w:val="20"/>
          <w:szCs w:val="20"/>
          <w:color w:val="auto"/>
        </w:rPr>
      </w:pPr>
    </w:p>
    <w:p>
      <w:pPr>
        <w:ind w:left="500"/>
        <w:spacing w:after="0"/>
        <w:tabs>
          <w:tab w:leader="none" w:pos="10440" w:val="left"/>
        </w:tabs>
        <w:rPr>
          <w:sz w:val="20"/>
          <w:szCs w:val="20"/>
          <w:color w:val="auto"/>
        </w:rPr>
      </w:pPr>
      <w:r>
        <w:rPr>
          <w:rFonts w:ascii="Arial" w:cs="Arial" w:eastAsia="Arial" w:hAnsi="Arial"/>
          <w:sz w:val="20"/>
          <w:szCs w:val="20"/>
          <w:color w:val="auto"/>
        </w:rPr>
        <w:t>Note 18. Subsequent Event</w:t>
      </w:r>
      <w:r>
        <w:rPr>
          <w:sz w:val="20"/>
          <w:szCs w:val="20"/>
          <w:color w:val="auto"/>
        </w:rPr>
        <w:tab/>
      </w:r>
      <w:r>
        <w:rPr>
          <w:rFonts w:ascii="Arial" w:cs="Arial" w:eastAsia="Arial" w:hAnsi="Arial"/>
          <w:sz w:val="19"/>
          <w:szCs w:val="19"/>
          <w:color w:val="auto"/>
        </w:rPr>
        <w:t>150</w:t>
      </w:r>
    </w:p>
    <w:p>
      <w:pPr>
        <w:sectPr>
          <w:pgSz w:w="12240" w:h="15840" w:orient="portrait"/>
          <w:cols w:equalWidth="0" w:num="1">
            <w:col w:w="10780"/>
          </w:cols>
          <w:pgMar w:left="720" w:top="115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0780"/>
          </w:cols>
          <w:pgMar w:left="720" w:top="1156" w:right="740" w:bottom="186" w:gutter="0" w:footer="0" w:header="0"/>
          <w:type w:val="continuous"/>
        </w:sectPr>
      </w:pPr>
    </w:p>
    <w:bookmarkStart w:id="107" w:name="page108"/>
    <w:bookmarkEnd w:id="107"/>
    <w:p>
      <w:pPr>
        <w:ind w:left="20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Flywire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Opinions on the Financial Statements and Internal Control over Financial Reporting</w:t>
      </w:r>
    </w:p>
    <w:p>
      <w:pPr>
        <w:spacing w:after="0" w:line="20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We have audited the accompanying consolidated balance sheets of Flywire Corporation and its subsidiaries (the “Company”) as of December 31, 2023 and 2022, and the related consolidated statements of operations and comprehensive loss, of convertible preferred stock, redeemable convertible preferred stock and stockholders’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53"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Opinions</w:t>
      </w:r>
    </w:p>
    <w:p>
      <w:pPr>
        <w:spacing w:after="0" w:line="20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ind w:right="300"/>
        <w:spacing w:after="0" w:line="25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2"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As described in Management’s Annual Report on Internal Control Over Financial Reporting, management has excluded Learning Information Systems Pty Limited (“StudyLink”) from its assessment of internal control over financial reporting as of December 31, 2023, because it was acquired by the Company in a purchase business combination during 2023. We have also excluded StudyLink from our audit of internal control over financial reporting. StudyLink is a wholly-owned subsidiary whose total assets and total revenues excluded from management’s assessment and our audit of internal control over financial reporting represent 4.4% and 0.3%, respectively, of the related consolidated financial statement amounts as of and for the year ended December 31, 2023.</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ectPr>
          <w:pgSz w:w="12240" w:h="15840" w:orient="portrait"/>
          <w:cols w:equalWidth="0" w:num="1">
            <w:col w:w="10780"/>
          </w:cols>
          <w:pgMar w:left="720" w:top="1156" w:right="740" w:bottom="186"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0780"/>
          </w:cols>
          <w:pgMar w:left="720" w:top="1156" w:right="740" w:bottom="186" w:gutter="0" w:footer="0" w:header="0"/>
          <w:type w:val="continuous"/>
        </w:sectPr>
      </w:pPr>
    </w:p>
    <w:bookmarkStart w:id="108" w:name="page109"/>
    <w:bookmarkEnd w:id="108"/>
    <w:p>
      <w:pPr>
        <w:ind w:right="60"/>
        <w:spacing w:after="0" w:line="246" w:lineRule="auto"/>
        <w:rPr>
          <w:sz w:val="20"/>
          <w:szCs w:val="20"/>
          <w:color w:val="auto"/>
        </w:rPr>
      </w:pPr>
      <w:r>
        <w:rPr>
          <w:rFonts w:ascii="Arial" w:cs="Arial" w:eastAsia="Arial" w:hAnsi="Arial"/>
          <w:sz w:val="20"/>
          <w:szCs w:val="20"/>
          <w:color w:val="auto"/>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ind w:right="720"/>
        <w:spacing w:after="0" w:line="274" w:lineRule="auto"/>
        <w:rPr>
          <w:sz w:val="20"/>
          <w:szCs w:val="20"/>
          <w:color w:val="auto"/>
        </w:rPr>
      </w:pPr>
      <w:r>
        <w:rPr>
          <w:rFonts w:ascii="Arial" w:cs="Arial" w:eastAsia="Arial" w:hAnsi="Arial"/>
          <w:sz w:val="20"/>
          <w:szCs w:val="20"/>
          <w:i w:val="1"/>
          <w:iCs w:val="1"/>
          <w:color w:val="auto"/>
        </w:rPr>
        <w:t>Acquisition of Learning Information Systems Pty Ltd. - Valuation of a Certain Customer Relationship and a Certain Developed Technology</w:t>
      </w:r>
    </w:p>
    <w:p>
      <w:pPr>
        <w:spacing w:after="0" w:line="12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As described in Notes 1 and 8 to the consolidated financial statements, on November 3, 2023 the Company acquired all of the issued and outstanding shares of Learning Information Systems Pty Ltd. (“StudyLink”) for estimated total purchase consideration, net of cash acquired, of $35.5 million. Of the acquired intangible assets, $12.0 million of customer relationships, a portion of which related to a certain customer relationship asset, and $7.4 million of developed technology, a majority of which related to a certain developed technology asset, were recorded. Fair value is estimated by management using a multi-period excess earnings method for customer relationships and a relief-from-royalty method for developed technology. Determining the fair value is judgmental in nature and can involve the use of significant estimates and assumptions. Fair value is based on, among other factors, estimates of future expected cash flows, revenue growth rates, operating margins, royalty rates and discount rates.</w:t>
      </w:r>
    </w:p>
    <w:p>
      <w:pPr>
        <w:spacing w:after="0" w:line="157"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The principal considerations for our determination that performing procedures relating to the valuation of a certain customer relationship and a certain developed technology acquired in the acquisition of StudyLink is a critical audit matter are (i) the significant judgment by management when developing the fair value estimates of a certain customer relationship and a certain developed technology acquired; (ii) a high degree of auditor judgment, subjectivity, and effort in performing procedures and evaluating management’s significant assumptions related to revenue growth rates, royalty rates, and discount rates for a certain customer relationship and a certain developed technology; and (iii) the audit effort involved the use of professionals with specialized skill and knowledge.</w:t>
      </w:r>
    </w:p>
    <w:p>
      <w:pPr>
        <w:spacing w:after="0" w:line="153"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a certain customer relationship and a certain developed technology acquired. These procedures also included, among others (i) reading the purchase agreement; (ii) testing management’s process for developing the fair value estimates of a certain customer relationship and a certain developed technology acquired; (iii) evaluating the appropriateness of the multi-period excess earnings and relief-from-royalty methods used by management; (iv) testing the completeness and accuracy of the underlying data used in the multi-period excess earnings and relief-from-royalty methods; and (v) evaluating the reasonableness of the significant assumptions used by management related to revenue growth rates, royalty rates, and discount rates for a certain customer relationship and a certain developed technology. Evaluating management’s assumptions related to revenue growth rates involved considering (i) the current and past performance of the StudyLink business; (ii) the consistency with external market and industry data; and (iii) whether the assumptions were consistent with evidence obtained in other areas of the audit. Professionals with specialized skill and knowledge were used to assist in (i) evaluating the appropriateness of the multi-period excess earnings and relief-from-royalty methods and (ii) the reasonableness of the royalty rate and discount rate assumptions for a certain customer relationship and a certain developed technology.</w:t>
      </w:r>
    </w:p>
    <w:p>
      <w:pPr>
        <w:sectPr>
          <w:pgSz w:w="12240" w:h="15840" w:orient="portrait"/>
          <w:cols w:equalWidth="0" w:num="1">
            <w:col w:w="10800"/>
          </w:cols>
          <w:pgMar w:left="720" w:top="1160" w:right="720" w:bottom="186" w:gutter="0" w:footer="0" w:header="0"/>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0800"/>
          </w:cols>
          <w:pgMar w:left="720" w:top="1160" w:right="720" w:bottom="186"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rPr>
          <w:sz w:val="20"/>
          <w:szCs w:val="20"/>
          <w:color w:val="auto"/>
        </w:rPr>
      </w:pPr>
      <w:r>
        <w:rPr>
          <w:rFonts w:ascii="Arial" w:cs="Arial" w:eastAsia="Arial" w:hAnsi="Arial"/>
          <w:sz w:val="20"/>
          <w:szCs w:val="20"/>
          <w:color w:val="auto"/>
        </w:rPr>
        <w:t>February 28, 2024</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2019.</w:t>
      </w:r>
    </w:p>
    <w:p>
      <w:pPr>
        <w:sectPr>
          <w:pgSz w:w="12240" w:h="15840" w:orient="portrait"/>
          <w:cols w:equalWidth="0" w:num="1">
            <w:col w:w="10080"/>
          </w:cols>
          <w:pgMar w:left="720" w:top="139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0080"/>
          </w:cols>
          <w:pgMar w:left="720" w:top="1390" w:right="1440" w:bottom="186"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20"/>
          <w:szCs w:val="20"/>
          <w:b w:val="1"/>
          <w:bCs w:val="1"/>
          <w:color w:val="auto"/>
        </w:rPr>
        <w:t>FLYWIRE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color w:val="auto"/>
        </w:rPr>
        <w:t>(Amounts in thousands, except par value per share and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7480" w:type="dxa"/>
            <w:vAlign w:val="bottom"/>
            <w:tcBorders>
              <w:bottom w:val="single" w:sz="8" w:color="E0E0E0"/>
            </w:tcBorders>
          </w:tcPr>
          <w:p>
            <w:pPr>
              <w:spacing w:after="0"/>
              <w:rPr>
                <w:sz w:val="15"/>
                <w:szCs w:val="15"/>
                <w:color w:val="auto"/>
              </w:rPr>
            </w:pPr>
          </w:p>
        </w:tc>
        <w:tc>
          <w:tcPr>
            <w:tcW w:w="160" w:type="dxa"/>
            <w:vAlign w:val="bottom"/>
            <w:tcBorders>
              <w:bottom w:val="single" w:sz="8" w:color="E0E0E0"/>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1"/>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1"/>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7480" w:type="dxa"/>
            <w:vAlign w:val="bottom"/>
            <w:shd w:val="clear" w:color="auto" w:fill="E0E0E0"/>
          </w:tcPr>
          <w:p>
            <w:pPr>
              <w:spacing w:after="0" w:line="220" w:lineRule="exact"/>
              <w:rPr>
                <w:sz w:val="20"/>
                <w:szCs w:val="20"/>
                <w:color w:val="auto"/>
              </w:rPr>
            </w:pPr>
            <w:r>
              <w:rPr>
                <w:rFonts w:ascii="Arial" w:cs="Arial" w:eastAsia="Arial" w:hAnsi="Arial"/>
                <w:sz w:val="20"/>
                <w:szCs w:val="20"/>
                <w:b w:val="1"/>
                <w:bCs w:val="1"/>
                <w:color w:val="auto"/>
              </w:rPr>
              <w:t>Assets</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color w:val="auto"/>
              </w:rPr>
              <w:t>Current assets: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Cash and cash equivalents</w:t>
            </w:r>
          </w:p>
        </w:tc>
        <w:tc>
          <w:tcPr>
            <w:tcW w:w="46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654,608</w:t>
            </w:r>
          </w:p>
        </w:tc>
        <w:tc>
          <w:tcPr>
            <w:tcW w:w="160" w:type="dxa"/>
            <w:vAlign w:val="bottom"/>
            <w:shd w:val="clear" w:color="auto" w:fill="E0E0E0"/>
          </w:tcPr>
          <w:p>
            <w:pPr>
              <w:spacing w:after="0"/>
              <w:rPr>
                <w:sz w:val="19"/>
                <w:szCs w:val="19"/>
                <w:color w:val="auto"/>
              </w:rPr>
            </w:pPr>
          </w:p>
        </w:tc>
        <w:tc>
          <w:tcPr>
            <w:tcW w:w="560" w:type="dxa"/>
            <w:vAlign w:val="bottom"/>
            <w:gridSpan w:val="2"/>
            <w:shd w:val="clear" w:color="auto" w:fill="E0E0E0"/>
          </w:tcPr>
          <w:p>
            <w:pPr>
              <w:jc w:val="right"/>
              <w:ind w:right="2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349,177</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ind w:left="280"/>
              <w:spacing w:after="0"/>
              <w:rPr>
                <w:sz w:val="20"/>
                <w:szCs w:val="20"/>
                <w:color w:val="auto"/>
              </w:rPr>
            </w:pPr>
            <w:r>
              <w:rPr>
                <w:rFonts w:ascii="Arial" w:cs="Arial" w:eastAsia="Arial" w:hAnsi="Arial"/>
                <w:sz w:val="20"/>
                <w:szCs w:val="20"/>
                <w:color w:val="auto"/>
              </w:rPr>
              <w:t>Restricted cash</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2,000</w:t>
            </w:r>
          </w:p>
        </w:tc>
        <w:tc>
          <w:tcPr>
            <w:tcW w:w="100" w:type="dxa"/>
            <w:vAlign w:val="bottom"/>
          </w:tcPr>
          <w:p>
            <w:pPr>
              <w:spacing w:after="0"/>
              <w:rPr>
                <w:sz w:val="19"/>
                <w:szCs w:val="19"/>
                <w:color w:val="auto"/>
              </w:rPr>
            </w:pPr>
          </w:p>
        </w:tc>
      </w:tr>
      <w:tr>
        <w:trPr>
          <w:trHeight w:val="230"/>
        </w:trPr>
        <w:tc>
          <w:tcPr>
            <w:tcW w:w="74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Accounts receivable, net</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18,215</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13,697</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ind w:left="280"/>
              <w:spacing w:after="0"/>
              <w:rPr>
                <w:sz w:val="20"/>
                <w:szCs w:val="20"/>
                <w:color w:val="auto"/>
              </w:rPr>
            </w:pPr>
            <w:r>
              <w:rPr>
                <w:rFonts w:ascii="Arial" w:cs="Arial" w:eastAsia="Arial" w:hAnsi="Arial"/>
                <w:sz w:val="20"/>
                <w:szCs w:val="20"/>
                <w:color w:val="auto"/>
              </w:rPr>
              <w:t>Unbilled receivables,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10,689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5,268</w:t>
            </w:r>
          </w:p>
        </w:tc>
        <w:tc>
          <w:tcPr>
            <w:tcW w:w="100" w:type="dxa"/>
            <w:vAlign w:val="bottom"/>
          </w:tcPr>
          <w:p>
            <w:pPr>
              <w:spacing w:after="0"/>
              <w:rPr>
                <w:sz w:val="19"/>
                <w:szCs w:val="19"/>
                <w:color w:val="auto"/>
              </w:rPr>
            </w:pPr>
          </w:p>
        </w:tc>
      </w:tr>
      <w:tr>
        <w:trPr>
          <w:trHeight w:val="230"/>
        </w:trPr>
        <w:tc>
          <w:tcPr>
            <w:tcW w:w="74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Funds receivable from payment partners</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113,945</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62,970</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Prepaid expenses and other current assets</w:t>
            </w:r>
          </w:p>
        </w:tc>
        <w:tc>
          <w:tcPr>
            <w:tcW w:w="16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18,227</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17,531</w:t>
            </w:r>
          </w:p>
        </w:tc>
        <w:tc>
          <w:tcPr>
            <w:tcW w:w="100" w:type="dxa"/>
            <w:vAlign w:val="bottom"/>
            <w:tcBorders>
              <w:bottom w:val="single" w:sz="8" w:color="E0E0E0"/>
            </w:tcBorders>
          </w:tcPr>
          <w:p>
            <w:pPr>
              <w:spacing w:after="0"/>
              <w:rPr>
                <w:sz w:val="19"/>
                <w:szCs w:val="19"/>
                <w:color w:val="auto"/>
              </w:rPr>
            </w:pPr>
          </w:p>
        </w:tc>
      </w:tr>
      <w:tr>
        <w:trPr>
          <w:trHeight w:val="220"/>
        </w:trPr>
        <w:tc>
          <w:tcPr>
            <w:tcW w:w="748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current assets</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815,684</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450,643</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15,134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13,317</w:t>
            </w:r>
          </w:p>
        </w:tc>
        <w:tc>
          <w:tcPr>
            <w:tcW w:w="100" w:type="dxa"/>
            <w:vAlign w:val="bottom"/>
          </w:tcPr>
          <w:p>
            <w:pPr>
              <w:spacing w:after="0"/>
              <w:rPr>
                <w:sz w:val="20"/>
                <w:szCs w:val="20"/>
                <w:color w:val="auto"/>
              </w:rPr>
            </w:pPr>
          </w:p>
        </w:tc>
      </w:tr>
      <w:tr>
        <w:trPr>
          <w:trHeight w:val="230"/>
        </w:trPr>
        <w:tc>
          <w:tcPr>
            <w:tcW w:w="7480" w:type="dxa"/>
            <w:vAlign w:val="bottom"/>
            <w:shd w:val="clear" w:color="auto" w:fill="E0E0E0"/>
          </w:tcPr>
          <w:p>
            <w:pPr>
              <w:spacing w:after="0"/>
              <w:rPr>
                <w:sz w:val="20"/>
                <w:szCs w:val="20"/>
                <w:color w:val="auto"/>
              </w:rPr>
            </w:pPr>
            <w:r>
              <w:rPr>
                <w:rFonts w:ascii="Arial" w:cs="Arial" w:eastAsia="Arial" w:hAnsi="Arial"/>
                <w:sz w:val="20"/>
                <w:szCs w:val="20"/>
                <w:color w:val="auto"/>
              </w:rPr>
              <w:t>Intangible assets, net</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108,178</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97,616</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color w:val="auto"/>
              </w:rPr>
              <w:t>Goodwill</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121,646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97,766</w:t>
            </w:r>
          </w:p>
        </w:tc>
        <w:tc>
          <w:tcPr>
            <w:tcW w:w="100" w:type="dxa"/>
            <w:vAlign w:val="bottom"/>
          </w:tcPr>
          <w:p>
            <w:pPr>
              <w:spacing w:after="0"/>
              <w:rPr>
                <w:sz w:val="19"/>
                <w:szCs w:val="19"/>
                <w:color w:val="auto"/>
              </w:rPr>
            </w:pPr>
          </w:p>
        </w:tc>
      </w:tr>
      <w:tr>
        <w:trPr>
          <w:trHeight w:val="250"/>
        </w:trPr>
        <w:tc>
          <w:tcPr>
            <w:tcW w:w="7480" w:type="dxa"/>
            <w:vAlign w:val="bottom"/>
            <w:tcBorders>
              <w:bottom w:val="single" w:sz="8" w:color="E0E0E0"/>
            </w:tcBorders>
            <w:shd w:val="clear" w:color="auto" w:fill="E0E0E0"/>
          </w:tcPr>
          <w:p>
            <w:pPr>
              <w:spacing w:after="0"/>
              <w:rPr>
                <w:sz w:val="20"/>
                <w:szCs w:val="20"/>
                <w:color w:val="auto"/>
              </w:rPr>
            </w:pPr>
            <w:r>
              <w:rPr>
                <w:rFonts w:ascii="Arial" w:cs="Arial" w:eastAsia="Arial" w:hAnsi="Arial"/>
                <w:sz w:val="20"/>
                <w:szCs w:val="20"/>
                <w:color w:val="auto"/>
              </w:rPr>
              <w:t>Other assets</w:t>
            </w:r>
          </w:p>
        </w:tc>
        <w:tc>
          <w:tcPr>
            <w:tcW w:w="160" w:type="dxa"/>
            <w:vAlign w:val="bottom"/>
            <w:tcBorders>
              <w:bottom w:val="single" w:sz="8" w:color="E0E0E0"/>
            </w:tcBorders>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19,089</w:t>
            </w:r>
          </w:p>
        </w:tc>
        <w:tc>
          <w:tcPr>
            <w:tcW w:w="16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E0E0E0"/>
            </w:tcBorders>
            <w:shd w:val="clear" w:color="auto" w:fill="E0E0E0"/>
          </w:tcPr>
          <w:p>
            <w:pPr>
              <w:spacing w:after="0"/>
              <w:rPr>
                <w:sz w:val="21"/>
                <w:szCs w:val="21"/>
                <w:color w:val="auto"/>
              </w:rPr>
            </w:pPr>
          </w:p>
        </w:tc>
        <w:tc>
          <w:tcPr>
            <w:tcW w:w="460" w:type="dxa"/>
            <w:vAlign w:val="bottom"/>
            <w:tcBorders>
              <w:bottom w:val="single" w:sz="8" w:color="auto"/>
            </w:tcBorders>
            <w:shd w:val="clear" w:color="auto" w:fill="E0E0E0"/>
          </w:tcPr>
          <w:p>
            <w:pPr>
              <w:spacing w:after="0"/>
              <w:rPr>
                <w:sz w:val="21"/>
                <w:szCs w:val="21"/>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14,945</w:t>
            </w:r>
          </w:p>
        </w:tc>
        <w:tc>
          <w:tcPr>
            <w:tcW w:w="100" w:type="dxa"/>
            <w:vAlign w:val="bottom"/>
            <w:tcBorders>
              <w:bottom w:val="single" w:sz="8" w:color="E0E0E0"/>
            </w:tcBorders>
            <w:shd w:val="clear" w:color="auto" w:fill="E0E0E0"/>
          </w:tcPr>
          <w:p>
            <w:pPr>
              <w:spacing w:after="0"/>
              <w:rPr>
                <w:sz w:val="21"/>
                <w:szCs w:val="21"/>
                <w:color w:val="auto"/>
              </w:rPr>
            </w:pPr>
          </w:p>
        </w:tc>
      </w:tr>
      <w:tr>
        <w:trPr>
          <w:trHeight w:val="240"/>
        </w:trPr>
        <w:tc>
          <w:tcPr>
            <w:tcW w:w="7480" w:type="dxa"/>
            <w:vAlign w:val="bottom"/>
            <w:tcBorders>
              <w:bottom w:val="single" w:sz="8" w:color="E0E0E0"/>
            </w:tcBorders>
          </w:tcPr>
          <w:p>
            <w:pPr>
              <w:ind w:left="560"/>
              <w:spacing w:after="0" w:line="200" w:lineRule="exact"/>
              <w:rPr>
                <w:sz w:val="20"/>
                <w:szCs w:val="20"/>
                <w:color w:val="auto"/>
              </w:rPr>
            </w:pPr>
            <w:r>
              <w:rPr>
                <w:rFonts w:ascii="Arial" w:cs="Arial" w:eastAsia="Arial" w:hAnsi="Arial"/>
                <w:sz w:val="20"/>
                <w:szCs w:val="20"/>
                <w:color w:val="auto"/>
              </w:rPr>
              <w:t>Total assets</w:t>
            </w:r>
          </w:p>
        </w:tc>
        <w:tc>
          <w:tcPr>
            <w:tcW w:w="160" w:type="dxa"/>
            <w:vAlign w:val="bottom"/>
            <w:tcBorders>
              <w:bottom w:val="single" w:sz="8" w:color="E0E0E0"/>
            </w:tcBorders>
          </w:tcPr>
          <w:p>
            <w:pPr>
              <w:spacing w:after="0"/>
              <w:rPr>
                <w:sz w:val="20"/>
                <w:szCs w:val="20"/>
                <w:color w:val="auto"/>
              </w:rPr>
            </w:pPr>
          </w:p>
        </w:tc>
        <w:tc>
          <w:tcPr>
            <w:tcW w:w="30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1,079,731</w:t>
            </w:r>
          </w:p>
        </w:tc>
        <w:tc>
          <w:tcPr>
            <w:tcW w:w="16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460" w:type="dxa"/>
            <w:vAlign w:val="bottom"/>
            <w:tcBorders>
              <w:bottom w:val="single" w:sz="8" w:color="auto"/>
            </w:tcBorders>
          </w:tcPr>
          <w:p>
            <w:pPr>
              <w:jc w:val="right"/>
              <w:ind w:right="240"/>
              <w:spacing w:after="0" w:line="200" w:lineRule="exact"/>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674,287</w:t>
            </w:r>
          </w:p>
        </w:tc>
        <w:tc>
          <w:tcPr>
            <w:tcW w:w="100" w:type="dxa"/>
            <w:vAlign w:val="bottom"/>
            <w:tcBorders>
              <w:bottom w:val="single" w:sz="8" w:color="E0E0E0"/>
            </w:tcBorders>
          </w:tcPr>
          <w:p>
            <w:pPr>
              <w:spacing w:after="0"/>
              <w:rPr>
                <w:sz w:val="20"/>
                <w:szCs w:val="20"/>
                <w:color w:val="auto"/>
              </w:rPr>
            </w:pPr>
          </w:p>
        </w:tc>
      </w:tr>
      <w:tr>
        <w:trPr>
          <w:trHeight w:val="215"/>
        </w:trPr>
        <w:tc>
          <w:tcPr>
            <w:tcW w:w="7480" w:type="dxa"/>
            <w:vAlign w:val="bottom"/>
            <w:shd w:val="clear" w:color="auto" w:fill="E0E0E0"/>
          </w:tcPr>
          <w:p>
            <w:pPr>
              <w:spacing w:after="0" w:line="215" w:lineRule="exact"/>
              <w:rPr>
                <w:sz w:val="20"/>
                <w:szCs w:val="20"/>
                <w:color w:val="auto"/>
              </w:rPr>
            </w:pPr>
            <w:r>
              <w:rPr>
                <w:rFonts w:ascii="Arial" w:cs="Arial" w:eastAsia="Arial" w:hAnsi="Arial"/>
                <w:sz w:val="20"/>
                <w:szCs w:val="20"/>
                <w:b w:val="1"/>
                <w:bCs w:val="1"/>
                <w:color w:val="auto"/>
              </w:rPr>
              <w:t>Liabilities and Stockholders’ Equity</w:t>
            </w:r>
          </w:p>
        </w:tc>
        <w:tc>
          <w:tcPr>
            <w:tcW w:w="16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color w:val="auto"/>
              </w:rPr>
              <w:t>Current liabilities: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Accounts payable</w:t>
            </w:r>
          </w:p>
        </w:tc>
        <w:tc>
          <w:tcPr>
            <w:tcW w:w="46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12,587</w:t>
            </w:r>
          </w:p>
        </w:tc>
        <w:tc>
          <w:tcPr>
            <w:tcW w:w="160" w:type="dxa"/>
            <w:vAlign w:val="bottom"/>
            <w:shd w:val="clear" w:color="auto" w:fill="E0E0E0"/>
          </w:tcPr>
          <w:p>
            <w:pPr>
              <w:spacing w:after="0"/>
              <w:rPr>
                <w:sz w:val="19"/>
                <w:szCs w:val="19"/>
                <w:color w:val="auto"/>
              </w:rPr>
            </w:pPr>
          </w:p>
        </w:tc>
        <w:tc>
          <w:tcPr>
            <w:tcW w:w="560" w:type="dxa"/>
            <w:vAlign w:val="bottom"/>
            <w:gridSpan w:val="2"/>
            <w:shd w:val="clear" w:color="auto" w:fill="E0E0E0"/>
          </w:tcPr>
          <w:p>
            <w:pPr>
              <w:jc w:val="right"/>
              <w:ind w:right="2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13,325</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ind w:left="280"/>
              <w:spacing w:after="0"/>
              <w:rPr>
                <w:sz w:val="20"/>
                <w:szCs w:val="20"/>
                <w:color w:val="auto"/>
              </w:rPr>
            </w:pPr>
            <w:r>
              <w:rPr>
                <w:rFonts w:ascii="Arial" w:cs="Arial" w:eastAsia="Arial" w:hAnsi="Arial"/>
                <w:sz w:val="20"/>
                <w:szCs w:val="20"/>
                <w:color w:val="auto"/>
              </w:rPr>
              <w:t>Funds payable to clients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210,922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124,305</w:t>
            </w:r>
          </w:p>
        </w:tc>
        <w:tc>
          <w:tcPr>
            <w:tcW w:w="100" w:type="dxa"/>
            <w:vAlign w:val="bottom"/>
          </w:tcPr>
          <w:p>
            <w:pPr>
              <w:spacing w:after="0"/>
              <w:rPr>
                <w:sz w:val="19"/>
                <w:szCs w:val="19"/>
                <w:color w:val="auto"/>
              </w:rPr>
            </w:pPr>
          </w:p>
        </w:tc>
      </w:tr>
      <w:tr>
        <w:trPr>
          <w:trHeight w:val="230"/>
        </w:trPr>
        <w:tc>
          <w:tcPr>
            <w:tcW w:w="74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Accrued expenses and other current liabilities</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43,315</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34,423</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Deferred revenue</w:t>
            </w:r>
          </w:p>
        </w:tc>
        <w:tc>
          <w:tcPr>
            <w:tcW w:w="16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6,968</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5,223</w:t>
            </w:r>
          </w:p>
        </w:tc>
        <w:tc>
          <w:tcPr>
            <w:tcW w:w="100" w:type="dxa"/>
            <w:vAlign w:val="bottom"/>
            <w:tcBorders>
              <w:bottom w:val="single" w:sz="8" w:color="E0E0E0"/>
            </w:tcBorders>
          </w:tcPr>
          <w:p>
            <w:pPr>
              <w:spacing w:after="0"/>
              <w:rPr>
                <w:sz w:val="19"/>
                <w:szCs w:val="19"/>
                <w:color w:val="auto"/>
              </w:rPr>
            </w:pPr>
          </w:p>
        </w:tc>
      </w:tr>
      <w:tr>
        <w:trPr>
          <w:trHeight w:val="220"/>
        </w:trPr>
        <w:tc>
          <w:tcPr>
            <w:tcW w:w="748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current liabilities</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273,792</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177,276</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15,391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12,149</w:t>
            </w:r>
          </w:p>
        </w:tc>
        <w:tc>
          <w:tcPr>
            <w:tcW w:w="100" w:type="dxa"/>
            <w:vAlign w:val="bottom"/>
          </w:tcPr>
          <w:p>
            <w:pPr>
              <w:spacing w:after="0"/>
              <w:rPr>
                <w:sz w:val="19"/>
                <w:szCs w:val="19"/>
                <w:color w:val="auto"/>
              </w:rPr>
            </w:pPr>
          </w:p>
        </w:tc>
      </w:tr>
      <w:tr>
        <w:trPr>
          <w:trHeight w:val="230"/>
        </w:trPr>
        <w:tc>
          <w:tcPr>
            <w:tcW w:w="7480" w:type="dxa"/>
            <w:vAlign w:val="bottom"/>
            <w:shd w:val="clear" w:color="auto" w:fill="E0E0E0"/>
          </w:tcPr>
          <w:p>
            <w:pPr>
              <w:spacing w:after="0"/>
              <w:rPr>
                <w:sz w:val="20"/>
                <w:szCs w:val="20"/>
                <w:color w:val="auto"/>
              </w:rPr>
            </w:pPr>
            <w:r>
              <w:rPr>
                <w:rFonts w:ascii="Arial" w:cs="Arial" w:eastAsia="Arial" w:hAnsi="Arial"/>
                <w:sz w:val="20"/>
                <w:szCs w:val="20"/>
                <w:color w:val="auto"/>
              </w:rPr>
              <w:t>Other liabilities</w:t>
            </w:r>
          </w:p>
        </w:tc>
        <w:tc>
          <w:tcPr>
            <w:tcW w:w="16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4,431</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spacing w:after="0"/>
              <w:rPr>
                <w:sz w:val="19"/>
                <w:szCs w:val="19"/>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2,959</w:t>
            </w:r>
          </w:p>
        </w:tc>
        <w:tc>
          <w:tcPr>
            <w:tcW w:w="100" w:type="dxa"/>
            <w:vAlign w:val="bottom"/>
            <w:shd w:val="clear" w:color="auto" w:fill="E0E0E0"/>
          </w:tcPr>
          <w:p>
            <w:pPr>
              <w:spacing w:after="0"/>
              <w:rPr>
                <w:sz w:val="19"/>
                <w:szCs w:val="19"/>
                <w:color w:val="auto"/>
              </w:rPr>
            </w:pPr>
          </w:p>
        </w:tc>
      </w:tr>
      <w:tr>
        <w:trPr>
          <w:trHeight w:val="220"/>
        </w:trPr>
        <w:tc>
          <w:tcPr>
            <w:tcW w:w="7480" w:type="dxa"/>
            <w:vAlign w:val="bottom"/>
            <w:tcBorders>
              <w:bottom w:val="single" w:sz="8" w:color="E0E0E0"/>
            </w:tcBorders>
          </w:tcPr>
          <w:p>
            <w:pPr>
              <w:ind w:left="560"/>
              <w:spacing w:after="0" w:line="220" w:lineRule="exact"/>
              <w:rPr>
                <w:sz w:val="20"/>
                <w:szCs w:val="20"/>
                <w:color w:val="auto"/>
              </w:rPr>
            </w:pPr>
            <w:r>
              <w:rPr>
                <w:rFonts w:ascii="Arial" w:cs="Arial" w:eastAsia="Arial" w:hAnsi="Arial"/>
                <w:sz w:val="20"/>
                <w:szCs w:val="20"/>
                <w:color w:val="auto"/>
              </w:rPr>
              <w:t>Total liabilities</w:t>
            </w:r>
          </w:p>
        </w:tc>
        <w:tc>
          <w:tcPr>
            <w:tcW w:w="16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293,614</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192,384</w:t>
            </w:r>
          </w:p>
        </w:tc>
        <w:tc>
          <w:tcPr>
            <w:tcW w:w="100" w:type="dxa"/>
            <w:vAlign w:val="bottom"/>
            <w:tcBorders>
              <w:bottom w:val="single" w:sz="8" w:color="E0E0E0"/>
            </w:tcBorders>
          </w:tcPr>
          <w:p>
            <w:pPr>
              <w:spacing w:after="0"/>
              <w:rPr>
                <w:sz w:val="19"/>
                <w:szCs w:val="19"/>
                <w:color w:val="auto"/>
              </w:rPr>
            </w:pPr>
          </w:p>
        </w:tc>
      </w:tr>
      <w:tr>
        <w:trPr>
          <w:trHeight w:val="220"/>
        </w:trPr>
        <w:tc>
          <w:tcPr>
            <w:tcW w:w="74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Commitments and contingencies (Note 16)</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color w:val="auto"/>
              </w:rPr>
              <w:t>Stockholders’ equity:</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48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Preferred stock, $0.0001 par value; 10,000,000 shares authorized as of</w:t>
            </w:r>
          </w:p>
        </w:tc>
        <w:tc>
          <w:tcPr>
            <w:tcW w:w="16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7480" w:type="dxa"/>
            <w:vAlign w:val="bottom"/>
            <w:shd w:val="clear" w:color="auto" w:fill="E0E0E0"/>
          </w:tcPr>
          <w:p>
            <w:pPr>
              <w:ind w:left="440"/>
              <w:spacing w:after="0"/>
              <w:rPr>
                <w:sz w:val="20"/>
                <w:szCs w:val="20"/>
                <w:color w:val="auto"/>
              </w:rPr>
            </w:pPr>
            <w:r>
              <w:rPr>
                <w:rFonts w:ascii="Arial" w:cs="Arial" w:eastAsia="Arial" w:hAnsi="Arial"/>
                <w:sz w:val="20"/>
                <w:szCs w:val="20"/>
                <w:color w:val="auto"/>
              </w:rPr>
              <w:t>December 31, 2023 and 2022; and no shares issued and outstanding as of</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9"/>
        </w:trPr>
        <w:tc>
          <w:tcPr>
            <w:tcW w:w="7480" w:type="dxa"/>
            <w:vAlign w:val="bottom"/>
            <w:shd w:val="clear" w:color="auto" w:fill="E0E0E0"/>
          </w:tcPr>
          <w:p>
            <w:pPr>
              <w:ind w:left="440"/>
              <w:spacing w:after="0"/>
              <w:rPr>
                <w:sz w:val="20"/>
                <w:szCs w:val="20"/>
                <w:color w:val="auto"/>
              </w:rPr>
            </w:pPr>
            <w:r>
              <w:rPr>
                <w:rFonts w:ascii="Arial" w:cs="Arial" w:eastAsia="Arial" w:hAnsi="Arial"/>
                <w:sz w:val="20"/>
                <w:szCs w:val="20"/>
                <w:color w:val="auto"/>
              </w:rPr>
              <w:t>December 31, 2023 and 2022</w:t>
            </w:r>
          </w:p>
        </w:tc>
        <w:tc>
          <w:tcPr>
            <w:tcW w:w="1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21"/>
                <w:szCs w:val="21"/>
                <w:color w:val="auto"/>
              </w:rPr>
            </w:pPr>
          </w:p>
        </w:tc>
        <w:tc>
          <w:tcPr>
            <w:tcW w:w="460" w:type="dxa"/>
            <w:vAlign w:val="bottom"/>
            <w:shd w:val="clear" w:color="auto" w:fill="E0E0E0"/>
          </w:tcPr>
          <w:p>
            <w:pPr>
              <w:spacing w:after="0"/>
              <w:rPr>
                <w:sz w:val="21"/>
                <w:szCs w:val="21"/>
                <w:color w:val="auto"/>
              </w:rPr>
            </w:pPr>
          </w:p>
        </w:tc>
        <w:tc>
          <w:tcPr>
            <w:tcW w:w="104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w:t>
            </w:r>
          </w:p>
        </w:tc>
      </w:tr>
      <w:tr>
        <w:trPr>
          <w:trHeight w:val="211"/>
        </w:trPr>
        <w:tc>
          <w:tcPr>
            <w:tcW w:w="7480" w:type="dxa"/>
            <w:vAlign w:val="bottom"/>
          </w:tcPr>
          <w:p>
            <w:pPr>
              <w:ind w:left="280"/>
              <w:spacing w:after="0" w:line="210" w:lineRule="exact"/>
              <w:rPr>
                <w:sz w:val="20"/>
                <w:szCs w:val="20"/>
                <w:color w:val="auto"/>
              </w:rPr>
            </w:pPr>
            <w:r>
              <w:rPr>
                <w:rFonts w:ascii="Arial" w:cs="Arial" w:eastAsia="Arial" w:hAnsi="Arial"/>
                <w:sz w:val="20"/>
                <w:szCs w:val="20"/>
                <w:color w:val="auto"/>
              </w:rPr>
              <w:t>Voting common stock, $0.0001 par value; 2,000,000,000 shares authorized as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80" w:type="dxa"/>
            <w:vAlign w:val="bottom"/>
          </w:tcPr>
          <w:p>
            <w:pPr>
              <w:ind w:left="440"/>
              <w:spacing w:after="0"/>
              <w:rPr>
                <w:sz w:val="20"/>
                <w:szCs w:val="20"/>
                <w:color w:val="auto"/>
              </w:rPr>
            </w:pPr>
            <w:r>
              <w:rPr>
                <w:rFonts w:ascii="Arial" w:cs="Arial" w:eastAsia="Arial" w:hAnsi="Arial"/>
                <w:sz w:val="20"/>
                <w:szCs w:val="20"/>
                <w:color w:val="auto"/>
              </w:rPr>
              <w:t>of December 31, 2023 and 2022; 123,010,207 shares issued and</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80" w:type="dxa"/>
            <w:vAlign w:val="bottom"/>
          </w:tcPr>
          <w:p>
            <w:pPr>
              <w:ind w:left="440"/>
              <w:spacing w:after="0"/>
              <w:rPr>
                <w:sz w:val="20"/>
                <w:szCs w:val="20"/>
                <w:color w:val="auto"/>
              </w:rPr>
            </w:pPr>
            <w:r>
              <w:rPr>
                <w:rFonts w:ascii="Arial" w:cs="Arial" w:eastAsia="Arial" w:hAnsi="Arial"/>
                <w:sz w:val="20"/>
                <w:szCs w:val="20"/>
                <w:color w:val="auto"/>
              </w:rPr>
              <w:t>120,695,162 shares outstanding as of December 31, 2023; 109,790,702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480" w:type="dxa"/>
            <w:vAlign w:val="bottom"/>
          </w:tcPr>
          <w:p>
            <w:pPr>
              <w:ind w:left="440"/>
              <w:spacing w:after="0"/>
              <w:rPr>
                <w:sz w:val="20"/>
                <w:szCs w:val="20"/>
                <w:color w:val="auto"/>
              </w:rPr>
            </w:pPr>
            <w:r>
              <w:rPr>
                <w:rFonts w:ascii="Arial" w:cs="Arial" w:eastAsia="Arial" w:hAnsi="Arial"/>
                <w:sz w:val="20"/>
                <w:szCs w:val="20"/>
                <w:color w:val="auto"/>
              </w:rPr>
              <w:t>shares issued and 107,472,980 shares outstanding as of December 31, 2022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1"/>
                <w:szCs w:val="21"/>
                <w:color w:val="auto"/>
              </w:rPr>
            </w:pPr>
          </w:p>
        </w:tc>
      </w:tr>
      <w:tr>
        <w:trPr>
          <w:trHeight w:val="211"/>
        </w:trPr>
        <w:tc>
          <w:tcPr>
            <w:tcW w:w="748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Non-voting common stock, $0.0001 par value; 10,000,000 shares authorized as</w:t>
            </w:r>
          </w:p>
        </w:tc>
        <w:tc>
          <w:tcPr>
            <w:tcW w:w="16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7480" w:type="dxa"/>
            <w:vAlign w:val="bottom"/>
            <w:shd w:val="clear" w:color="auto" w:fill="E0E0E0"/>
          </w:tcPr>
          <w:p>
            <w:pPr>
              <w:ind w:left="440"/>
              <w:spacing w:after="0"/>
              <w:rPr>
                <w:sz w:val="20"/>
                <w:szCs w:val="20"/>
                <w:color w:val="auto"/>
              </w:rPr>
            </w:pPr>
            <w:r>
              <w:rPr>
                <w:rFonts w:ascii="Arial" w:cs="Arial" w:eastAsia="Arial" w:hAnsi="Arial"/>
                <w:sz w:val="20"/>
                <w:szCs w:val="20"/>
                <w:color w:val="auto"/>
              </w:rPr>
              <w:t>of December 31, 2023 and 2022; 1,873,320 shares issued and outstanding</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9"/>
        </w:trPr>
        <w:tc>
          <w:tcPr>
            <w:tcW w:w="7480" w:type="dxa"/>
            <w:vAlign w:val="bottom"/>
            <w:shd w:val="clear" w:color="auto" w:fill="E0E0E0"/>
          </w:tcPr>
          <w:p>
            <w:pPr>
              <w:ind w:left="440"/>
              <w:spacing w:after="0"/>
              <w:rPr>
                <w:sz w:val="20"/>
                <w:szCs w:val="20"/>
                <w:color w:val="auto"/>
              </w:rPr>
            </w:pPr>
            <w:r>
              <w:rPr>
                <w:rFonts w:ascii="Arial" w:cs="Arial" w:eastAsia="Arial" w:hAnsi="Arial"/>
                <w:sz w:val="20"/>
                <w:szCs w:val="20"/>
                <w:color w:val="auto"/>
              </w:rPr>
              <w:t>as of December 31, 2023 and 2022</w:t>
            </w:r>
          </w:p>
        </w:tc>
        <w:tc>
          <w:tcPr>
            <w:tcW w:w="1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6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w:t>
            </w:r>
          </w:p>
        </w:tc>
        <w:tc>
          <w:tcPr>
            <w:tcW w:w="100" w:type="dxa"/>
            <w:vAlign w:val="bottom"/>
            <w:shd w:val="clear" w:color="auto" w:fill="E0E0E0"/>
          </w:tcPr>
          <w:p>
            <w:pPr>
              <w:spacing w:after="0"/>
              <w:rPr>
                <w:sz w:val="21"/>
                <w:szCs w:val="21"/>
                <w:color w:val="auto"/>
              </w:rPr>
            </w:pPr>
          </w:p>
        </w:tc>
      </w:tr>
      <w:tr>
        <w:trPr>
          <w:trHeight w:val="211"/>
        </w:trPr>
        <w:tc>
          <w:tcPr>
            <w:tcW w:w="7480" w:type="dxa"/>
            <w:vAlign w:val="bottom"/>
          </w:tcPr>
          <w:p>
            <w:pPr>
              <w:ind w:left="280"/>
              <w:spacing w:after="0" w:line="210" w:lineRule="exact"/>
              <w:rPr>
                <w:sz w:val="20"/>
                <w:szCs w:val="20"/>
                <w:color w:val="auto"/>
              </w:rPr>
            </w:pPr>
            <w:r>
              <w:rPr>
                <w:rFonts w:ascii="Arial" w:cs="Arial" w:eastAsia="Arial" w:hAnsi="Arial"/>
                <w:sz w:val="20"/>
                <w:szCs w:val="20"/>
                <w:color w:val="auto"/>
              </w:rPr>
              <w:t>Treasury voting common stock, 2,315,045 and 2,317,722 shares as of</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480" w:type="dxa"/>
            <w:vAlign w:val="bottom"/>
          </w:tcPr>
          <w:p>
            <w:pPr>
              <w:ind w:left="440"/>
              <w:spacing w:after="0"/>
              <w:rPr>
                <w:sz w:val="20"/>
                <w:szCs w:val="20"/>
                <w:color w:val="auto"/>
              </w:rPr>
            </w:pPr>
            <w:r>
              <w:rPr>
                <w:rFonts w:ascii="Arial" w:cs="Arial" w:eastAsia="Arial" w:hAnsi="Arial"/>
                <w:sz w:val="20"/>
                <w:szCs w:val="20"/>
                <w:color w:val="auto"/>
              </w:rPr>
              <w:t>December 31, 2023 and 2022, respectively, held at cost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(747)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(748)</w:t>
            </w:r>
          </w:p>
        </w:tc>
      </w:tr>
      <w:tr>
        <w:trPr>
          <w:trHeight w:val="230"/>
        </w:trPr>
        <w:tc>
          <w:tcPr>
            <w:tcW w:w="7480" w:type="dxa"/>
            <w:vAlign w:val="bottom"/>
            <w:shd w:val="clear" w:color="auto" w:fill="E0E0E0"/>
          </w:tcPr>
          <w:p>
            <w:pPr>
              <w:ind w:left="560"/>
              <w:spacing w:after="0"/>
              <w:rPr>
                <w:sz w:val="20"/>
                <w:szCs w:val="20"/>
                <w:color w:val="auto"/>
              </w:rPr>
            </w:pPr>
            <w:r>
              <w:rPr>
                <w:rFonts w:ascii="Arial" w:cs="Arial" w:eastAsia="Arial" w:hAnsi="Arial"/>
                <w:sz w:val="20"/>
                <w:szCs w:val="20"/>
                <w:color w:val="auto"/>
              </w:rPr>
              <w:t>Additional paid-in capital</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959,302</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649,756</w:t>
            </w:r>
          </w:p>
        </w:tc>
        <w:tc>
          <w:tcPr>
            <w:tcW w:w="100" w:type="dxa"/>
            <w:vAlign w:val="bottom"/>
            <w:shd w:val="clear" w:color="auto" w:fill="E0E0E0"/>
          </w:tcPr>
          <w:p>
            <w:pPr>
              <w:spacing w:after="0"/>
              <w:rPr>
                <w:sz w:val="19"/>
                <w:szCs w:val="19"/>
                <w:color w:val="auto"/>
              </w:rPr>
            </w:pPr>
          </w:p>
        </w:tc>
      </w:tr>
      <w:tr>
        <w:trPr>
          <w:trHeight w:val="230"/>
        </w:trPr>
        <w:tc>
          <w:tcPr>
            <w:tcW w:w="7480" w:type="dxa"/>
            <w:vAlign w:val="bottom"/>
          </w:tcPr>
          <w:p>
            <w:pPr>
              <w:ind w:left="560"/>
              <w:spacing w:after="0"/>
              <w:rPr>
                <w:sz w:val="20"/>
                <w:szCs w:val="20"/>
                <w:color w:val="auto"/>
              </w:rPr>
            </w:pPr>
            <w:r>
              <w:rPr>
                <w:rFonts w:ascii="Arial" w:cs="Arial" w:eastAsia="Arial" w:hAnsi="Arial"/>
                <w:sz w:val="20"/>
                <w:szCs w:val="20"/>
                <w:color w:val="auto"/>
              </w:rPr>
              <w:t>Accumulated other comprehensive income (loss)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(1,912)</w:t>
            </w:r>
          </w:p>
        </w:tc>
      </w:tr>
      <w:tr>
        <w:trPr>
          <w:trHeight w:val="230"/>
        </w:trPr>
        <w:tc>
          <w:tcPr>
            <w:tcW w:w="7480" w:type="dxa"/>
            <w:vAlign w:val="bottom"/>
            <w:shd w:val="clear" w:color="auto" w:fill="E0E0E0"/>
          </w:tcPr>
          <w:p>
            <w:pPr>
              <w:ind w:left="560"/>
              <w:spacing w:after="0"/>
              <w:rPr>
                <w:sz w:val="20"/>
                <w:szCs w:val="20"/>
                <w:color w:val="auto"/>
              </w:rPr>
            </w:pPr>
            <w:r>
              <w:rPr>
                <w:rFonts w:ascii="Arial" w:cs="Arial" w:eastAsia="Arial" w:hAnsi="Arial"/>
                <w:sz w:val="20"/>
                <w:szCs w:val="20"/>
                <w:color w:val="auto"/>
              </w:rPr>
              <w:t>Accumulated deficit</w:t>
            </w:r>
          </w:p>
        </w:tc>
        <w:tc>
          <w:tcPr>
            <w:tcW w:w="16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(173,770)</w:t>
            </w:r>
          </w:p>
        </w:tc>
        <w:tc>
          <w:tcPr>
            <w:tcW w:w="10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(165,204)</w:t>
            </w:r>
          </w:p>
        </w:tc>
      </w:tr>
      <w:tr>
        <w:trPr>
          <w:trHeight w:val="220"/>
        </w:trPr>
        <w:tc>
          <w:tcPr>
            <w:tcW w:w="7480" w:type="dxa"/>
            <w:vAlign w:val="bottom"/>
            <w:tcBorders>
              <w:bottom w:val="single" w:sz="8" w:color="E0E0E0"/>
            </w:tcBorders>
          </w:tcPr>
          <w:p>
            <w:pPr>
              <w:ind w:left="840"/>
              <w:spacing w:after="0" w:line="220" w:lineRule="exact"/>
              <w:rPr>
                <w:sz w:val="20"/>
                <w:szCs w:val="20"/>
                <w:color w:val="auto"/>
              </w:rPr>
            </w:pPr>
            <w:r>
              <w:rPr>
                <w:rFonts w:ascii="Arial" w:cs="Arial" w:eastAsia="Arial" w:hAnsi="Arial"/>
                <w:sz w:val="20"/>
                <w:szCs w:val="20"/>
                <w:color w:val="auto"/>
              </w:rPr>
              <w:t>Total stockholders’ equity</w:t>
            </w:r>
          </w:p>
        </w:tc>
        <w:tc>
          <w:tcPr>
            <w:tcW w:w="160" w:type="dxa"/>
            <w:vAlign w:val="bottom"/>
            <w:tcBorders>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786,117</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481,903</w:t>
            </w:r>
          </w:p>
        </w:tc>
        <w:tc>
          <w:tcPr>
            <w:tcW w:w="100" w:type="dxa"/>
            <w:vAlign w:val="bottom"/>
            <w:tcBorders>
              <w:bottom w:val="single" w:sz="8" w:color="E0E0E0"/>
            </w:tcBorders>
          </w:tcPr>
          <w:p>
            <w:pPr>
              <w:spacing w:after="0"/>
              <w:rPr>
                <w:sz w:val="19"/>
                <w:szCs w:val="19"/>
                <w:color w:val="auto"/>
              </w:rPr>
            </w:pPr>
          </w:p>
        </w:tc>
      </w:tr>
      <w:tr>
        <w:trPr>
          <w:trHeight w:val="220"/>
        </w:trPr>
        <w:tc>
          <w:tcPr>
            <w:tcW w:w="7480" w:type="dxa"/>
            <w:vAlign w:val="bottom"/>
            <w:shd w:val="clear" w:color="auto" w:fill="E0E0E0"/>
          </w:tcPr>
          <w:p>
            <w:pPr>
              <w:ind w:left="840"/>
              <w:spacing w:after="0" w:line="220" w:lineRule="exact"/>
              <w:rPr>
                <w:sz w:val="20"/>
                <w:szCs w:val="20"/>
                <w:color w:val="auto"/>
              </w:rPr>
            </w:pPr>
            <w:r>
              <w:rPr>
                <w:rFonts w:ascii="Arial" w:cs="Arial" w:eastAsia="Arial" w:hAnsi="Arial"/>
                <w:sz w:val="20"/>
                <w:szCs w:val="20"/>
                <w:color w:val="auto"/>
              </w:rPr>
              <w:t>Total liabilities and stockholders’ equity</w:t>
            </w:r>
          </w:p>
        </w:tc>
        <w:tc>
          <w:tcPr>
            <w:tcW w:w="16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1,079,731</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jc w:val="right"/>
              <w:ind w:right="240"/>
              <w:spacing w:after="0" w:line="220" w:lineRule="exact"/>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674,287</w:t>
            </w:r>
          </w:p>
        </w:tc>
        <w:tc>
          <w:tcPr>
            <w:tcW w:w="100" w:type="dxa"/>
            <w:vAlign w:val="bottom"/>
            <w:shd w:val="clear" w:color="auto" w:fill="E0E0E0"/>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0800"/>
          </w:cols>
          <w:pgMar w:left="720" w:top="1156" w:right="720" w:bottom="186"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auto"/>
        </w:rPr>
        <w:t>FLYWIRE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20"/>
          <w:szCs w:val="20"/>
          <w:color w:val="auto"/>
        </w:rPr>
        <w:t>(Amounts 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40" w:type="dxa"/>
            <w:vAlign w:val="bottom"/>
            <w:tcBorders>
              <w:bottom w:val="single" w:sz="8" w:color="E0E0E0"/>
            </w:tcBorders>
          </w:tcPr>
          <w:p>
            <w:pPr>
              <w:spacing w:after="0"/>
              <w:rPr>
                <w:sz w:val="15"/>
                <w:szCs w:val="15"/>
                <w:color w:val="auto"/>
              </w:rPr>
            </w:pPr>
          </w:p>
        </w:tc>
        <w:tc>
          <w:tcPr>
            <w:tcW w:w="420" w:type="dxa"/>
            <w:vAlign w:val="bottom"/>
            <w:tcBorders>
              <w:bottom w:val="single" w:sz="8" w:color="E0E0E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2"/>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1"/>
              <w:spacing w:after="0" w:line="174"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1"/>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Revenue</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403,094</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289,375</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201,149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20"/>
                <w:szCs w:val="20"/>
                <w:color w:val="auto"/>
              </w:rPr>
              <w:t>Costs and operating expenses: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Payment processing services costs</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147,339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107,933</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70,191</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20"/>
                <w:szCs w:val="20"/>
                <w:color w:val="auto"/>
              </w:rPr>
              <w:t>Technology and development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62,028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50,257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31,295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Selling and marketing</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107,621</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78,456</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51,297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General and administrative</w:t>
            </w:r>
          </w:p>
        </w:tc>
        <w:tc>
          <w:tcPr>
            <w:tcW w:w="4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107,624</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82,949</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61,623</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costs and operating expenses</w:t>
            </w:r>
          </w:p>
        </w:tc>
        <w:tc>
          <w:tcPr>
            <w:tcW w:w="42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424,612</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319,595</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rPr>
                <w:sz w:val="19"/>
                <w:szCs w:val="19"/>
                <w:color w:val="auto"/>
              </w:rPr>
            </w:pPr>
          </w:p>
        </w:tc>
        <w:tc>
          <w:tcPr>
            <w:tcW w:w="10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214,406</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tcBorders>
              <w:bottom w:val="single" w:sz="8" w:color="E0E0E0"/>
            </w:tcBorders>
          </w:tcPr>
          <w:p>
            <w:pPr>
              <w:spacing w:after="0" w:line="220" w:lineRule="exact"/>
              <w:rPr>
                <w:sz w:val="20"/>
                <w:szCs w:val="20"/>
                <w:color w:val="auto"/>
              </w:rPr>
            </w:pPr>
            <w:r>
              <w:rPr>
                <w:rFonts w:ascii="Arial" w:cs="Arial" w:eastAsia="Arial" w:hAnsi="Arial"/>
                <w:sz w:val="20"/>
                <w:szCs w:val="20"/>
                <w:color w:val="auto"/>
              </w:rPr>
              <w:t>Loss from operations</w:t>
            </w:r>
          </w:p>
        </w:tc>
        <w:tc>
          <w:tcPr>
            <w:tcW w:w="4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(21,518)</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(30,220)</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(13,257)</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Other income (expense):</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20"/>
                <w:szCs w:val="20"/>
                <w:color w:val="auto"/>
              </w:rPr>
              <w:t>Interest expense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Change in fair value of preferred stock warrant liability</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30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0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(10,758)</w:t>
            </w: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20"/>
                <w:szCs w:val="20"/>
                <w:color w:val="auto"/>
              </w:rPr>
              <w:t>Interest income</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13,349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Gain (loss) from remeasurement of foreign currency</w:t>
            </w:r>
          </w:p>
        </w:tc>
        <w:tc>
          <w:tcPr>
            <w:tcW w:w="4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4,189</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(9,172)</w:t>
            </w:r>
          </w:p>
        </w:tc>
        <w:tc>
          <w:tcPr>
            <w:tcW w:w="10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109</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940" w:type="dxa"/>
            <w:vAlign w:val="bottom"/>
            <w:tcBorders>
              <w:top w:val="single" w:sz="8" w:color="E0E0E0"/>
              <w:bottom w:val="single" w:sz="8" w:color="E0E0E0"/>
            </w:tcBorders>
          </w:tcPr>
          <w:p>
            <w:pPr>
              <w:ind w:left="560"/>
              <w:spacing w:after="0" w:line="200" w:lineRule="exact"/>
              <w:rPr>
                <w:sz w:val="20"/>
                <w:szCs w:val="20"/>
                <w:color w:val="auto"/>
              </w:rPr>
            </w:pPr>
            <w:r>
              <w:rPr>
                <w:rFonts w:ascii="Arial" w:cs="Arial" w:eastAsia="Arial" w:hAnsi="Arial"/>
                <w:sz w:val="20"/>
                <w:szCs w:val="20"/>
                <w:color w:val="auto"/>
              </w:rPr>
              <w:t>Total other income (expense), net</w:t>
            </w:r>
          </w:p>
        </w:tc>
        <w:tc>
          <w:tcPr>
            <w:tcW w:w="420" w:type="dxa"/>
            <w:vAlign w:val="bottom"/>
            <w:tcBorders>
              <w:top w:val="single" w:sz="8" w:color="E0E0E0"/>
              <w:bottom w:val="single" w:sz="8" w:color="E0E0E0"/>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17,166</w:t>
            </w:r>
          </w:p>
        </w:tc>
        <w:tc>
          <w:tcPr>
            <w:tcW w:w="160" w:type="dxa"/>
            <w:vAlign w:val="bottom"/>
            <w:tcBorders>
              <w:top w:val="single" w:sz="8" w:color="E0E0E0"/>
              <w:bottom w:val="single" w:sz="8" w:color="E0E0E0"/>
            </w:tcBorders>
          </w:tcPr>
          <w:p>
            <w:pPr>
              <w:spacing w:after="0"/>
              <w:rPr>
                <w:sz w:val="17"/>
                <w:szCs w:val="17"/>
                <w:color w:val="auto"/>
              </w:rPr>
            </w:pPr>
          </w:p>
        </w:tc>
        <w:tc>
          <w:tcPr>
            <w:tcW w:w="100" w:type="dxa"/>
            <w:vAlign w:val="bottom"/>
            <w:tcBorders>
              <w:top w:val="single" w:sz="8" w:color="E0E0E0"/>
              <w:bottom w:val="single" w:sz="8" w:color="E0E0E0"/>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(7,139)</w:t>
            </w:r>
          </w:p>
        </w:tc>
        <w:tc>
          <w:tcPr>
            <w:tcW w:w="160" w:type="dxa"/>
            <w:vAlign w:val="bottom"/>
            <w:tcBorders>
              <w:top w:val="single" w:sz="8" w:color="E0E0E0"/>
              <w:bottom w:val="single" w:sz="8" w:color="E0E0E0"/>
            </w:tcBorders>
          </w:tcPr>
          <w:p>
            <w:pPr>
              <w:spacing w:after="0"/>
              <w:rPr>
                <w:sz w:val="17"/>
                <w:szCs w:val="17"/>
                <w:color w:val="auto"/>
              </w:rPr>
            </w:pPr>
          </w:p>
        </w:tc>
        <w:tc>
          <w:tcPr>
            <w:tcW w:w="100" w:type="dxa"/>
            <w:vAlign w:val="bottom"/>
            <w:tcBorders>
              <w:top w:val="single" w:sz="8" w:color="E0E0E0"/>
              <w:bottom w:val="single" w:sz="8" w:color="E0E0E0"/>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(12,670)</w:t>
            </w:r>
          </w:p>
        </w:tc>
        <w:tc>
          <w:tcPr>
            <w:tcW w:w="100" w:type="dxa"/>
            <w:vAlign w:val="bottom"/>
            <w:tcBorders>
              <w:top w:val="single" w:sz="8" w:color="E0E0E0"/>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Loss before provision for income taxes</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(4,352)</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(37,359)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(25,927)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Provision for income taxes</w:t>
            </w:r>
          </w:p>
        </w:tc>
        <w:tc>
          <w:tcPr>
            <w:tcW w:w="4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4,214</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1,988</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2,158</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Net loss</w:t>
            </w:r>
          </w:p>
        </w:tc>
        <w:tc>
          <w:tcPr>
            <w:tcW w:w="42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(8,566)</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(39,347)</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(28,085)</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Foreign currency translation adjustment</w:t>
            </w:r>
          </w:p>
        </w:tc>
        <w:tc>
          <w:tcPr>
            <w:tcW w:w="4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3,232</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(1,513)</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Comprehensive loss</w:t>
            </w:r>
          </w:p>
        </w:tc>
        <w:tc>
          <w:tcPr>
            <w:tcW w:w="42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(5,334)</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(40,860)</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(28,270)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color w:val="auto"/>
              </w:rPr>
              <w:t>Net loss attributable to common stockholders - basic and</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5940" w:type="dxa"/>
            <w:vAlign w:val="bottom"/>
          </w:tcPr>
          <w:p>
            <w:pPr>
              <w:ind w:left="160"/>
              <w:spacing w:after="0"/>
              <w:rPr>
                <w:sz w:val="20"/>
                <w:szCs w:val="20"/>
                <w:color w:val="auto"/>
              </w:rPr>
            </w:pPr>
            <w:r>
              <w:rPr>
                <w:rFonts w:ascii="Arial" w:cs="Arial" w:eastAsia="Arial" w:hAnsi="Arial"/>
                <w:sz w:val="20"/>
                <w:szCs w:val="20"/>
                <w:color w:val="auto"/>
              </w:rPr>
              <w:t>diluted</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(8,566)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20"/>
                <w:szCs w:val="20"/>
                <w:color w:val="auto"/>
              </w:rPr>
              <w:t>(39,347)</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(28,098)</w:t>
            </w:r>
          </w:p>
        </w:tc>
        <w:tc>
          <w:tcPr>
            <w:tcW w:w="0" w:type="dxa"/>
            <w:vAlign w:val="bottom"/>
          </w:tcPr>
          <w:p>
            <w:pPr>
              <w:spacing w:after="0"/>
              <w:rPr>
                <w:sz w:val="1"/>
                <w:szCs w:val="1"/>
                <w:color w:val="auto"/>
              </w:rPr>
            </w:pPr>
          </w:p>
        </w:tc>
      </w:tr>
      <w:tr>
        <w:trPr>
          <w:trHeight w:val="196"/>
        </w:trPr>
        <w:tc>
          <w:tcPr>
            <w:tcW w:w="5940" w:type="dxa"/>
            <w:vAlign w:val="bottom"/>
            <w:tcBorders>
              <w:top w:val="single" w:sz="8" w:color="E0E0E0"/>
            </w:tcBorders>
            <w:shd w:val="clear" w:color="auto" w:fill="E0E0E0"/>
          </w:tcPr>
          <w:p>
            <w:pPr>
              <w:spacing w:after="0" w:line="196" w:lineRule="exact"/>
              <w:rPr>
                <w:sz w:val="20"/>
                <w:szCs w:val="20"/>
                <w:color w:val="auto"/>
              </w:rPr>
            </w:pPr>
            <w:r>
              <w:rPr>
                <w:rFonts w:ascii="Arial" w:cs="Arial" w:eastAsia="Arial" w:hAnsi="Arial"/>
                <w:sz w:val="20"/>
                <w:szCs w:val="20"/>
                <w:color w:val="auto"/>
              </w:rPr>
              <w:t>Net loss per share attributable to common stockholders - basic</w:t>
            </w:r>
          </w:p>
        </w:tc>
        <w:tc>
          <w:tcPr>
            <w:tcW w:w="420" w:type="dxa"/>
            <w:vAlign w:val="bottom"/>
            <w:tcBorders>
              <w:top w:val="single" w:sz="8" w:color="E0E0E0"/>
            </w:tcBorders>
            <w:shd w:val="clear" w:color="auto" w:fill="E0E0E0"/>
          </w:tcPr>
          <w:p>
            <w:pPr>
              <w:spacing w:after="0"/>
              <w:rPr>
                <w:sz w:val="17"/>
                <w:szCs w:val="17"/>
                <w:color w:val="auto"/>
              </w:rPr>
            </w:pPr>
          </w:p>
        </w:tc>
        <w:tc>
          <w:tcPr>
            <w:tcW w:w="140" w:type="dxa"/>
            <w:vAlign w:val="bottom"/>
            <w:tcBorders>
              <w:top w:val="single" w:sz="8" w:color="auto"/>
            </w:tcBorders>
            <w:shd w:val="clear" w:color="auto" w:fill="E0E0E0"/>
          </w:tcPr>
          <w:p>
            <w:pPr>
              <w:spacing w:after="0"/>
              <w:rPr>
                <w:sz w:val="17"/>
                <w:szCs w:val="17"/>
                <w:color w:val="auto"/>
              </w:rPr>
            </w:pPr>
          </w:p>
        </w:tc>
        <w:tc>
          <w:tcPr>
            <w:tcW w:w="1140" w:type="dxa"/>
            <w:vAlign w:val="bottom"/>
            <w:tcBorders>
              <w:top w:val="single" w:sz="8" w:color="auto"/>
            </w:tcBorders>
            <w:shd w:val="clear" w:color="auto" w:fill="E0E0E0"/>
          </w:tcPr>
          <w:p>
            <w:pPr>
              <w:spacing w:after="0"/>
              <w:rPr>
                <w:sz w:val="17"/>
                <w:szCs w:val="17"/>
                <w:color w:val="auto"/>
              </w:rPr>
            </w:pPr>
          </w:p>
        </w:tc>
        <w:tc>
          <w:tcPr>
            <w:tcW w:w="1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120" w:type="dxa"/>
            <w:vAlign w:val="bottom"/>
            <w:tcBorders>
              <w:top w:val="single" w:sz="8" w:color="auto"/>
            </w:tcBorders>
            <w:shd w:val="clear" w:color="auto" w:fill="E0E0E0"/>
          </w:tcPr>
          <w:p>
            <w:pPr>
              <w:spacing w:after="0"/>
              <w:rPr>
                <w:sz w:val="17"/>
                <w:szCs w:val="17"/>
                <w:color w:val="auto"/>
              </w:rPr>
            </w:pPr>
          </w:p>
        </w:tc>
        <w:tc>
          <w:tcPr>
            <w:tcW w:w="1140" w:type="dxa"/>
            <w:vAlign w:val="bottom"/>
            <w:tcBorders>
              <w:top w:val="single" w:sz="8" w:color="auto"/>
            </w:tcBorders>
            <w:shd w:val="clear" w:color="auto" w:fill="E0E0E0"/>
          </w:tcPr>
          <w:p>
            <w:pPr>
              <w:spacing w:after="0"/>
              <w:rPr>
                <w:sz w:val="17"/>
                <w:szCs w:val="17"/>
                <w:color w:val="auto"/>
              </w:rPr>
            </w:pPr>
          </w:p>
        </w:tc>
        <w:tc>
          <w:tcPr>
            <w:tcW w:w="1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200" w:type="dxa"/>
            <w:vAlign w:val="bottom"/>
            <w:tcBorders>
              <w:top w:val="single" w:sz="8" w:color="auto"/>
            </w:tcBorders>
            <w:shd w:val="clear" w:color="auto" w:fill="E0E0E0"/>
          </w:tcPr>
          <w:p>
            <w:pPr>
              <w:spacing w:after="0"/>
              <w:rPr>
                <w:sz w:val="17"/>
                <w:szCs w:val="17"/>
                <w:color w:val="auto"/>
              </w:rPr>
            </w:pPr>
          </w:p>
        </w:tc>
        <w:tc>
          <w:tcPr>
            <w:tcW w:w="1080" w:type="dxa"/>
            <w:vAlign w:val="bottom"/>
            <w:tcBorders>
              <w:top w:val="single" w:sz="8" w:color="auto"/>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40" w:type="dxa"/>
            <w:vAlign w:val="bottom"/>
            <w:shd w:val="clear" w:color="auto" w:fill="E0E0E0"/>
          </w:tcPr>
          <w:p>
            <w:pPr>
              <w:ind w:left="160"/>
              <w:spacing w:after="0"/>
              <w:rPr>
                <w:sz w:val="20"/>
                <w:szCs w:val="20"/>
                <w:color w:val="auto"/>
              </w:rPr>
            </w:pPr>
            <w:r>
              <w:rPr>
                <w:rFonts w:ascii="Arial" w:cs="Arial" w:eastAsia="Arial" w:hAnsi="Arial"/>
                <w:sz w:val="20"/>
                <w:szCs w:val="20"/>
                <w:color w:val="auto"/>
              </w:rPr>
              <w:t>and diluted</w:t>
            </w:r>
          </w:p>
        </w:tc>
        <w:tc>
          <w:tcPr>
            <w:tcW w:w="420" w:type="dxa"/>
            <w:vAlign w:val="bottom"/>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(0.07)</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(0.36)</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(0.39)</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color w:val="auto"/>
              </w:rPr>
              <w:t>Weighted average common shares outstanding - basic and</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40" w:type="dxa"/>
            <w:vAlign w:val="bottom"/>
          </w:tcPr>
          <w:p>
            <w:pPr>
              <w:ind w:left="160"/>
              <w:spacing w:after="0"/>
              <w:rPr>
                <w:sz w:val="20"/>
                <w:szCs w:val="20"/>
                <w:color w:val="auto"/>
              </w:rPr>
            </w:pPr>
            <w:r>
              <w:rPr>
                <w:rFonts w:ascii="Arial" w:cs="Arial" w:eastAsia="Arial" w:hAnsi="Arial"/>
                <w:sz w:val="20"/>
                <w:szCs w:val="20"/>
                <w:color w:val="auto"/>
              </w:rPr>
              <w:t>diluted</w:t>
            </w: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114,828,494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107,935,514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71,168,054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0800"/>
          </w:cols>
          <w:pgMar w:left="720" w:top="1156" w:right="720" w:bottom="186"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42" w:type="dxa"/>
            <w:vAlign w:val="bottom"/>
            <w:textDirection w:val="tbRl"/>
          </w:tcPr>
          <w:p>
            <w:pPr>
              <w:spacing w:after="0"/>
              <w:rPr>
                <w:sz w:val="20"/>
                <w:szCs w:val="20"/>
                <w:color w:val="auto"/>
              </w:rPr>
            </w:pPr>
            <w:r>
              <w:rPr>
                <w:rFonts w:ascii="Arial" w:cs="Arial" w:eastAsia="Arial" w:hAnsi="Arial"/>
                <w:sz w:val="20"/>
                <w:szCs w:val="20"/>
                <w:color w:val="auto"/>
              </w:rPr>
              <w:t>11</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b w:val="1"/>
          <w:bCs w:val="1"/>
          <w:color w:val="auto"/>
        </w:rPr>
        <w:t>FLYWIRE CORPORATION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STOCK, REDEEMABLE CONVERTIBLE PREFERRED STOCK AND STOCKHOLDERS’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2"/>
                <w:szCs w:val="12"/>
                <w:b w:val="1"/>
                <w:bCs w:val="1"/>
                <w:color w:val="auto"/>
                <w:w w:val="96"/>
              </w:rPr>
              <w:t>Redeemable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Total</w:t>
            </w:r>
          </w:p>
        </w:tc>
      </w:tr>
      <w:tr>
        <w:trPr>
          <w:trHeight w:val="134"/>
        </w:trPr>
        <w:tc>
          <w:tcPr>
            <w:tcW w:w="1280" w:type="dxa"/>
            <w:vAlign w:val="bottom"/>
          </w:tcPr>
          <w:p>
            <w:pPr>
              <w:spacing w:after="0"/>
              <w:rPr>
                <w:sz w:val="11"/>
                <w:szCs w:val="11"/>
                <w:color w:val="auto"/>
              </w:rPr>
            </w:pPr>
          </w:p>
        </w:tc>
        <w:tc>
          <w:tcPr>
            <w:tcW w:w="1820" w:type="dxa"/>
            <w:vAlign w:val="bottom"/>
            <w:gridSpan w:val="6"/>
          </w:tcPr>
          <w:p>
            <w:pPr>
              <w:jc w:val="right"/>
              <w:ind w:right="720"/>
              <w:spacing w:after="0" w:line="134" w:lineRule="exact"/>
              <w:rPr>
                <w:sz w:val="20"/>
                <w:szCs w:val="20"/>
                <w:color w:val="auto"/>
              </w:rPr>
            </w:pPr>
            <w:r>
              <w:rPr>
                <w:rFonts w:ascii="Arial" w:cs="Arial" w:eastAsia="Arial" w:hAnsi="Arial"/>
                <w:sz w:val="12"/>
                <w:szCs w:val="12"/>
                <w:b w:val="1"/>
                <w:bCs w:val="1"/>
                <w:color w:val="auto"/>
              </w:rPr>
              <w:t>Convertible</w:t>
            </w:r>
          </w:p>
        </w:tc>
        <w:tc>
          <w:tcPr>
            <w:tcW w:w="1720" w:type="dxa"/>
            <w:vAlign w:val="bottom"/>
            <w:tcBorders>
              <w:right w:val="single" w:sz="8" w:color="auto"/>
            </w:tcBorders>
            <w:gridSpan w:val="6"/>
          </w:tcPr>
          <w:p>
            <w:pPr>
              <w:jc w:val="center"/>
              <w:ind w:right="140"/>
              <w:spacing w:after="0" w:line="134" w:lineRule="exact"/>
              <w:rPr>
                <w:sz w:val="20"/>
                <w:szCs w:val="20"/>
                <w:color w:val="auto"/>
              </w:rPr>
            </w:pPr>
            <w:r>
              <w:rPr>
                <w:rFonts w:ascii="Arial" w:cs="Arial" w:eastAsia="Arial" w:hAnsi="Arial"/>
                <w:sz w:val="12"/>
                <w:szCs w:val="12"/>
                <w:b w:val="1"/>
                <w:bCs w:val="1"/>
                <w:color w:val="auto"/>
                <w:w w:val="93"/>
              </w:rPr>
              <w:t>Convertible</w:t>
            </w:r>
          </w:p>
        </w:tc>
        <w:tc>
          <w:tcPr>
            <w:tcW w:w="100" w:type="dxa"/>
            <w:vAlign w:val="bottom"/>
          </w:tcPr>
          <w:p>
            <w:pPr>
              <w:spacing w:after="0"/>
              <w:rPr>
                <w:sz w:val="11"/>
                <w:szCs w:val="11"/>
                <w:color w:val="auto"/>
              </w:rPr>
            </w:pPr>
          </w:p>
        </w:tc>
        <w:tc>
          <w:tcPr>
            <w:tcW w:w="1020" w:type="dxa"/>
            <w:vAlign w:val="bottom"/>
            <w:gridSpan w:val="2"/>
          </w:tcPr>
          <w:p>
            <w:pPr>
              <w:jc w:val="center"/>
              <w:ind w:left="402"/>
              <w:spacing w:after="0" w:line="134" w:lineRule="exact"/>
              <w:rPr>
                <w:sz w:val="20"/>
                <w:szCs w:val="20"/>
                <w:color w:val="auto"/>
              </w:rPr>
            </w:pPr>
            <w:r>
              <w:rPr>
                <w:rFonts w:ascii="Arial" w:cs="Arial" w:eastAsia="Arial" w:hAnsi="Arial"/>
                <w:sz w:val="12"/>
                <w:szCs w:val="12"/>
                <w:b w:val="1"/>
                <w:bCs w:val="1"/>
                <w:color w:val="auto"/>
                <w:w w:val="96"/>
              </w:rPr>
              <w:t>Voting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tcPr>
          <w:p>
            <w:pPr>
              <w:jc w:val="right"/>
              <w:ind w:right="302"/>
              <w:spacing w:after="0" w:line="134" w:lineRule="exact"/>
              <w:rPr>
                <w:sz w:val="20"/>
                <w:szCs w:val="20"/>
                <w:color w:val="auto"/>
              </w:rPr>
            </w:pPr>
            <w:r>
              <w:rPr>
                <w:rFonts w:ascii="Arial" w:cs="Arial" w:eastAsia="Arial" w:hAnsi="Arial"/>
                <w:sz w:val="12"/>
                <w:szCs w:val="12"/>
                <w:b w:val="1"/>
                <w:bCs w:val="1"/>
                <w:color w:val="auto"/>
              </w:rPr>
              <w:t>Non-Voting</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20"/>
              <w:spacing w:after="0" w:line="134" w:lineRule="exact"/>
              <w:rPr>
                <w:sz w:val="20"/>
                <w:szCs w:val="20"/>
                <w:color w:val="auto"/>
              </w:rPr>
            </w:pPr>
            <w:r>
              <w:rPr>
                <w:rFonts w:ascii="Arial" w:cs="Arial" w:eastAsia="Arial" w:hAnsi="Arial"/>
                <w:sz w:val="12"/>
                <w:szCs w:val="12"/>
                <w:b w:val="1"/>
                <w:bCs w:val="1"/>
                <w:color w:val="auto"/>
                <w:w w:val="91"/>
              </w:rPr>
              <w:t>Additional</w:t>
            </w: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jc w:val="center"/>
              <w:ind w:right="100"/>
              <w:spacing w:after="0" w:line="134" w:lineRule="exact"/>
              <w:rPr>
                <w:sz w:val="20"/>
                <w:szCs w:val="20"/>
                <w:color w:val="auto"/>
              </w:rPr>
            </w:pPr>
            <w:r>
              <w:rPr>
                <w:rFonts w:ascii="Arial" w:cs="Arial" w:eastAsia="Arial" w:hAnsi="Arial"/>
                <w:sz w:val="12"/>
                <w:szCs w:val="12"/>
                <w:b w:val="1"/>
                <w:bCs w:val="1"/>
                <w:color w:val="auto"/>
                <w:w w:val="95"/>
              </w:rPr>
              <w:t>Stockholders’</w:t>
            </w:r>
          </w:p>
        </w:tc>
      </w:tr>
      <w:tr>
        <w:trPr>
          <w:trHeight w:val="159"/>
        </w:trPr>
        <w:tc>
          <w:tcPr>
            <w:tcW w:w="1280" w:type="dxa"/>
            <w:vAlign w:val="bottom"/>
          </w:tcPr>
          <w:p>
            <w:pPr>
              <w:spacing w:after="0"/>
              <w:rPr>
                <w:sz w:val="13"/>
                <w:szCs w:val="13"/>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Preferred Stock</w:t>
            </w:r>
          </w:p>
        </w:tc>
        <w:tc>
          <w:tcPr>
            <w:tcW w:w="17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2"/>
                <w:szCs w:val="12"/>
                <w:b w:val="1"/>
                <w:bCs w:val="1"/>
                <w:color w:val="auto"/>
                <w:w w:val="96"/>
              </w:rPr>
              <w:t>Preferred Stock</w:t>
            </w:r>
          </w:p>
        </w:tc>
        <w:tc>
          <w:tcPr>
            <w:tcW w:w="100" w:type="dxa"/>
            <w:vAlign w:val="bottom"/>
          </w:tcPr>
          <w:p>
            <w:pPr>
              <w:spacing w:after="0"/>
              <w:rPr>
                <w:sz w:val="13"/>
                <w:szCs w:val="13"/>
                <w:color w:val="auto"/>
              </w:rPr>
            </w:pPr>
          </w:p>
        </w:tc>
        <w:tc>
          <w:tcPr>
            <w:tcW w:w="1240" w:type="dxa"/>
            <w:vAlign w:val="bottom"/>
            <w:gridSpan w:val="3"/>
          </w:tcPr>
          <w:p>
            <w:pPr>
              <w:jc w:val="center"/>
              <w:ind w:left="182"/>
              <w:spacing w:after="0"/>
              <w:rPr>
                <w:sz w:val="20"/>
                <w:szCs w:val="20"/>
                <w:color w:val="auto"/>
              </w:rPr>
            </w:pPr>
            <w:r>
              <w:rPr>
                <w:rFonts w:ascii="Arial" w:cs="Arial" w:eastAsia="Arial" w:hAnsi="Arial"/>
                <w:sz w:val="12"/>
                <w:szCs w:val="12"/>
                <w:b w:val="1"/>
                <w:bCs w:val="1"/>
                <w:color w:val="auto"/>
                <w:w w:val="95"/>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right"/>
              <w:ind w:right="202"/>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260"/>
              <w:spacing w:after="0"/>
              <w:rPr>
                <w:sz w:val="20"/>
                <w:szCs w:val="20"/>
                <w:color w:val="auto"/>
              </w:rPr>
            </w:pPr>
            <w:r>
              <w:rPr>
                <w:rFonts w:ascii="Arial" w:cs="Arial" w:eastAsia="Arial" w:hAnsi="Arial"/>
                <w:sz w:val="12"/>
                <w:szCs w:val="12"/>
                <w:b w:val="1"/>
                <w:bCs w:val="1"/>
                <w:color w:val="auto"/>
                <w:w w:val="96"/>
              </w:rPr>
              <w:t>Treasury 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r>
      <w:tr>
        <w:trPr>
          <w:trHeight w:val="124"/>
        </w:trPr>
        <w:tc>
          <w:tcPr>
            <w:tcW w:w="12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40"/>
              <w:spacing w:after="0" w:line="124"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2"/>
              </w:rPr>
              <w:t>Amount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40"/>
              <w:spacing w:after="0" w:line="124"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2"/>
              </w:rPr>
              <w:t>Amount</w:t>
            </w: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2"/>
          </w:tcPr>
          <w:p>
            <w:pPr>
              <w:ind w:left="200"/>
              <w:spacing w:after="0" w:line="124" w:lineRule="exact"/>
              <w:rPr>
                <w:sz w:val="20"/>
                <w:szCs w:val="20"/>
                <w:color w:val="auto"/>
              </w:rPr>
            </w:pPr>
            <w:r>
              <w:rPr>
                <w:rFonts w:ascii="Arial" w:cs="Arial" w:eastAsia="Arial" w:hAnsi="Arial"/>
                <w:sz w:val="12"/>
                <w:szCs w:val="12"/>
                <w:b w:val="1"/>
                <w:bCs w:val="1"/>
                <w:color w:val="auto"/>
              </w:rPr>
              <w:t>Shares</w:t>
            </w:r>
          </w:p>
        </w:tc>
        <w:tc>
          <w:tcPr>
            <w:tcW w:w="44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w w:val="92"/>
              </w:rPr>
              <w:t>Amount</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jc w:val="right"/>
              <w:ind w:right="82"/>
              <w:spacing w:after="0" w:line="124" w:lineRule="exact"/>
              <w:rPr>
                <w:sz w:val="20"/>
                <w:szCs w:val="20"/>
                <w:color w:val="auto"/>
              </w:rPr>
            </w:pPr>
            <w:r>
              <w:rPr>
                <w:rFonts w:ascii="Arial" w:cs="Arial" w:eastAsia="Arial" w:hAnsi="Arial"/>
                <w:sz w:val="12"/>
                <w:szCs w:val="12"/>
                <w:b w:val="1"/>
                <w:bCs w:val="1"/>
                <w:color w:val="auto"/>
              </w:rPr>
              <w:t>Shares</w:t>
            </w: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400"/>
              <w:spacing w:after="0" w:line="124" w:lineRule="exact"/>
              <w:rPr>
                <w:sz w:val="20"/>
                <w:szCs w:val="20"/>
                <w:color w:val="auto"/>
              </w:rPr>
            </w:pPr>
            <w:r>
              <w:rPr>
                <w:rFonts w:ascii="Arial" w:cs="Arial" w:eastAsia="Arial" w:hAnsi="Arial"/>
                <w:sz w:val="12"/>
                <w:szCs w:val="12"/>
                <w:b w:val="1"/>
                <w:bCs w:val="1"/>
                <w:color w:val="auto"/>
              </w:rPr>
              <w:t>Shares</w:t>
            </w:r>
          </w:p>
        </w:tc>
        <w:tc>
          <w:tcPr>
            <w:tcW w:w="4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400"/>
              <w:spacing w:after="0" w:line="124" w:lineRule="exact"/>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0"/>
                <w:szCs w:val="10"/>
                <w:color w:val="auto"/>
              </w:rPr>
            </w:pPr>
          </w:p>
        </w:tc>
        <w:tc>
          <w:tcPr>
            <w:tcW w:w="104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0"/>
                <w:szCs w:val="10"/>
                <w:color w:val="auto"/>
              </w:rPr>
            </w:pP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8"/>
              </w:rPr>
              <w:t>(Deficit)</w:t>
            </w:r>
          </w:p>
        </w:tc>
      </w:tr>
      <w:tr>
        <w:trPr>
          <w:trHeight w:val="99"/>
        </w:trPr>
        <w:tc>
          <w:tcPr>
            <w:tcW w:w="1280" w:type="dxa"/>
            <w:vAlign w:val="bottom"/>
            <w:tcBorders>
              <w:top w:val="single" w:sz="8" w:color="E0E0E0"/>
            </w:tcBorders>
            <w:shd w:val="clear" w:color="auto" w:fill="E0E0E0"/>
          </w:tcPr>
          <w:p>
            <w:pPr>
              <w:spacing w:after="0" w:line="99" w:lineRule="exact"/>
              <w:rPr>
                <w:sz w:val="20"/>
                <w:szCs w:val="20"/>
                <w:color w:val="auto"/>
              </w:rPr>
            </w:pPr>
            <w:r>
              <w:rPr>
                <w:rFonts w:ascii="Arial" w:cs="Arial" w:eastAsia="Arial" w:hAnsi="Arial"/>
                <w:sz w:val="10"/>
                <w:szCs w:val="10"/>
                <w:b w:val="1"/>
                <w:bCs w:val="1"/>
                <w:color w:val="auto"/>
              </w:rPr>
              <w:t>Balances at</w:t>
            </w:r>
          </w:p>
        </w:tc>
        <w:tc>
          <w:tcPr>
            <w:tcW w:w="74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60" w:type="dxa"/>
            <w:vAlign w:val="bottom"/>
            <w:tcBorders>
              <w:top w:val="single" w:sz="8" w:color="auto"/>
            </w:tcBorders>
            <w:shd w:val="clear" w:color="auto" w:fill="E0E0E0"/>
          </w:tcPr>
          <w:p>
            <w:pPr>
              <w:spacing w:after="0"/>
              <w:rPr>
                <w:sz w:val="8"/>
                <w:szCs w:val="8"/>
                <w:color w:val="auto"/>
              </w:rPr>
            </w:pPr>
          </w:p>
        </w:tc>
        <w:tc>
          <w:tcPr>
            <w:tcW w:w="520" w:type="dxa"/>
            <w:vAlign w:val="bottom"/>
            <w:tcBorders>
              <w:top w:val="single" w:sz="8" w:color="auto"/>
            </w:tcBorders>
            <w:shd w:val="clear" w:color="auto" w:fill="E0E0E0"/>
          </w:tcPr>
          <w:p>
            <w:pPr>
              <w:spacing w:after="0"/>
              <w:rPr>
                <w:sz w:val="8"/>
                <w:szCs w:val="8"/>
                <w:color w:val="auto"/>
              </w:rPr>
            </w:pPr>
          </w:p>
        </w:tc>
        <w:tc>
          <w:tcPr>
            <w:tcW w:w="20" w:type="dxa"/>
            <w:vAlign w:val="bottom"/>
            <w:tcBorders>
              <w:top w:val="single" w:sz="8" w:color="auto"/>
            </w:tcBorders>
            <w:shd w:val="clear" w:color="auto" w:fill="E0E0E0"/>
          </w:tcPr>
          <w:p>
            <w:pPr>
              <w:spacing w:after="0"/>
              <w:rPr>
                <w:sz w:val="8"/>
                <w:szCs w:val="8"/>
                <w:color w:val="auto"/>
              </w:rPr>
            </w:pPr>
          </w:p>
        </w:tc>
        <w:tc>
          <w:tcPr>
            <w:tcW w:w="220" w:type="dxa"/>
            <w:vAlign w:val="bottom"/>
            <w:tcBorders>
              <w:top w:val="single" w:sz="8" w:color="E0E0E0"/>
            </w:tcBorders>
            <w:shd w:val="clear" w:color="auto" w:fill="E0E0E0"/>
          </w:tcPr>
          <w:p>
            <w:pPr>
              <w:spacing w:after="0"/>
              <w:rPr>
                <w:sz w:val="8"/>
                <w:szCs w:val="8"/>
                <w:color w:val="auto"/>
              </w:rPr>
            </w:pPr>
          </w:p>
        </w:tc>
        <w:tc>
          <w:tcPr>
            <w:tcW w:w="74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60" w:type="dxa"/>
            <w:vAlign w:val="bottom"/>
            <w:tcBorders>
              <w:top w:val="single" w:sz="8" w:color="auto"/>
            </w:tcBorders>
            <w:shd w:val="clear" w:color="auto" w:fill="E0E0E0"/>
          </w:tcPr>
          <w:p>
            <w:pPr>
              <w:spacing w:after="0"/>
              <w:rPr>
                <w:sz w:val="8"/>
                <w:szCs w:val="8"/>
                <w:color w:val="auto"/>
              </w:rPr>
            </w:pPr>
          </w:p>
        </w:tc>
        <w:tc>
          <w:tcPr>
            <w:tcW w:w="520" w:type="dxa"/>
            <w:vAlign w:val="bottom"/>
            <w:tcBorders>
              <w:top w:val="single" w:sz="8" w:color="auto"/>
            </w:tcBorders>
            <w:shd w:val="clear" w:color="auto" w:fill="E0E0E0"/>
          </w:tcPr>
          <w:p>
            <w:pPr>
              <w:spacing w:after="0"/>
              <w:rPr>
                <w:sz w:val="8"/>
                <w:szCs w:val="8"/>
                <w:color w:val="auto"/>
              </w:rPr>
            </w:pPr>
          </w:p>
        </w:tc>
        <w:tc>
          <w:tcPr>
            <w:tcW w:w="20" w:type="dxa"/>
            <w:vAlign w:val="bottom"/>
            <w:tcBorders>
              <w:top w:val="single" w:sz="8" w:color="auto"/>
            </w:tcBorders>
            <w:shd w:val="clear" w:color="auto" w:fill="E0E0E0"/>
          </w:tcPr>
          <w:p>
            <w:pPr>
              <w:spacing w:after="0"/>
              <w:rPr>
                <w:sz w:val="8"/>
                <w:szCs w:val="8"/>
                <w:color w:val="auto"/>
              </w:rPr>
            </w:pPr>
          </w:p>
        </w:tc>
        <w:tc>
          <w:tcPr>
            <w:tcW w:w="120" w:type="dxa"/>
            <w:vAlign w:val="bottom"/>
            <w:tcBorders>
              <w:top w:val="single" w:sz="8" w:color="E0E0E0"/>
              <w:right w:val="single" w:sz="8" w:color="auto"/>
            </w:tcBorders>
            <w:shd w:val="clear" w:color="auto" w:fill="E0E0E0"/>
          </w:tcPr>
          <w:p>
            <w:pPr>
              <w:spacing w:after="0"/>
              <w:rPr>
                <w:sz w:val="8"/>
                <w:szCs w:val="8"/>
                <w:color w:val="auto"/>
              </w:rPr>
            </w:pPr>
          </w:p>
        </w:tc>
        <w:tc>
          <w:tcPr>
            <w:tcW w:w="100" w:type="dxa"/>
            <w:vAlign w:val="bottom"/>
            <w:tcBorders>
              <w:top w:val="single" w:sz="8" w:color="E0E0E0"/>
            </w:tcBorders>
            <w:shd w:val="clear" w:color="auto" w:fill="E0E0E0"/>
          </w:tcPr>
          <w:p>
            <w:pPr>
              <w:spacing w:after="0"/>
              <w:rPr>
                <w:sz w:val="8"/>
                <w:szCs w:val="8"/>
                <w:color w:val="auto"/>
              </w:rPr>
            </w:pPr>
          </w:p>
        </w:tc>
        <w:tc>
          <w:tcPr>
            <w:tcW w:w="78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220" w:type="dxa"/>
            <w:vAlign w:val="bottom"/>
            <w:tcBorders>
              <w:top w:val="single" w:sz="8" w:color="auto"/>
            </w:tcBorders>
            <w:shd w:val="clear" w:color="auto" w:fill="E0E0E0"/>
          </w:tcPr>
          <w:p>
            <w:pPr>
              <w:spacing w:after="0"/>
              <w:rPr>
                <w:sz w:val="8"/>
                <w:szCs w:val="8"/>
                <w:color w:val="auto"/>
              </w:rPr>
            </w:pPr>
          </w:p>
        </w:tc>
        <w:tc>
          <w:tcPr>
            <w:tcW w:w="22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20" w:type="dxa"/>
            <w:vAlign w:val="bottom"/>
            <w:tcBorders>
              <w:top w:val="single" w:sz="8" w:color="E0E0E0"/>
            </w:tcBorders>
            <w:shd w:val="clear" w:color="auto" w:fill="E0E0E0"/>
          </w:tcPr>
          <w:p>
            <w:pPr>
              <w:spacing w:after="0"/>
              <w:rPr>
                <w:sz w:val="8"/>
                <w:szCs w:val="8"/>
                <w:color w:val="auto"/>
              </w:rPr>
            </w:pPr>
          </w:p>
        </w:tc>
        <w:tc>
          <w:tcPr>
            <w:tcW w:w="62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46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20" w:type="dxa"/>
            <w:vAlign w:val="bottom"/>
            <w:tcBorders>
              <w:top w:val="single" w:sz="8" w:color="E0E0E0"/>
            </w:tcBorders>
            <w:shd w:val="clear" w:color="auto" w:fill="E0E0E0"/>
          </w:tcPr>
          <w:p>
            <w:pPr>
              <w:spacing w:after="0"/>
              <w:rPr>
                <w:sz w:val="8"/>
                <w:szCs w:val="8"/>
                <w:color w:val="auto"/>
              </w:rPr>
            </w:pPr>
          </w:p>
        </w:tc>
        <w:tc>
          <w:tcPr>
            <w:tcW w:w="66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20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auto"/>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100" w:type="dxa"/>
            <w:vAlign w:val="bottom"/>
            <w:tcBorders>
              <w:top w:val="single" w:sz="8" w:color="E0E0E0"/>
            </w:tcBorders>
            <w:shd w:val="clear" w:color="auto" w:fill="E0E0E0"/>
          </w:tcPr>
          <w:p>
            <w:pPr>
              <w:spacing w:after="0"/>
              <w:rPr>
                <w:sz w:val="8"/>
                <w:szCs w:val="8"/>
                <w:color w:val="auto"/>
              </w:rPr>
            </w:pPr>
          </w:p>
        </w:tc>
        <w:tc>
          <w:tcPr>
            <w:tcW w:w="80" w:type="dxa"/>
            <w:vAlign w:val="bottom"/>
            <w:tcBorders>
              <w:top w:val="single" w:sz="8" w:color="auto"/>
            </w:tcBorders>
            <w:shd w:val="clear" w:color="auto" w:fill="E0E0E0"/>
          </w:tcPr>
          <w:p>
            <w:pPr>
              <w:spacing w:after="0"/>
              <w:rPr>
                <w:sz w:val="8"/>
                <w:szCs w:val="8"/>
                <w:color w:val="auto"/>
              </w:rPr>
            </w:pPr>
          </w:p>
        </w:tc>
        <w:tc>
          <w:tcPr>
            <w:tcW w:w="64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80" w:type="dxa"/>
            <w:vAlign w:val="bottom"/>
            <w:tcBorders>
              <w:top w:val="single" w:sz="8" w:color="auto"/>
            </w:tcBorders>
            <w:shd w:val="clear" w:color="auto" w:fill="E0E0E0"/>
          </w:tcPr>
          <w:p>
            <w:pPr>
              <w:spacing w:after="0"/>
              <w:rPr>
                <w:sz w:val="8"/>
                <w:szCs w:val="8"/>
                <w:color w:val="auto"/>
              </w:rPr>
            </w:pPr>
          </w:p>
        </w:tc>
        <w:tc>
          <w:tcPr>
            <w:tcW w:w="80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auto"/>
            </w:tcBorders>
            <w:shd w:val="clear" w:color="auto" w:fill="E0E0E0"/>
          </w:tcPr>
          <w:p>
            <w:pPr>
              <w:spacing w:after="0"/>
              <w:rPr>
                <w:sz w:val="8"/>
                <w:szCs w:val="8"/>
                <w:color w:val="auto"/>
              </w:rPr>
            </w:pPr>
          </w:p>
        </w:tc>
        <w:tc>
          <w:tcPr>
            <w:tcW w:w="600" w:type="dxa"/>
            <w:vAlign w:val="bottom"/>
            <w:tcBorders>
              <w:top w:val="single" w:sz="8" w:color="auto"/>
            </w:tcBorders>
            <w:shd w:val="clear" w:color="auto" w:fill="E0E0E0"/>
          </w:tcPr>
          <w:p>
            <w:pPr>
              <w:spacing w:after="0"/>
              <w:rPr>
                <w:sz w:val="8"/>
                <w:szCs w:val="8"/>
                <w:color w:val="auto"/>
              </w:rPr>
            </w:pPr>
          </w:p>
        </w:tc>
        <w:tc>
          <w:tcPr>
            <w:tcW w:w="22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auto"/>
            </w:tcBorders>
            <w:shd w:val="clear" w:color="auto" w:fill="E0E0E0"/>
          </w:tcPr>
          <w:p>
            <w:pPr>
              <w:spacing w:after="0"/>
              <w:rPr>
                <w:sz w:val="8"/>
                <w:szCs w:val="8"/>
                <w:color w:val="auto"/>
              </w:rPr>
            </w:pPr>
          </w:p>
        </w:tc>
        <w:tc>
          <w:tcPr>
            <w:tcW w:w="680" w:type="dxa"/>
            <w:vAlign w:val="bottom"/>
            <w:tcBorders>
              <w:top w:val="single" w:sz="8" w:color="auto"/>
            </w:tcBorders>
            <w:shd w:val="clear" w:color="auto" w:fill="E0E0E0"/>
          </w:tcPr>
          <w:p>
            <w:pPr>
              <w:spacing w:after="0"/>
              <w:rPr>
                <w:sz w:val="8"/>
                <w:szCs w:val="8"/>
                <w:color w:val="auto"/>
              </w:rPr>
            </w:pPr>
          </w:p>
        </w:tc>
        <w:tc>
          <w:tcPr>
            <w:tcW w:w="120" w:type="dxa"/>
            <w:vAlign w:val="bottom"/>
            <w:tcBorders>
              <w:top w:val="single" w:sz="8" w:color="E0E0E0"/>
            </w:tcBorders>
            <w:shd w:val="clear" w:color="auto" w:fill="E0E0E0"/>
          </w:tcPr>
          <w:p>
            <w:pPr>
              <w:spacing w:after="0"/>
              <w:rPr>
                <w:sz w:val="8"/>
                <w:szCs w:val="8"/>
                <w:color w:val="auto"/>
              </w:rPr>
            </w:pPr>
          </w:p>
        </w:tc>
      </w:tr>
      <w:tr>
        <w:trPr>
          <w:trHeight w:val="134"/>
        </w:trPr>
        <w:tc>
          <w:tcPr>
            <w:tcW w:w="1280" w:type="dxa"/>
            <w:vAlign w:val="bottom"/>
            <w:shd w:val="clear" w:color="auto" w:fill="E0E0E0"/>
          </w:tcPr>
          <w:p>
            <w:pPr>
              <w:spacing w:after="0" w:line="134" w:lineRule="exact"/>
              <w:rPr>
                <w:sz w:val="20"/>
                <w:szCs w:val="20"/>
                <w:color w:val="auto"/>
              </w:rPr>
            </w:pPr>
            <w:r>
              <w:rPr>
                <w:rFonts w:ascii="Arial" w:cs="Arial" w:eastAsia="Arial" w:hAnsi="Arial"/>
                <w:sz w:val="12"/>
                <w:szCs w:val="12"/>
                <w:b w:val="1"/>
                <w:bCs w:val="1"/>
                <w:color w:val="auto"/>
              </w:rPr>
              <w:t>December</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b w:val="1"/>
                <w:bCs w:val="1"/>
                <w:color w:val="auto"/>
              </w:rPr>
              <w:t>31, 2020</w:t>
            </w:r>
          </w:p>
        </w:tc>
        <w:tc>
          <w:tcPr>
            <w:tcW w:w="7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54,208,461</w:t>
            </w:r>
          </w:p>
        </w:tc>
        <w:tc>
          <w:tcPr>
            <w:tcW w:w="260" w:type="dxa"/>
            <w:vAlign w:val="bottom"/>
            <w:shd w:val="clear" w:color="auto" w:fill="E0E0E0"/>
          </w:tcPr>
          <w:p>
            <w:pPr>
              <w:spacing w:after="0"/>
              <w:rPr>
                <w:sz w:val="13"/>
                <w:szCs w:val="13"/>
                <w:color w:val="auto"/>
              </w:rPr>
            </w:pPr>
          </w:p>
        </w:tc>
        <w:tc>
          <w:tcPr>
            <w:tcW w:w="6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110,401</w:t>
            </w:r>
          </w:p>
        </w:tc>
        <w:tc>
          <w:tcPr>
            <w:tcW w:w="2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7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11,239,920</w:t>
            </w:r>
          </w:p>
        </w:tc>
        <w:tc>
          <w:tcPr>
            <w:tcW w:w="260" w:type="dxa"/>
            <w:vAlign w:val="bottom"/>
            <w:shd w:val="clear" w:color="auto" w:fill="E0E0E0"/>
          </w:tcPr>
          <w:p>
            <w:pPr>
              <w:spacing w:after="0"/>
              <w:rPr>
                <w:sz w:val="13"/>
                <w:szCs w:val="13"/>
                <w:color w:val="auto"/>
              </w:rPr>
            </w:pPr>
          </w:p>
        </w:tc>
        <w:tc>
          <w:tcPr>
            <w:tcW w:w="60" w:type="dxa"/>
            <w:vAlign w:val="bottom"/>
            <w:shd w:val="clear" w:color="auto" w:fill="E0E0E0"/>
          </w:tcPr>
          <w:p>
            <w:pPr>
              <w:spacing w:after="0"/>
              <w:rPr>
                <w:sz w:val="13"/>
                <w:szCs w:val="13"/>
                <w:color w:val="auto"/>
              </w:rPr>
            </w:pPr>
          </w:p>
        </w:tc>
        <w:tc>
          <w:tcPr>
            <w:tcW w:w="5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119,769</w:t>
            </w:r>
          </w:p>
        </w:tc>
        <w:tc>
          <w:tcPr>
            <w:tcW w:w="20" w:type="dxa"/>
            <w:vAlign w:val="bottom"/>
            <w:shd w:val="clear" w:color="auto" w:fill="E0E0E0"/>
          </w:tcPr>
          <w:p>
            <w:pPr>
              <w:spacing w:after="0"/>
              <w:rPr>
                <w:sz w:val="13"/>
                <w:szCs w:val="13"/>
                <w:color w:val="auto"/>
              </w:rPr>
            </w:pPr>
          </w:p>
        </w:tc>
        <w:tc>
          <w:tcPr>
            <w:tcW w:w="120" w:type="dxa"/>
            <w:vAlign w:val="bottom"/>
            <w:tcBorders>
              <w:right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22,240,872</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68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(2,317,722)</w:t>
            </w:r>
          </w:p>
        </w:tc>
        <w:tc>
          <w:tcPr>
            <w:tcW w:w="260" w:type="dxa"/>
            <w:vAlign w:val="bottom"/>
            <w:shd w:val="clear" w:color="auto" w:fill="E0E0E0"/>
          </w:tcPr>
          <w:p>
            <w:pPr>
              <w:spacing w:after="0"/>
              <w:rPr>
                <w:sz w:val="13"/>
                <w:szCs w:val="13"/>
                <w:color w:val="auto"/>
              </w:rPr>
            </w:pPr>
          </w:p>
        </w:tc>
        <w:tc>
          <w:tcPr>
            <w:tcW w:w="200" w:type="dxa"/>
            <w:vAlign w:val="bottom"/>
            <w:shd w:val="clear" w:color="auto" w:fill="E0E0E0"/>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w w:val="85"/>
              </w:rPr>
              <w:t>(748)</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6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16,970</w:t>
            </w:r>
          </w:p>
        </w:tc>
        <w:tc>
          <w:tcPr>
            <w:tcW w:w="240" w:type="dxa"/>
            <w:vAlign w:val="bottom"/>
            <w:shd w:val="clear" w:color="auto" w:fill="E0E0E0"/>
          </w:tcPr>
          <w:p>
            <w:pPr>
              <w:spacing w:after="0"/>
              <w:rPr>
                <w:sz w:val="13"/>
                <w:szCs w:val="13"/>
                <w:color w:val="auto"/>
              </w:rPr>
            </w:pPr>
          </w:p>
        </w:tc>
        <w:tc>
          <w:tcPr>
            <w:tcW w:w="80" w:type="dxa"/>
            <w:vAlign w:val="bottom"/>
            <w:shd w:val="clear" w:color="auto" w:fill="E0E0E0"/>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(214)</w:t>
            </w:r>
          </w:p>
        </w:tc>
        <w:tc>
          <w:tcPr>
            <w:tcW w:w="24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(97,772)</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jc w:val="right"/>
              <w:ind w:right="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(81,762)</w:t>
            </w:r>
          </w:p>
        </w:tc>
        <w:tc>
          <w:tcPr>
            <w:tcW w:w="120" w:type="dxa"/>
            <w:vAlign w:val="bottom"/>
            <w:shd w:val="clear" w:color="auto" w:fill="E0E0E0"/>
          </w:tcPr>
          <w:p>
            <w:pPr>
              <w:spacing w:after="0"/>
              <w:rPr>
                <w:sz w:val="13"/>
                <w:szCs w:val="13"/>
                <w:color w:val="auto"/>
              </w:rPr>
            </w:pPr>
          </w:p>
        </w:tc>
      </w:tr>
      <w:tr>
        <w:trPr>
          <w:trHeight w:val="109"/>
        </w:trPr>
        <w:tc>
          <w:tcPr>
            <w:tcW w:w="1280" w:type="dxa"/>
            <w:vAlign w:val="bottom"/>
          </w:tcPr>
          <w:p>
            <w:pPr>
              <w:spacing w:after="0" w:line="110" w:lineRule="exact"/>
              <w:rPr>
                <w:sz w:val="20"/>
                <w:szCs w:val="20"/>
                <w:color w:val="auto"/>
              </w:rPr>
            </w:pPr>
            <w:r>
              <w:rPr>
                <w:rFonts w:ascii="Arial" w:cs="Arial" w:eastAsia="Arial" w:hAnsi="Arial"/>
                <w:sz w:val="12"/>
                <w:szCs w:val="12"/>
                <w:color w:val="auto"/>
              </w:rPr>
              <w:t>Issuance of common</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stock upon exercise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1280" w:type="dxa"/>
            <w:vAlign w:val="bottom"/>
          </w:tcPr>
          <w:p>
            <w:pPr>
              <w:ind w:left="80"/>
              <w:spacing w:after="0"/>
              <w:rPr>
                <w:sz w:val="20"/>
                <w:szCs w:val="20"/>
                <w:color w:val="auto"/>
              </w:rPr>
            </w:pPr>
            <w:r>
              <w:rPr>
                <w:rFonts w:ascii="Arial" w:cs="Arial" w:eastAsia="Arial" w:hAnsi="Arial"/>
                <w:sz w:val="12"/>
                <w:szCs w:val="12"/>
                <w:color w:val="auto"/>
              </w:rPr>
              <w:t>of stock options</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5,893,600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6,582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6,583</w:t>
            </w:r>
          </w:p>
        </w:tc>
      </w:tr>
      <w:tr>
        <w:trPr>
          <w:trHeight w:val="111"/>
        </w:trPr>
        <w:tc>
          <w:tcPr>
            <w:tcW w:w="1280" w:type="dxa"/>
            <w:vAlign w:val="bottom"/>
            <w:shd w:val="clear" w:color="auto" w:fill="E0E0E0"/>
          </w:tcPr>
          <w:p>
            <w:pPr>
              <w:spacing w:after="0" w:line="111" w:lineRule="exact"/>
              <w:rPr>
                <w:sz w:val="20"/>
                <w:szCs w:val="20"/>
                <w:color w:val="auto"/>
              </w:rPr>
            </w:pPr>
            <w:r>
              <w:rPr>
                <w:rFonts w:ascii="Arial" w:cs="Arial" w:eastAsia="Arial" w:hAnsi="Arial"/>
                <w:sz w:val="12"/>
                <w:szCs w:val="12"/>
                <w:color w:val="auto"/>
              </w:rPr>
              <w:t>Issuance of Series F-1</w:t>
            </w: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120" w:type="dxa"/>
            <w:vAlign w:val="bottom"/>
            <w:tcBorders>
              <w:right w:val="single" w:sz="8" w:color="auto"/>
            </w:tcBorders>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46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6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redeemable</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convertible</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preferred stock,</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net of issuance</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color w:val="auto"/>
              </w:rPr>
              <w:t>costs of $265</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760" w:type="dxa"/>
            <w:vAlign w:val="bottom"/>
            <w:gridSpan w:val="3"/>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2,571,936</w:t>
            </w:r>
          </w:p>
        </w:tc>
        <w:tc>
          <w:tcPr>
            <w:tcW w:w="60" w:type="dxa"/>
            <w:vAlign w:val="bottom"/>
            <w:shd w:val="clear" w:color="auto" w:fill="E0E0E0"/>
          </w:tcPr>
          <w:p>
            <w:pPr>
              <w:spacing w:after="0"/>
              <w:rPr>
                <w:sz w:val="13"/>
                <w:szCs w:val="13"/>
                <w:color w:val="auto"/>
              </w:rPr>
            </w:pPr>
          </w:p>
        </w:tc>
        <w:tc>
          <w:tcPr>
            <w:tcW w:w="5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59,735</w:t>
            </w:r>
          </w:p>
        </w:tc>
        <w:tc>
          <w:tcPr>
            <w:tcW w:w="20" w:type="dxa"/>
            <w:vAlign w:val="bottom"/>
            <w:shd w:val="clear" w:color="auto" w:fill="E0E0E0"/>
          </w:tcPr>
          <w:p>
            <w:pPr>
              <w:spacing w:after="0"/>
              <w:rPr>
                <w:sz w:val="13"/>
                <w:szCs w:val="13"/>
                <w:color w:val="auto"/>
              </w:rPr>
            </w:pPr>
          </w:p>
        </w:tc>
        <w:tc>
          <w:tcPr>
            <w:tcW w:w="120" w:type="dxa"/>
            <w:vAlign w:val="bottom"/>
            <w:tcBorders>
              <w:right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92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0E0"/>
          </w:tcPr>
          <w:p>
            <w:pPr>
              <w:spacing w:after="0"/>
              <w:rPr>
                <w:sz w:val="13"/>
                <w:szCs w:val="13"/>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6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0E0"/>
          </w:tcPr>
          <w:p>
            <w:pPr>
              <w:spacing w:after="0"/>
              <w:rPr>
                <w:sz w:val="13"/>
                <w:szCs w:val="13"/>
                <w:color w:val="auto"/>
              </w:rPr>
            </w:pPr>
          </w:p>
        </w:tc>
      </w:tr>
      <w:tr>
        <w:trPr>
          <w:trHeight w:val="109"/>
        </w:trPr>
        <w:tc>
          <w:tcPr>
            <w:tcW w:w="1280" w:type="dxa"/>
            <w:vAlign w:val="bottom"/>
          </w:tcPr>
          <w:p>
            <w:pPr>
              <w:spacing w:after="0" w:line="110" w:lineRule="exact"/>
              <w:rPr>
                <w:sz w:val="20"/>
                <w:szCs w:val="20"/>
                <w:color w:val="auto"/>
              </w:rPr>
            </w:pPr>
            <w:r>
              <w:rPr>
                <w:rFonts w:ascii="Arial" w:cs="Arial" w:eastAsia="Arial" w:hAnsi="Arial"/>
                <w:sz w:val="12"/>
                <w:szCs w:val="12"/>
                <w:color w:val="auto"/>
              </w:rPr>
              <w:t>Exercise of common</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57"/>
        </w:trPr>
        <w:tc>
          <w:tcPr>
            <w:tcW w:w="1280" w:type="dxa"/>
            <w:vAlign w:val="bottom"/>
          </w:tcPr>
          <w:p>
            <w:pPr>
              <w:ind w:left="80"/>
              <w:spacing w:after="0"/>
              <w:rPr>
                <w:sz w:val="20"/>
                <w:szCs w:val="20"/>
                <w:color w:val="auto"/>
              </w:rPr>
            </w:pPr>
            <w:r>
              <w:rPr>
                <w:rFonts w:ascii="Arial" w:cs="Arial" w:eastAsia="Arial" w:hAnsi="Arial"/>
                <w:sz w:val="12"/>
                <w:szCs w:val="12"/>
                <w:color w:val="auto"/>
              </w:rPr>
              <w:t>stock warrants</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417,021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294</w:t>
            </w:r>
          </w:p>
        </w:tc>
      </w:tr>
      <w:tr>
        <w:trPr>
          <w:trHeight w:val="111"/>
        </w:trPr>
        <w:tc>
          <w:tcPr>
            <w:tcW w:w="1280" w:type="dxa"/>
            <w:vAlign w:val="bottom"/>
            <w:shd w:val="clear" w:color="auto" w:fill="E0E0E0"/>
          </w:tcPr>
          <w:p>
            <w:pPr>
              <w:spacing w:after="0" w:line="111" w:lineRule="exact"/>
              <w:rPr>
                <w:sz w:val="20"/>
                <w:szCs w:val="20"/>
                <w:color w:val="auto"/>
              </w:rPr>
            </w:pPr>
            <w:r>
              <w:rPr>
                <w:rFonts w:ascii="Arial" w:cs="Arial" w:eastAsia="Arial" w:hAnsi="Arial"/>
                <w:sz w:val="12"/>
                <w:szCs w:val="12"/>
                <w:color w:val="auto"/>
              </w:rPr>
              <w:t>Accretion of</w:t>
            </w: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120" w:type="dxa"/>
            <w:vAlign w:val="bottom"/>
            <w:tcBorders>
              <w:right w:val="single" w:sz="8" w:color="auto"/>
            </w:tcBorders>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46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6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redeemable</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convertible preferred</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color w:val="auto"/>
              </w:rPr>
              <w:t>stock</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760" w:type="dxa"/>
            <w:vAlign w:val="bottom"/>
            <w:gridSpan w:val="3"/>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5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13</w:t>
            </w:r>
          </w:p>
        </w:tc>
        <w:tc>
          <w:tcPr>
            <w:tcW w:w="20" w:type="dxa"/>
            <w:vAlign w:val="bottom"/>
            <w:shd w:val="clear" w:color="auto" w:fill="E0E0E0"/>
          </w:tcPr>
          <w:p>
            <w:pPr>
              <w:spacing w:after="0"/>
              <w:rPr>
                <w:sz w:val="13"/>
                <w:szCs w:val="13"/>
                <w:color w:val="auto"/>
              </w:rPr>
            </w:pPr>
          </w:p>
        </w:tc>
        <w:tc>
          <w:tcPr>
            <w:tcW w:w="120" w:type="dxa"/>
            <w:vAlign w:val="bottom"/>
            <w:tcBorders>
              <w:right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92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0E0"/>
          </w:tcPr>
          <w:p>
            <w:pPr>
              <w:spacing w:after="0"/>
              <w:rPr>
                <w:sz w:val="13"/>
                <w:szCs w:val="13"/>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880" w:type="dxa"/>
            <w:vAlign w:val="bottom"/>
            <w:gridSpan w:val="2"/>
            <w:shd w:val="clear" w:color="auto" w:fill="E0E0E0"/>
          </w:tcPr>
          <w:p>
            <w:pPr>
              <w:jc w:val="right"/>
              <w:ind w:right="200"/>
              <w:spacing w:after="0"/>
              <w:rPr>
                <w:sz w:val="20"/>
                <w:szCs w:val="20"/>
                <w:color w:val="auto"/>
              </w:rPr>
            </w:pPr>
            <w:r>
              <w:rPr>
                <w:rFonts w:ascii="Arial" w:cs="Arial" w:eastAsia="Arial" w:hAnsi="Arial"/>
                <w:sz w:val="12"/>
                <w:szCs w:val="12"/>
                <w:color w:val="auto"/>
              </w:rPr>
              <w:t>(13)</w:t>
            </w:r>
          </w:p>
        </w:tc>
        <w:tc>
          <w:tcPr>
            <w:tcW w:w="8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800" w:type="dxa"/>
            <w:vAlign w:val="bottom"/>
            <w:gridSpan w:val="2"/>
            <w:shd w:val="clear" w:color="auto" w:fill="E0E0E0"/>
          </w:tcPr>
          <w:p>
            <w:pPr>
              <w:jc w:val="right"/>
              <w:ind w:right="80"/>
              <w:spacing w:after="0"/>
              <w:rPr>
                <w:sz w:val="20"/>
                <w:szCs w:val="20"/>
                <w:color w:val="auto"/>
              </w:rPr>
            </w:pPr>
            <w:r>
              <w:rPr>
                <w:rFonts w:ascii="Arial" w:cs="Arial" w:eastAsia="Arial" w:hAnsi="Arial"/>
                <w:sz w:val="12"/>
                <w:szCs w:val="12"/>
                <w:color w:val="auto"/>
              </w:rPr>
              <w:t>(13)</w:t>
            </w:r>
          </w:p>
        </w:tc>
      </w:tr>
      <w:tr>
        <w:trPr>
          <w:trHeight w:val="109"/>
        </w:trPr>
        <w:tc>
          <w:tcPr>
            <w:tcW w:w="1280" w:type="dxa"/>
            <w:vAlign w:val="bottom"/>
          </w:tcPr>
          <w:p>
            <w:pPr>
              <w:spacing w:after="0" w:line="110" w:lineRule="exact"/>
              <w:rPr>
                <w:sz w:val="20"/>
                <w:szCs w:val="20"/>
                <w:color w:val="auto"/>
              </w:rPr>
            </w:pPr>
            <w:r>
              <w:rPr>
                <w:rFonts w:ascii="Arial" w:cs="Arial" w:eastAsia="Arial" w:hAnsi="Arial"/>
                <w:sz w:val="12"/>
                <w:szCs w:val="12"/>
                <w:color w:val="auto"/>
              </w:rPr>
              <w:t>Foreign currency</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translation</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1280" w:type="dxa"/>
            <w:vAlign w:val="bottom"/>
          </w:tcPr>
          <w:p>
            <w:pPr>
              <w:ind w:left="80"/>
              <w:spacing w:after="0"/>
              <w:rPr>
                <w:sz w:val="20"/>
                <w:szCs w:val="20"/>
                <w:color w:val="auto"/>
              </w:rPr>
            </w:pPr>
            <w:r>
              <w:rPr>
                <w:rFonts w:ascii="Arial" w:cs="Arial" w:eastAsia="Arial" w:hAnsi="Arial"/>
                <w:sz w:val="12"/>
                <w:szCs w:val="12"/>
                <w:color w:val="auto"/>
              </w:rPr>
              <w:t>adjustment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(185)</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(185)</w:t>
            </w:r>
          </w:p>
        </w:tc>
      </w:tr>
      <w:tr>
        <w:trPr>
          <w:trHeight w:val="111"/>
        </w:trPr>
        <w:tc>
          <w:tcPr>
            <w:tcW w:w="1280" w:type="dxa"/>
            <w:vAlign w:val="bottom"/>
            <w:shd w:val="clear" w:color="auto" w:fill="E0E0E0"/>
          </w:tcPr>
          <w:p>
            <w:pPr>
              <w:spacing w:after="0" w:line="111" w:lineRule="exact"/>
              <w:rPr>
                <w:sz w:val="20"/>
                <w:szCs w:val="20"/>
                <w:color w:val="auto"/>
              </w:rPr>
            </w:pPr>
            <w:r>
              <w:rPr>
                <w:rFonts w:ascii="Arial" w:cs="Arial" w:eastAsia="Arial" w:hAnsi="Arial"/>
                <w:sz w:val="12"/>
                <w:szCs w:val="12"/>
                <w:color w:val="auto"/>
              </w:rPr>
              <w:t>Stock-based</w:t>
            </w: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120" w:type="dxa"/>
            <w:vAlign w:val="bottom"/>
            <w:tcBorders>
              <w:right w:val="single" w:sz="8" w:color="auto"/>
            </w:tcBorders>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46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6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compensation</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color w:val="auto"/>
              </w:rPr>
              <w:t>expense</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760" w:type="dxa"/>
            <w:vAlign w:val="bottom"/>
            <w:gridSpan w:val="3"/>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660" w:type="dxa"/>
            <w:vAlign w:val="bottom"/>
            <w:tcBorders>
              <w:right w:val="single" w:sz="8" w:color="auto"/>
            </w:tcBorders>
            <w:gridSpan w:val="3"/>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92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0E0"/>
          </w:tcPr>
          <w:p>
            <w:pPr>
              <w:spacing w:after="0"/>
              <w:rPr>
                <w:sz w:val="13"/>
                <w:szCs w:val="13"/>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6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18,928</w:t>
            </w:r>
          </w:p>
        </w:tc>
        <w:tc>
          <w:tcPr>
            <w:tcW w:w="24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800" w:type="dxa"/>
            <w:vAlign w:val="bottom"/>
            <w:gridSpan w:val="2"/>
            <w:shd w:val="clear" w:color="auto" w:fill="E0E0E0"/>
          </w:tcPr>
          <w:p>
            <w:pPr>
              <w:jc w:val="right"/>
              <w:ind w:right="120"/>
              <w:spacing w:after="0"/>
              <w:rPr>
                <w:sz w:val="20"/>
                <w:szCs w:val="20"/>
                <w:color w:val="auto"/>
              </w:rPr>
            </w:pPr>
            <w:r>
              <w:rPr>
                <w:rFonts w:ascii="Arial" w:cs="Arial" w:eastAsia="Arial" w:hAnsi="Arial"/>
                <w:sz w:val="12"/>
                <w:szCs w:val="12"/>
                <w:color w:val="auto"/>
              </w:rPr>
              <w:t>18,928</w:t>
            </w:r>
          </w:p>
        </w:tc>
      </w:tr>
      <w:tr>
        <w:trPr>
          <w:trHeight w:val="109"/>
        </w:trPr>
        <w:tc>
          <w:tcPr>
            <w:tcW w:w="1280" w:type="dxa"/>
            <w:vAlign w:val="bottom"/>
          </w:tcPr>
          <w:p>
            <w:pPr>
              <w:spacing w:after="0" w:line="110" w:lineRule="exact"/>
              <w:rPr>
                <w:sz w:val="20"/>
                <w:szCs w:val="20"/>
                <w:color w:val="auto"/>
              </w:rPr>
            </w:pPr>
            <w:r>
              <w:rPr>
                <w:rFonts w:ascii="Arial" w:cs="Arial" w:eastAsia="Arial" w:hAnsi="Arial"/>
                <w:sz w:val="12"/>
                <w:szCs w:val="12"/>
                <w:color w:val="auto"/>
              </w:rPr>
              <w:t>Issuance of common</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stock in connection</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with IPO, net of</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underwriting</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discounts and</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1280" w:type="dxa"/>
            <w:vAlign w:val="bottom"/>
          </w:tcPr>
          <w:p>
            <w:pPr>
              <w:ind w:left="80"/>
              <w:spacing w:after="0"/>
              <w:rPr>
                <w:sz w:val="20"/>
                <w:szCs w:val="20"/>
                <w:color w:val="auto"/>
              </w:rPr>
            </w:pPr>
            <w:r>
              <w:rPr>
                <w:rFonts w:ascii="Arial" w:cs="Arial" w:eastAsia="Arial" w:hAnsi="Arial"/>
                <w:sz w:val="12"/>
                <w:szCs w:val="12"/>
                <w:color w:val="auto"/>
              </w:rPr>
              <w:t>commissions</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12,006,000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268,693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268,694</w:t>
            </w:r>
          </w:p>
        </w:tc>
      </w:tr>
      <w:tr>
        <w:trPr>
          <w:trHeight w:val="111"/>
        </w:trPr>
        <w:tc>
          <w:tcPr>
            <w:tcW w:w="1280" w:type="dxa"/>
            <w:vAlign w:val="bottom"/>
            <w:shd w:val="clear" w:color="auto" w:fill="E0E0E0"/>
          </w:tcPr>
          <w:p>
            <w:pPr>
              <w:spacing w:after="0" w:line="111" w:lineRule="exact"/>
              <w:rPr>
                <w:sz w:val="20"/>
                <w:szCs w:val="20"/>
                <w:color w:val="auto"/>
              </w:rPr>
            </w:pPr>
            <w:r>
              <w:rPr>
                <w:rFonts w:ascii="Arial" w:cs="Arial" w:eastAsia="Arial" w:hAnsi="Arial"/>
                <w:sz w:val="12"/>
                <w:szCs w:val="12"/>
                <w:color w:val="auto"/>
              </w:rPr>
              <w:t>Costs incurred in</w:t>
            </w: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120" w:type="dxa"/>
            <w:vAlign w:val="bottom"/>
            <w:tcBorders>
              <w:right w:val="single" w:sz="8" w:color="auto"/>
            </w:tcBorders>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46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6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connection with</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color w:val="auto"/>
              </w:rPr>
              <w:t>IPO</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760" w:type="dxa"/>
            <w:vAlign w:val="bottom"/>
            <w:gridSpan w:val="3"/>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660" w:type="dxa"/>
            <w:vAlign w:val="bottom"/>
            <w:tcBorders>
              <w:right w:val="single" w:sz="8" w:color="auto"/>
            </w:tcBorders>
            <w:gridSpan w:val="3"/>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92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0E0"/>
          </w:tcPr>
          <w:p>
            <w:pPr>
              <w:spacing w:after="0"/>
              <w:rPr>
                <w:sz w:val="13"/>
                <w:szCs w:val="13"/>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880" w:type="dxa"/>
            <w:vAlign w:val="bottom"/>
            <w:gridSpan w:val="2"/>
            <w:shd w:val="clear" w:color="auto" w:fill="E0E0E0"/>
          </w:tcPr>
          <w:p>
            <w:pPr>
              <w:jc w:val="right"/>
              <w:ind w:right="200"/>
              <w:spacing w:after="0"/>
              <w:rPr>
                <w:sz w:val="20"/>
                <w:szCs w:val="20"/>
                <w:color w:val="auto"/>
              </w:rPr>
            </w:pPr>
            <w:r>
              <w:rPr>
                <w:rFonts w:ascii="Arial" w:cs="Arial" w:eastAsia="Arial" w:hAnsi="Arial"/>
                <w:sz w:val="12"/>
                <w:szCs w:val="12"/>
                <w:color w:val="auto"/>
              </w:rPr>
              <w:t>(4,860)</w:t>
            </w:r>
          </w:p>
        </w:tc>
        <w:tc>
          <w:tcPr>
            <w:tcW w:w="8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800" w:type="dxa"/>
            <w:vAlign w:val="bottom"/>
            <w:gridSpan w:val="2"/>
            <w:shd w:val="clear" w:color="auto" w:fill="E0E0E0"/>
          </w:tcPr>
          <w:p>
            <w:pPr>
              <w:jc w:val="right"/>
              <w:ind w:right="80"/>
              <w:spacing w:after="0"/>
              <w:rPr>
                <w:sz w:val="20"/>
                <w:szCs w:val="20"/>
                <w:color w:val="auto"/>
              </w:rPr>
            </w:pPr>
            <w:r>
              <w:rPr>
                <w:rFonts w:ascii="Arial" w:cs="Arial" w:eastAsia="Arial" w:hAnsi="Arial"/>
                <w:sz w:val="12"/>
                <w:szCs w:val="12"/>
                <w:color w:val="auto"/>
              </w:rPr>
              <w:t>(4,860)</w:t>
            </w:r>
          </w:p>
        </w:tc>
      </w:tr>
      <w:tr>
        <w:trPr>
          <w:trHeight w:val="109"/>
        </w:trPr>
        <w:tc>
          <w:tcPr>
            <w:tcW w:w="1280" w:type="dxa"/>
            <w:vAlign w:val="bottom"/>
          </w:tcPr>
          <w:p>
            <w:pPr>
              <w:spacing w:after="0" w:line="110" w:lineRule="exact"/>
              <w:rPr>
                <w:sz w:val="20"/>
                <w:szCs w:val="20"/>
                <w:color w:val="auto"/>
              </w:rPr>
            </w:pPr>
            <w:r>
              <w:rPr>
                <w:rFonts w:ascii="Arial" w:cs="Arial" w:eastAsia="Arial" w:hAnsi="Arial"/>
                <w:sz w:val="12"/>
                <w:szCs w:val="12"/>
                <w:color w:val="auto"/>
              </w:rPr>
              <w:t>Issuance of Series C</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preferred stock</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upon net exercise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of Series C</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preferred stock</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1280" w:type="dxa"/>
            <w:vAlign w:val="bottom"/>
          </w:tcPr>
          <w:p>
            <w:pPr>
              <w:ind w:left="80"/>
              <w:spacing w:after="0"/>
              <w:rPr>
                <w:sz w:val="20"/>
                <w:szCs w:val="20"/>
                <w:color w:val="auto"/>
              </w:rPr>
            </w:pPr>
            <w:r>
              <w:rPr>
                <w:rFonts w:ascii="Arial" w:cs="Arial" w:eastAsia="Arial" w:hAnsi="Arial"/>
                <w:sz w:val="12"/>
                <w:szCs w:val="12"/>
                <w:color w:val="auto"/>
              </w:rPr>
              <w:t>warrants</w:t>
            </w:r>
          </w:p>
        </w:tc>
        <w:tc>
          <w:tcPr>
            <w:tcW w:w="740" w:type="dxa"/>
            <w:vAlign w:val="bottom"/>
          </w:tcPr>
          <w:p>
            <w:pPr>
              <w:jc w:val="right"/>
              <w:spacing w:after="0"/>
              <w:rPr>
                <w:sz w:val="20"/>
                <w:szCs w:val="20"/>
                <w:color w:val="auto"/>
              </w:rPr>
            </w:pPr>
            <w:r>
              <w:rPr>
                <w:rFonts w:ascii="Arial" w:cs="Arial" w:eastAsia="Arial" w:hAnsi="Arial"/>
                <w:sz w:val="12"/>
                <w:szCs w:val="12"/>
                <w:color w:val="auto"/>
              </w:rPr>
              <w:t>182,467</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6,417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11"/>
        </w:trPr>
        <w:tc>
          <w:tcPr>
            <w:tcW w:w="1280" w:type="dxa"/>
            <w:vAlign w:val="bottom"/>
            <w:shd w:val="clear" w:color="auto" w:fill="E0E0E0"/>
          </w:tcPr>
          <w:p>
            <w:pPr>
              <w:spacing w:after="0" w:line="111" w:lineRule="exact"/>
              <w:rPr>
                <w:sz w:val="20"/>
                <w:szCs w:val="20"/>
                <w:color w:val="auto"/>
              </w:rPr>
            </w:pPr>
            <w:r>
              <w:rPr>
                <w:rFonts w:ascii="Arial" w:cs="Arial" w:eastAsia="Arial" w:hAnsi="Arial"/>
                <w:sz w:val="12"/>
                <w:szCs w:val="12"/>
                <w:color w:val="auto"/>
              </w:rPr>
              <w:t>Conversion of</w:t>
            </w: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120" w:type="dxa"/>
            <w:vAlign w:val="bottom"/>
            <w:tcBorders>
              <w:right w:val="single" w:sz="8" w:color="auto"/>
            </w:tcBorders>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46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6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convertible</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preferred stock upon</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color w:val="auto"/>
              </w:rPr>
              <w:t>IPO</w:t>
            </w:r>
          </w:p>
        </w:tc>
        <w:tc>
          <w:tcPr>
            <w:tcW w:w="1000" w:type="dxa"/>
            <w:vAlign w:val="bottom"/>
            <w:gridSpan w:val="2"/>
            <w:shd w:val="clear" w:color="auto" w:fill="E0E0E0"/>
          </w:tcPr>
          <w:p>
            <w:pPr>
              <w:jc w:val="right"/>
              <w:ind w:right="220"/>
              <w:spacing w:after="0"/>
              <w:rPr>
                <w:sz w:val="20"/>
                <w:szCs w:val="20"/>
                <w:color w:val="auto"/>
              </w:rPr>
            </w:pPr>
            <w:r>
              <w:rPr>
                <w:rFonts w:ascii="Arial" w:cs="Arial" w:eastAsia="Arial" w:hAnsi="Arial"/>
                <w:sz w:val="12"/>
                <w:szCs w:val="12"/>
                <w:color w:val="auto"/>
              </w:rPr>
              <w:t>(54,390,928)</w:t>
            </w:r>
          </w:p>
        </w:tc>
        <w:tc>
          <w:tcPr>
            <w:tcW w:w="60" w:type="dxa"/>
            <w:vAlign w:val="bottom"/>
            <w:shd w:val="clear" w:color="auto" w:fill="E0E0E0"/>
          </w:tcPr>
          <w:p>
            <w:pPr>
              <w:spacing w:after="0"/>
              <w:rPr>
                <w:sz w:val="13"/>
                <w:szCs w:val="13"/>
                <w:color w:val="auto"/>
              </w:rPr>
            </w:pPr>
          </w:p>
        </w:tc>
        <w:tc>
          <w:tcPr>
            <w:tcW w:w="760" w:type="dxa"/>
            <w:vAlign w:val="bottom"/>
            <w:gridSpan w:val="3"/>
            <w:shd w:val="clear" w:color="auto" w:fill="E0E0E0"/>
          </w:tcPr>
          <w:p>
            <w:pPr>
              <w:jc w:val="right"/>
              <w:ind w:right="200"/>
              <w:spacing w:after="0"/>
              <w:rPr>
                <w:sz w:val="20"/>
                <w:szCs w:val="20"/>
                <w:color w:val="auto"/>
              </w:rPr>
            </w:pPr>
            <w:r>
              <w:rPr>
                <w:rFonts w:ascii="Arial" w:cs="Arial" w:eastAsia="Arial" w:hAnsi="Arial"/>
                <w:sz w:val="12"/>
                <w:szCs w:val="12"/>
                <w:color w:val="auto"/>
              </w:rPr>
              <w:t>(116,818)</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660" w:type="dxa"/>
            <w:vAlign w:val="bottom"/>
            <w:tcBorders>
              <w:right w:val="single" w:sz="8" w:color="auto"/>
            </w:tcBorders>
            <w:gridSpan w:val="3"/>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54,390,928</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5</w:t>
            </w: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92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0E0"/>
          </w:tcPr>
          <w:p>
            <w:pPr>
              <w:spacing w:after="0"/>
              <w:rPr>
                <w:sz w:val="13"/>
                <w:szCs w:val="13"/>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6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116,813</w:t>
            </w:r>
          </w:p>
        </w:tc>
        <w:tc>
          <w:tcPr>
            <w:tcW w:w="24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800" w:type="dxa"/>
            <w:vAlign w:val="bottom"/>
            <w:gridSpan w:val="2"/>
            <w:shd w:val="clear" w:color="auto" w:fill="E0E0E0"/>
          </w:tcPr>
          <w:p>
            <w:pPr>
              <w:jc w:val="right"/>
              <w:ind w:right="120"/>
              <w:spacing w:after="0"/>
              <w:rPr>
                <w:sz w:val="20"/>
                <w:szCs w:val="20"/>
                <w:color w:val="auto"/>
              </w:rPr>
            </w:pPr>
            <w:r>
              <w:rPr>
                <w:rFonts w:ascii="Arial" w:cs="Arial" w:eastAsia="Arial" w:hAnsi="Arial"/>
                <w:sz w:val="12"/>
                <w:szCs w:val="12"/>
                <w:color w:val="auto"/>
              </w:rPr>
              <w:t>116,818</w:t>
            </w:r>
          </w:p>
        </w:tc>
      </w:tr>
      <w:tr>
        <w:trPr>
          <w:trHeight w:val="109"/>
        </w:trPr>
        <w:tc>
          <w:tcPr>
            <w:tcW w:w="1280" w:type="dxa"/>
            <w:vAlign w:val="bottom"/>
          </w:tcPr>
          <w:p>
            <w:pPr>
              <w:spacing w:after="0" w:line="110" w:lineRule="exact"/>
              <w:rPr>
                <w:sz w:val="20"/>
                <w:szCs w:val="20"/>
                <w:color w:val="auto"/>
              </w:rPr>
            </w:pPr>
            <w:r>
              <w:rPr>
                <w:rFonts w:ascii="Arial" w:cs="Arial" w:eastAsia="Arial" w:hAnsi="Arial"/>
                <w:sz w:val="12"/>
                <w:szCs w:val="12"/>
                <w:color w:val="auto"/>
              </w:rPr>
              <w:t>Conversion of</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redeemable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1280" w:type="dxa"/>
            <w:vAlign w:val="bottom"/>
          </w:tcPr>
          <w:p>
            <w:pPr>
              <w:ind w:left="80"/>
              <w:spacing w:after="0" w:line="134" w:lineRule="exact"/>
              <w:rPr>
                <w:sz w:val="20"/>
                <w:szCs w:val="20"/>
                <w:color w:val="auto"/>
              </w:rPr>
            </w:pPr>
            <w:r>
              <w:rPr>
                <w:rFonts w:ascii="Arial" w:cs="Arial" w:eastAsia="Arial" w:hAnsi="Arial"/>
                <w:sz w:val="12"/>
                <w:szCs w:val="12"/>
                <w:color w:val="auto"/>
              </w:rPr>
              <w:t>convertible preferred</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1280" w:type="dxa"/>
            <w:vAlign w:val="bottom"/>
          </w:tcPr>
          <w:p>
            <w:pPr>
              <w:ind w:left="80"/>
              <w:spacing w:after="0"/>
              <w:rPr>
                <w:sz w:val="20"/>
                <w:szCs w:val="20"/>
                <w:color w:val="auto"/>
              </w:rPr>
            </w:pPr>
            <w:r>
              <w:rPr>
                <w:rFonts w:ascii="Arial" w:cs="Arial" w:eastAsia="Arial" w:hAnsi="Arial"/>
                <w:sz w:val="12"/>
                <w:szCs w:val="12"/>
                <w:color w:val="auto"/>
              </w:rPr>
              <w:t>stock upon IPO</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(13,811,856)</w:t>
            </w:r>
          </w:p>
        </w:tc>
        <w:tc>
          <w:tcPr>
            <w:tcW w:w="60" w:type="dxa"/>
            <w:vAlign w:val="bottom"/>
          </w:tcPr>
          <w:p>
            <w:pPr>
              <w:spacing w:after="0"/>
              <w:rPr>
                <w:sz w:val="13"/>
                <w:szCs w:val="13"/>
                <w:color w:val="auto"/>
              </w:rPr>
            </w:pPr>
          </w:p>
        </w:tc>
        <w:tc>
          <w:tcPr>
            <w:tcW w:w="66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(179,517)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7,823,478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1</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5,988,378</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179,515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179,517</w:t>
            </w:r>
          </w:p>
        </w:tc>
      </w:tr>
      <w:tr>
        <w:trPr>
          <w:trHeight w:val="111"/>
        </w:trPr>
        <w:tc>
          <w:tcPr>
            <w:tcW w:w="1280" w:type="dxa"/>
            <w:vAlign w:val="bottom"/>
            <w:shd w:val="clear" w:color="auto" w:fill="E0E0E0"/>
          </w:tcPr>
          <w:p>
            <w:pPr>
              <w:spacing w:after="0" w:line="111" w:lineRule="exact"/>
              <w:rPr>
                <w:sz w:val="20"/>
                <w:szCs w:val="20"/>
                <w:color w:val="auto"/>
              </w:rPr>
            </w:pPr>
            <w:r>
              <w:rPr>
                <w:rFonts w:ascii="Arial" w:cs="Arial" w:eastAsia="Arial" w:hAnsi="Arial"/>
                <w:sz w:val="12"/>
                <w:szCs w:val="12"/>
                <w:color w:val="auto"/>
              </w:rPr>
              <w:t>Reclassification of</w:t>
            </w: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 w:type="dxa"/>
            <w:vAlign w:val="bottom"/>
            <w:shd w:val="clear" w:color="auto" w:fill="E0E0E0"/>
          </w:tcPr>
          <w:p>
            <w:pPr>
              <w:spacing w:after="0"/>
              <w:rPr>
                <w:sz w:val="9"/>
                <w:szCs w:val="9"/>
                <w:color w:val="auto"/>
              </w:rPr>
            </w:pPr>
          </w:p>
        </w:tc>
        <w:tc>
          <w:tcPr>
            <w:tcW w:w="52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120" w:type="dxa"/>
            <w:vAlign w:val="bottom"/>
            <w:tcBorders>
              <w:right w:val="single" w:sz="8" w:color="auto"/>
            </w:tcBorders>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46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6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8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warrant liability</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to additional</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34"/>
        </w:trPr>
        <w:tc>
          <w:tcPr>
            <w:tcW w:w="1280" w:type="dxa"/>
            <w:vAlign w:val="bottom"/>
            <w:shd w:val="clear" w:color="auto" w:fill="E0E0E0"/>
          </w:tcPr>
          <w:p>
            <w:pPr>
              <w:ind w:left="80"/>
              <w:spacing w:after="0" w:line="134" w:lineRule="exact"/>
              <w:rPr>
                <w:sz w:val="20"/>
                <w:szCs w:val="20"/>
                <w:color w:val="auto"/>
              </w:rPr>
            </w:pPr>
            <w:r>
              <w:rPr>
                <w:rFonts w:ascii="Arial" w:cs="Arial" w:eastAsia="Arial" w:hAnsi="Arial"/>
                <w:sz w:val="12"/>
                <w:szCs w:val="12"/>
                <w:color w:val="auto"/>
              </w:rPr>
              <w:t>paid-in capital</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color w:val="auto"/>
              </w:rPr>
              <w:t>upon IPO</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760" w:type="dxa"/>
            <w:vAlign w:val="bottom"/>
            <w:gridSpan w:val="3"/>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E0E0E0"/>
          </w:tcPr>
          <w:p>
            <w:pPr>
              <w:spacing w:after="0"/>
              <w:rPr>
                <w:sz w:val="13"/>
                <w:szCs w:val="13"/>
                <w:color w:val="auto"/>
              </w:rPr>
            </w:pPr>
          </w:p>
        </w:tc>
        <w:tc>
          <w:tcPr>
            <w:tcW w:w="660" w:type="dxa"/>
            <w:vAlign w:val="bottom"/>
            <w:tcBorders>
              <w:right w:val="single" w:sz="8" w:color="auto"/>
            </w:tcBorders>
            <w:gridSpan w:val="3"/>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92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0E0"/>
          </w:tcPr>
          <w:p>
            <w:pPr>
              <w:spacing w:after="0"/>
              <w:rPr>
                <w:sz w:val="13"/>
                <w:szCs w:val="13"/>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6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6,272</w:t>
            </w:r>
          </w:p>
        </w:tc>
        <w:tc>
          <w:tcPr>
            <w:tcW w:w="24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800" w:type="dxa"/>
            <w:vAlign w:val="bottom"/>
            <w:gridSpan w:val="2"/>
            <w:shd w:val="clear" w:color="auto" w:fill="E0E0E0"/>
          </w:tcPr>
          <w:p>
            <w:pPr>
              <w:jc w:val="right"/>
              <w:ind w:right="120"/>
              <w:spacing w:after="0"/>
              <w:rPr>
                <w:sz w:val="20"/>
                <w:szCs w:val="20"/>
                <w:color w:val="auto"/>
              </w:rPr>
            </w:pPr>
            <w:r>
              <w:rPr>
                <w:rFonts w:ascii="Arial" w:cs="Arial" w:eastAsia="Arial" w:hAnsi="Arial"/>
                <w:sz w:val="12"/>
                <w:szCs w:val="12"/>
                <w:color w:val="auto"/>
              </w:rPr>
              <w:t>6,272</w:t>
            </w:r>
          </w:p>
        </w:tc>
      </w:tr>
      <w:tr>
        <w:trPr>
          <w:trHeight w:val="134"/>
        </w:trPr>
        <w:tc>
          <w:tcPr>
            <w:tcW w:w="1280" w:type="dxa"/>
            <w:vAlign w:val="bottom"/>
          </w:tcPr>
          <w:p>
            <w:pPr>
              <w:spacing w:after="0" w:line="134" w:lineRule="exact"/>
              <w:rPr>
                <w:sz w:val="20"/>
                <w:szCs w:val="20"/>
                <w:color w:val="auto"/>
              </w:rPr>
            </w:pPr>
            <w:r>
              <w:rPr>
                <w:rFonts w:ascii="Arial" w:cs="Arial" w:eastAsia="Arial" w:hAnsi="Arial"/>
                <w:sz w:val="12"/>
                <w:szCs w:val="12"/>
                <w:color w:val="auto"/>
              </w:rPr>
              <w:t>Net loss</w:t>
            </w:r>
          </w:p>
        </w:tc>
        <w:tc>
          <w:tcPr>
            <w:tcW w:w="100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3"/>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Borders>
              <w:right w:val="single" w:sz="8" w:color="auto"/>
            </w:tcBorders>
            <w:gridSpan w:val="3"/>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2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(28,085)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(28,085)</w:t>
            </w:r>
          </w:p>
        </w:tc>
      </w:tr>
      <w:tr>
        <w:trPr>
          <w:trHeight w:val="99"/>
        </w:trPr>
        <w:tc>
          <w:tcPr>
            <w:tcW w:w="1280" w:type="dxa"/>
            <w:vAlign w:val="bottom"/>
            <w:tcBorders>
              <w:top w:val="single" w:sz="8" w:color="E0E0E0"/>
            </w:tcBorders>
            <w:shd w:val="clear" w:color="auto" w:fill="E0E0E0"/>
          </w:tcPr>
          <w:p>
            <w:pPr>
              <w:spacing w:after="0" w:line="99" w:lineRule="exact"/>
              <w:rPr>
                <w:sz w:val="20"/>
                <w:szCs w:val="20"/>
                <w:color w:val="auto"/>
              </w:rPr>
            </w:pPr>
            <w:r>
              <w:rPr>
                <w:rFonts w:ascii="Arial" w:cs="Arial" w:eastAsia="Arial" w:hAnsi="Arial"/>
                <w:sz w:val="10"/>
                <w:szCs w:val="10"/>
                <w:b w:val="1"/>
                <w:bCs w:val="1"/>
                <w:color w:val="auto"/>
              </w:rPr>
              <w:t>Balances at</w:t>
            </w:r>
          </w:p>
        </w:tc>
        <w:tc>
          <w:tcPr>
            <w:tcW w:w="74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60" w:type="dxa"/>
            <w:vAlign w:val="bottom"/>
            <w:tcBorders>
              <w:top w:val="single" w:sz="8" w:color="auto"/>
            </w:tcBorders>
            <w:shd w:val="clear" w:color="auto" w:fill="E0E0E0"/>
          </w:tcPr>
          <w:p>
            <w:pPr>
              <w:spacing w:after="0"/>
              <w:rPr>
                <w:sz w:val="8"/>
                <w:szCs w:val="8"/>
                <w:color w:val="auto"/>
              </w:rPr>
            </w:pPr>
          </w:p>
        </w:tc>
        <w:tc>
          <w:tcPr>
            <w:tcW w:w="520" w:type="dxa"/>
            <w:vAlign w:val="bottom"/>
            <w:tcBorders>
              <w:top w:val="single" w:sz="8" w:color="auto"/>
            </w:tcBorders>
            <w:shd w:val="clear" w:color="auto" w:fill="E0E0E0"/>
          </w:tcPr>
          <w:p>
            <w:pPr>
              <w:spacing w:after="0"/>
              <w:rPr>
                <w:sz w:val="8"/>
                <w:szCs w:val="8"/>
                <w:color w:val="auto"/>
              </w:rPr>
            </w:pPr>
          </w:p>
        </w:tc>
        <w:tc>
          <w:tcPr>
            <w:tcW w:w="20" w:type="dxa"/>
            <w:vAlign w:val="bottom"/>
            <w:tcBorders>
              <w:top w:val="single" w:sz="8" w:color="E0E0E0"/>
            </w:tcBorders>
            <w:shd w:val="clear" w:color="auto" w:fill="E0E0E0"/>
          </w:tcPr>
          <w:p>
            <w:pPr>
              <w:spacing w:after="0"/>
              <w:rPr>
                <w:sz w:val="8"/>
                <w:szCs w:val="8"/>
                <w:color w:val="auto"/>
              </w:rPr>
            </w:pPr>
          </w:p>
        </w:tc>
        <w:tc>
          <w:tcPr>
            <w:tcW w:w="220" w:type="dxa"/>
            <w:vAlign w:val="bottom"/>
            <w:tcBorders>
              <w:top w:val="single" w:sz="8" w:color="E0E0E0"/>
            </w:tcBorders>
            <w:shd w:val="clear" w:color="auto" w:fill="E0E0E0"/>
          </w:tcPr>
          <w:p>
            <w:pPr>
              <w:spacing w:after="0"/>
              <w:rPr>
                <w:sz w:val="8"/>
                <w:szCs w:val="8"/>
                <w:color w:val="auto"/>
              </w:rPr>
            </w:pPr>
          </w:p>
        </w:tc>
        <w:tc>
          <w:tcPr>
            <w:tcW w:w="74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60" w:type="dxa"/>
            <w:vAlign w:val="bottom"/>
            <w:tcBorders>
              <w:top w:val="single" w:sz="8" w:color="auto"/>
            </w:tcBorders>
            <w:shd w:val="clear" w:color="auto" w:fill="E0E0E0"/>
          </w:tcPr>
          <w:p>
            <w:pPr>
              <w:spacing w:after="0"/>
              <w:rPr>
                <w:sz w:val="8"/>
                <w:szCs w:val="8"/>
                <w:color w:val="auto"/>
              </w:rPr>
            </w:pPr>
          </w:p>
        </w:tc>
        <w:tc>
          <w:tcPr>
            <w:tcW w:w="520" w:type="dxa"/>
            <w:vAlign w:val="bottom"/>
            <w:tcBorders>
              <w:top w:val="single" w:sz="8" w:color="auto"/>
            </w:tcBorders>
            <w:shd w:val="clear" w:color="auto" w:fill="E0E0E0"/>
          </w:tcPr>
          <w:p>
            <w:pPr>
              <w:spacing w:after="0"/>
              <w:rPr>
                <w:sz w:val="8"/>
                <w:szCs w:val="8"/>
                <w:color w:val="auto"/>
              </w:rPr>
            </w:pPr>
          </w:p>
        </w:tc>
        <w:tc>
          <w:tcPr>
            <w:tcW w:w="20" w:type="dxa"/>
            <w:vAlign w:val="bottom"/>
            <w:tcBorders>
              <w:top w:val="single" w:sz="8" w:color="E0E0E0"/>
            </w:tcBorders>
            <w:shd w:val="clear" w:color="auto" w:fill="E0E0E0"/>
          </w:tcPr>
          <w:p>
            <w:pPr>
              <w:spacing w:after="0"/>
              <w:rPr>
                <w:sz w:val="8"/>
                <w:szCs w:val="8"/>
                <w:color w:val="auto"/>
              </w:rPr>
            </w:pPr>
          </w:p>
        </w:tc>
        <w:tc>
          <w:tcPr>
            <w:tcW w:w="120" w:type="dxa"/>
            <w:vAlign w:val="bottom"/>
            <w:tcBorders>
              <w:top w:val="single" w:sz="8" w:color="E0E0E0"/>
              <w:right w:val="single" w:sz="8" w:color="auto"/>
            </w:tcBorders>
            <w:shd w:val="clear" w:color="auto" w:fill="E0E0E0"/>
          </w:tcPr>
          <w:p>
            <w:pPr>
              <w:spacing w:after="0"/>
              <w:rPr>
                <w:sz w:val="8"/>
                <w:szCs w:val="8"/>
                <w:color w:val="auto"/>
              </w:rPr>
            </w:pPr>
          </w:p>
        </w:tc>
        <w:tc>
          <w:tcPr>
            <w:tcW w:w="100" w:type="dxa"/>
            <w:vAlign w:val="bottom"/>
            <w:tcBorders>
              <w:top w:val="single" w:sz="8" w:color="E0E0E0"/>
            </w:tcBorders>
            <w:shd w:val="clear" w:color="auto" w:fill="E0E0E0"/>
          </w:tcPr>
          <w:p>
            <w:pPr>
              <w:spacing w:after="0"/>
              <w:rPr>
                <w:sz w:val="8"/>
                <w:szCs w:val="8"/>
                <w:color w:val="auto"/>
              </w:rPr>
            </w:pPr>
          </w:p>
        </w:tc>
        <w:tc>
          <w:tcPr>
            <w:tcW w:w="78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220" w:type="dxa"/>
            <w:vAlign w:val="bottom"/>
            <w:tcBorders>
              <w:top w:val="single" w:sz="8" w:color="auto"/>
            </w:tcBorders>
            <w:shd w:val="clear" w:color="auto" w:fill="E0E0E0"/>
          </w:tcPr>
          <w:p>
            <w:pPr>
              <w:spacing w:after="0"/>
              <w:rPr>
                <w:sz w:val="8"/>
                <w:szCs w:val="8"/>
                <w:color w:val="auto"/>
              </w:rPr>
            </w:pPr>
          </w:p>
        </w:tc>
        <w:tc>
          <w:tcPr>
            <w:tcW w:w="22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20" w:type="dxa"/>
            <w:vAlign w:val="bottom"/>
            <w:tcBorders>
              <w:top w:val="single" w:sz="8" w:color="auto"/>
            </w:tcBorders>
            <w:shd w:val="clear" w:color="auto" w:fill="E0E0E0"/>
          </w:tcPr>
          <w:p>
            <w:pPr>
              <w:spacing w:after="0"/>
              <w:rPr>
                <w:sz w:val="8"/>
                <w:szCs w:val="8"/>
                <w:color w:val="auto"/>
              </w:rPr>
            </w:pPr>
          </w:p>
        </w:tc>
        <w:tc>
          <w:tcPr>
            <w:tcW w:w="62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46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20" w:type="dxa"/>
            <w:vAlign w:val="bottom"/>
            <w:tcBorders>
              <w:top w:val="single" w:sz="8" w:color="auto"/>
            </w:tcBorders>
            <w:shd w:val="clear" w:color="auto" w:fill="E0E0E0"/>
          </w:tcPr>
          <w:p>
            <w:pPr>
              <w:spacing w:after="0"/>
              <w:rPr>
                <w:sz w:val="8"/>
                <w:szCs w:val="8"/>
                <w:color w:val="auto"/>
              </w:rPr>
            </w:pPr>
          </w:p>
        </w:tc>
        <w:tc>
          <w:tcPr>
            <w:tcW w:w="66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20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auto"/>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100" w:type="dxa"/>
            <w:vAlign w:val="bottom"/>
            <w:tcBorders>
              <w:top w:val="single" w:sz="8" w:color="E0E0E0"/>
            </w:tcBorders>
            <w:shd w:val="clear" w:color="auto" w:fill="E0E0E0"/>
          </w:tcPr>
          <w:p>
            <w:pPr>
              <w:spacing w:after="0"/>
              <w:rPr>
                <w:sz w:val="8"/>
                <w:szCs w:val="8"/>
                <w:color w:val="auto"/>
              </w:rPr>
            </w:pPr>
          </w:p>
        </w:tc>
        <w:tc>
          <w:tcPr>
            <w:tcW w:w="80" w:type="dxa"/>
            <w:vAlign w:val="bottom"/>
            <w:tcBorders>
              <w:top w:val="single" w:sz="8" w:color="auto"/>
            </w:tcBorders>
            <w:shd w:val="clear" w:color="auto" w:fill="E0E0E0"/>
          </w:tcPr>
          <w:p>
            <w:pPr>
              <w:spacing w:after="0"/>
              <w:rPr>
                <w:sz w:val="8"/>
                <w:szCs w:val="8"/>
                <w:color w:val="auto"/>
              </w:rPr>
            </w:pPr>
          </w:p>
        </w:tc>
        <w:tc>
          <w:tcPr>
            <w:tcW w:w="64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80" w:type="dxa"/>
            <w:vAlign w:val="bottom"/>
            <w:tcBorders>
              <w:top w:val="single" w:sz="8" w:color="auto"/>
            </w:tcBorders>
            <w:shd w:val="clear" w:color="auto" w:fill="E0E0E0"/>
          </w:tcPr>
          <w:p>
            <w:pPr>
              <w:spacing w:after="0"/>
              <w:rPr>
                <w:sz w:val="8"/>
                <w:szCs w:val="8"/>
                <w:color w:val="auto"/>
              </w:rPr>
            </w:pPr>
          </w:p>
        </w:tc>
        <w:tc>
          <w:tcPr>
            <w:tcW w:w="80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auto"/>
            </w:tcBorders>
            <w:shd w:val="clear" w:color="auto" w:fill="E0E0E0"/>
          </w:tcPr>
          <w:p>
            <w:pPr>
              <w:spacing w:after="0"/>
              <w:rPr>
                <w:sz w:val="8"/>
                <w:szCs w:val="8"/>
                <w:color w:val="auto"/>
              </w:rPr>
            </w:pPr>
          </w:p>
        </w:tc>
        <w:tc>
          <w:tcPr>
            <w:tcW w:w="600" w:type="dxa"/>
            <w:vAlign w:val="bottom"/>
            <w:tcBorders>
              <w:top w:val="single" w:sz="8" w:color="auto"/>
            </w:tcBorders>
            <w:shd w:val="clear" w:color="auto" w:fill="E0E0E0"/>
          </w:tcPr>
          <w:p>
            <w:pPr>
              <w:spacing w:after="0"/>
              <w:rPr>
                <w:sz w:val="8"/>
                <w:szCs w:val="8"/>
                <w:color w:val="auto"/>
              </w:rPr>
            </w:pPr>
          </w:p>
        </w:tc>
        <w:tc>
          <w:tcPr>
            <w:tcW w:w="22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auto"/>
            </w:tcBorders>
            <w:shd w:val="clear" w:color="auto" w:fill="E0E0E0"/>
          </w:tcPr>
          <w:p>
            <w:pPr>
              <w:spacing w:after="0"/>
              <w:rPr>
                <w:sz w:val="8"/>
                <w:szCs w:val="8"/>
                <w:color w:val="auto"/>
              </w:rPr>
            </w:pPr>
          </w:p>
        </w:tc>
        <w:tc>
          <w:tcPr>
            <w:tcW w:w="680" w:type="dxa"/>
            <w:vAlign w:val="bottom"/>
            <w:tcBorders>
              <w:top w:val="single" w:sz="8" w:color="auto"/>
            </w:tcBorders>
            <w:shd w:val="clear" w:color="auto" w:fill="E0E0E0"/>
          </w:tcPr>
          <w:p>
            <w:pPr>
              <w:spacing w:after="0"/>
              <w:rPr>
                <w:sz w:val="8"/>
                <w:szCs w:val="8"/>
                <w:color w:val="auto"/>
              </w:rPr>
            </w:pPr>
          </w:p>
        </w:tc>
        <w:tc>
          <w:tcPr>
            <w:tcW w:w="120" w:type="dxa"/>
            <w:vAlign w:val="bottom"/>
            <w:tcBorders>
              <w:top w:val="single" w:sz="8" w:color="E0E0E0"/>
            </w:tcBorders>
            <w:shd w:val="clear" w:color="auto" w:fill="E0E0E0"/>
          </w:tcPr>
          <w:p>
            <w:pPr>
              <w:spacing w:after="0"/>
              <w:rPr>
                <w:sz w:val="8"/>
                <w:szCs w:val="8"/>
                <w:color w:val="auto"/>
              </w:rPr>
            </w:pPr>
          </w:p>
        </w:tc>
      </w:tr>
      <w:tr>
        <w:trPr>
          <w:trHeight w:val="134"/>
        </w:trPr>
        <w:tc>
          <w:tcPr>
            <w:tcW w:w="1280" w:type="dxa"/>
            <w:vAlign w:val="bottom"/>
            <w:shd w:val="clear" w:color="auto" w:fill="E0E0E0"/>
          </w:tcPr>
          <w:p>
            <w:pPr>
              <w:spacing w:after="0" w:line="134" w:lineRule="exact"/>
              <w:rPr>
                <w:sz w:val="20"/>
                <w:szCs w:val="20"/>
                <w:color w:val="auto"/>
              </w:rPr>
            </w:pPr>
            <w:r>
              <w:rPr>
                <w:rFonts w:ascii="Arial" w:cs="Arial" w:eastAsia="Arial" w:hAnsi="Arial"/>
                <w:sz w:val="12"/>
                <w:szCs w:val="12"/>
                <w:b w:val="1"/>
                <w:bCs w:val="1"/>
                <w:color w:val="auto"/>
              </w:rPr>
              <w:t>December</w:t>
            </w: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52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120" w:type="dxa"/>
            <w:vAlign w:val="bottom"/>
            <w:tcBorders>
              <w:right w:val="single" w:sz="8" w:color="auto"/>
            </w:tcBorders>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6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r>
      <w:tr>
        <w:trPr>
          <w:trHeight w:val="159"/>
        </w:trPr>
        <w:tc>
          <w:tcPr>
            <w:tcW w:w="1280" w:type="dxa"/>
            <w:vAlign w:val="bottom"/>
            <w:shd w:val="clear" w:color="auto" w:fill="E0E0E0"/>
          </w:tcPr>
          <w:p>
            <w:pPr>
              <w:ind w:left="80"/>
              <w:spacing w:after="0"/>
              <w:rPr>
                <w:sz w:val="20"/>
                <w:szCs w:val="20"/>
                <w:color w:val="auto"/>
              </w:rPr>
            </w:pPr>
            <w:r>
              <w:rPr>
                <w:rFonts w:ascii="Arial" w:cs="Arial" w:eastAsia="Arial" w:hAnsi="Arial"/>
                <w:sz w:val="12"/>
                <w:szCs w:val="12"/>
                <w:b w:val="1"/>
                <w:bCs w:val="1"/>
                <w:color w:val="auto"/>
              </w:rPr>
              <w:t>31, 2021</w:t>
            </w:r>
          </w:p>
        </w:tc>
        <w:tc>
          <w:tcPr>
            <w:tcW w:w="7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spacing w:after="0"/>
              <w:rPr>
                <w:sz w:val="13"/>
                <w:szCs w:val="13"/>
                <w:color w:val="auto"/>
              </w:rPr>
            </w:pPr>
          </w:p>
        </w:tc>
        <w:tc>
          <w:tcPr>
            <w:tcW w:w="6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7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spacing w:after="0"/>
              <w:rPr>
                <w:sz w:val="13"/>
                <w:szCs w:val="13"/>
                <w:color w:val="auto"/>
              </w:rPr>
            </w:pPr>
          </w:p>
        </w:tc>
        <w:tc>
          <w:tcPr>
            <w:tcW w:w="6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E0E0E0"/>
          </w:tcPr>
          <w:p>
            <w:pPr>
              <w:spacing w:after="0"/>
              <w:rPr>
                <w:sz w:val="13"/>
                <w:szCs w:val="13"/>
                <w:color w:val="auto"/>
              </w:rPr>
            </w:pPr>
          </w:p>
        </w:tc>
        <w:tc>
          <w:tcPr>
            <w:tcW w:w="120" w:type="dxa"/>
            <w:vAlign w:val="bottom"/>
            <w:tcBorders>
              <w:right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7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102,771,899</w:t>
            </w:r>
          </w:p>
        </w:tc>
        <w:tc>
          <w:tcPr>
            <w:tcW w:w="2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10</w:t>
            </w:r>
          </w:p>
        </w:tc>
        <w:tc>
          <w:tcPr>
            <w:tcW w:w="260" w:type="dxa"/>
            <w:vAlign w:val="bottom"/>
            <w:shd w:val="clear" w:color="auto" w:fill="E0E0E0"/>
          </w:tcPr>
          <w:p>
            <w:pPr>
              <w:spacing w:after="0"/>
              <w:rPr>
                <w:sz w:val="13"/>
                <w:szCs w:val="13"/>
                <w:color w:val="auto"/>
              </w:rPr>
            </w:pPr>
          </w:p>
        </w:tc>
        <w:tc>
          <w:tcPr>
            <w:tcW w:w="64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5,988,378</w:t>
            </w:r>
          </w:p>
        </w:tc>
        <w:tc>
          <w:tcPr>
            <w:tcW w:w="240" w:type="dxa"/>
            <w:vAlign w:val="bottom"/>
            <w:shd w:val="clear" w:color="auto" w:fill="E0E0E0"/>
          </w:tcPr>
          <w:p>
            <w:pPr>
              <w:spacing w:after="0"/>
              <w:rPr>
                <w:sz w:val="13"/>
                <w:szCs w:val="13"/>
                <w:color w:val="auto"/>
              </w:rPr>
            </w:pPr>
          </w:p>
        </w:tc>
        <w:tc>
          <w:tcPr>
            <w:tcW w:w="4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E0E0E0"/>
          </w:tcPr>
          <w:p>
            <w:pPr>
              <w:spacing w:after="0"/>
              <w:rPr>
                <w:sz w:val="13"/>
                <w:szCs w:val="13"/>
                <w:color w:val="auto"/>
              </w:rPr>
            </w:pPr>
          </w:p>
        </w:tc>
        <w:tc>
          <w:tcPr>
            <w:tcW w:w="68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(2,317,722)</w:t>
            </w:r>
          </w:p>
        </w:tc>
        <w:tc>
          <w:tcPr>
            <w:tcW w:w="260" w:type="dxa"/>
            <w:vAlign w:val="bottom"/>
            <w:shd w:val="clear" w:color="auto" w:fill="E0E0E0"/>
          </w:tcPr>
          <w:p>
            <w:pPr>
              <w:spacing w:after="0"/>
              <w:rPr>
                <w:sz w:val="13"/>
                <w:szCs w:val="13"/>
                <w:color w:val="auto"/>
              </w:rPr>
            </w:pPr>
          </w:p>
        </w:tc>
        <w:tc>
          <w:tcPr>
            <w:tcW w:w="200" w:type="dxa"/>
            <w:vAlign w:val="bottom"/>
            <w:shd w:val="clear" w:color="auto" w:fill="E0E0E0"/>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jc w:val="right"/>
              <w:spacing w:after="0"/>
              <w:rPr>
                <w:sz w:val="20"/>
                <w:szCs w:val="20"/>
                <w:color w:val="auto"/>
              </w:rPr>
            </w:pPr>
            <w:r>
              <w:rPr>
                <w:rFonts w:ascii="Arial" w:cs="Arial" w:eastAsia="Arial" w:hAnsi="Arial"/>
                <w:sz w:val="12"/>
                <w:szCs w:val="12"/>
                <w:color w:val="auto"/>
                <w:w w:val="85"/>
              </w:rPr>
              <w:t>(748)</w:t>
            </w:r>
          </w:p>
        </w:tc>
        <w:tc>
          <w:tcPr>
            <w:tcW w:w="14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80" w:type="dxa"/>
            <w:vAlign w:val="bottom"/>
            <w:shd w:val="clear" w:color="auto" w:fill="E0E0E0"/>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609,194</w:t>
            </w:r>
          </w:p>
        </w:tc>
        <w:tc>
          <w:tcPr>
            <w:tcW w:w="240" w:type="dxa"/>
            <w:vAlign w:val="bottom"/>
            <w:shd w:val="clear" w:color="auto" w:fill="E0E0E0"/>
          </w:tcPr>
          <w:p>
            <w:pPr>
              <w:spacing w:after="0"/>
              <w:rPr>
                <w:sz w:val="13"/>
                <w:szCs w:val="13"/>
                <w:color w:val="auto"/>
              </w:rPr>
            </w:pPr>
          </w:p>
        </w:tc>
        <w:tc>
          <w:tcPr>
            <w:tcW w:w="80" w:type="dxa"/>
            <w:vAlign w:val="bottom"/>
            <w:shd w:val="clear" w:color="auto" w:fill="E0E0E0"/>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(399)</w:t>
            </w:r>
          </w:p>
        </w:tc>
        <w:tc>
          <w:tcPr>
            <w:tcW w:w="24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(125,857)</w:t>
            </w:r>
          </w:p>
        </w:tc>
        <w:tc>
          <w:tcPr>
            <w:tcW w:w="220" w:type="dxa"/>
            <w:vAlign w:val="bottom"/>
            <w:shd w:val="clear" w:color="auto" w:fill="E0E0E0"/>
          </w:tcPr>
          <w:p>
            <w:pPr>
              <w:spacing w:after="0"/>
              <w:rPr>
                <w:sz w:val="13"/>
                <w:szCs w:val="13"/>
                <w:color w:val="auto"/>
              </w:rPr>
            </w:pPr>
          </w:p>
        </w:tc>
        <w:tc>
          <w:tcPr>
            <w:tcW w:w="140" w:type="dxa"/>
            <w:vAlign w:val="bottom"/>
            <w:shd w:val="clear" w:color="auto" w:fill="E0E0E0"/>
          </w:tcPr>
          <w:p>
            <w:pPr>
              <w:jc w:val="right"/>
              <w:ind w:right="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482,201</w:t>
            </w:r>
          </w:p>
        </w:tc>
        <w:tc>
          <w:tcPr>
            <w:tcW w:w="120" w:type="dxa"/>
            <w:vAlign w:val="bottom"/>
            <w:shd w:val="clear" w:color="auto" w:fill="E0E0E0"/>
          </w:tcPr>
          <w:p>
            <w:pPr>
              <w:spacing w:after="0"/>
              <w:rPr>
                <w:sz w:val="13"/>
                <w:szCs w:val="13"/>
                <w:color w:val="auto"/>
              </w:rPr>
            </w:pPr>
          </w:p>
        </w:tc>
      </w:tr>
    </w:tbl>
    <w:p>
      <w:pPr>
        <w:sectPr>
          <w:pgSz w:w="15840" w:h="12240" w:orient="landscape"/>
          <w:cols w:equalWidth="0" w:num="2">
            <w:col w:w="242" w:space="211"/>
            <w:col w:w="13840"/>
          </w:cols>
          <w:pgMar w:left="727" w:top="1248" w:right="820" w:bottom="1440" w:gutter="0" w:footer="0" w:header="0"/>
        </w:sectPr>
      </w:pPr>
    </w:p>
    <w:bookmarkStart w:id="113" w:name="page114"/>
    <w:bookmarkEnd w:id="113"/>
    <w:p>
      <w:pPr>
        <w:spacing w:after="0" w:line="1" w:lineRule="exact"/>
        <w:rPr>
          <w:sz w:val="20"/>
          <w:szCs w:val="20"/>
          <w:color w:val="auto"/>
        </w:rPr>
      </w:pPr>
    </w:p>
    <w:tbl>
      <w:tblPr>
        <w:tblLayout w:type="fixed"/>
        <w:tblInd w:w="453" w:type="dxa"/>
        <w:tblCellMar>
          <w:top w:w="0" w:type="dxa"/>
          <w:left w:w="0" w:type="dxa"/>
          <w:bottom w:w="0" w:type="dxa"/>
          <w:right w:w="0" w:type="dxa"/>
        </w:tblCellMar>
      </w:tblPr>
      <w:tr>
        <w:trPr>
          <w:trHeight w:val="138"/>
        </w:trPr>
        <w:tc>
          <w:tcPr>
            <w:tcW w:w="1300" w:type="dxa"/>
            <w:vAlign w:val="bottom"/>
          </w:tcPr>
          <w:p>
            <w:pPr>
              <w:spacing w:after="0"/>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stock upon exercise</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of stock options, net</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2"/>
                <w:szCs w:val="12"/>
                <w:color w:val="auto"/>
              </w:rPr>
              <w:t>2,507,070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4,745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4,745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00" w:type="dxa"/>
            <w:vAlign w:val="bottom"/>
          </w:tcPr>
          <w:p>
            <w:pPr>
              <w:ind w:left="100"/>
              <w:spacing w:after="0"/>
              <w:rPr>
                <w:sz w:val="20"/>
                <w:szCs w:val="20"/>
                <w:color w:val="auto"/>
              </w:rPr>
            </w:pPr>
            <w:r>
              <w:rPr>
                <w:rFonts w:ascii="Arial" w:cs="Arial" w:eastAsia="Arial" w:hAnsi="Arial"/>
                <w:sz w:val="12"/>
                <w:szCs w:val="12"/>
                <w:color w:val="auto"/>
              </w:rPr>
              <w:t>of tax withheld</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300" w:type="dxa"/>
            <w:vAlign w:val="bottom"/>
            <w:shd w:val="clear" w:color="auto" w:fill="E0E0E0"/>
          </w:tcPr>
          <w:p>
            <w:pPr>
              <w:spacing w:after="0" w:line="105" w:lineRule="exact"/>
              <w:rPr>
                <w:sz w:val="20"/>
                <w:szCs w:val="20"/>
                <w:color w:val="auto"/>
              </w:rPr>
            </w:pPr>
            <w:r>
              <w:rPr>
                <w:rFonts w:ascii="Arial" w:cs="Arial" w:eastAsia="Arial" w:hAnsi="Arial"/>
                <w:sz w:val="12"/>
                <w:szCs w:val="12"/>
                <w:color w:val="auto"/>
              </w:rPr>
              <w:t>Conversion of</w:t>
            </w: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60" w:type="dxa"/>
            <w:vAlign w:val="bottom"/>
            <w:tcBorders>
              <w:right w:val="single" w:sz="8" w:color="auto"/>
            </w:tcBorders>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7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4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5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50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0E0E0"/>
          </w:tcPr>
          <w:p>
            <w:pPr>
              <w:ind w:left="100"/>
              <w:spacing w:after="0" w:line="128" w:lineRule="exact"/>
              <w:rPr>
                <w:sz w:val="20"/>
                <w:szCs w:val="20"/>
                <w:color w:val="auto"/>
              </w:rPr>
            </w:pPr>
            <w:r>
              <w:rPr>
                <w:rFonts w:ascii="Arial" w:cs="Arial" w:eastAsia="Arial" w:hAnsi="Arial"/>
                <w:sz w:val="12"/>
                <w:szCs w:val="12"/>
                <w:color w:val="auto"/>
              </w:rPr>
              <w:t>non-voting</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60" w:type="dxa"/>
            <w:vAlign w:val="bottom"/>
            <w:tcBorders>
              <w:right w:val="single" w:sz="8" w:color="auto"/>
            </w:tcBorders>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5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0E0E0"/>
          </w:tcPr>
          <w:p>
            <w:pPr>
              <w:ind w:left="100"/>
              <w:spacing w:after="0" w:line="128" w:lineRule="exact"/>
              <w:rPr>
                <w:sz w:val="20"/>
                <w:szCs w:val="20"/>
                <w:color w:val="auto"/>
              </w:rPr>
            </w:pPr>
            <w:r>
              <w:rPr>
                <w:rFonts w:ascii="Arial" w:cs="Arial" w:eastAsia="Arial" w:hAnsi="Arial"/>
                <w:sz w:val="12"/>
                <w:szCs w:val="12"/>
                <w:color w:val="auto"/>
              </w:rPr>
              <w:t>common stock</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60" w:type="dxa"/>
            <w:vAlign w:val="bottom"/>
            <w:tcBorders>
              <w:right w:val="single" w:sz="8" w:color="auto"/>
            </w:tcBorders>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5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0E0E0"/>
          </w:tcPr>
          <w:p>
            <w:pPr>
              <w:ind w:left="100"/>
              <w:spacing w:after="0" w:line="128" w:lineRule="exact"/>
              <w:rPr>
                <w:sz w:val="20"/>
                <w:szCs w:val="20"/>
                <w:color w:val="auto"/>
              </w:rPr>
            </w:pPr>
            <w:r>
              <w:rPr>
                <w:rFonts w:ascii="Arial" w:cs="Arial" w:eastAsia="Arial" w:hAnsi="Arial"/>
                <w:sz w:val="12"/>
                <w:szCs w:val="12"/>
                <w:color w:val="auto"/>
              </w:rPr>
              <w:t>to voting common</w:t>
            </w:r>
          </w:p>
        </w:tc>
        <w:tc>
          <w:tcPr>
            <w:tcW w:w="620" w:type="dxa"/>
            <w:vAlign w:val="bottom"/>
            <w:vMerge w:val="restart"/>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1"/>
                <w:szCs w:val="11"/>
                <w:color w:val="auto"/>
              </w:rPr>
            </w:pPr>
          </w:p>
        </w:tc>
        <w:tc>
          <w:tcPr>
            <w:tcW w:w="880" w:type="dxa"/>
            <w:vAlign w:val="bottom"/>
            <w:gridSpan w:val="2"/>
            <w:vMerge w:val="restart"/>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vMerge w:val="restart"/>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1160" w:type="dxa"/>
            <w:vAlign w:val="bottom"/>
            <w:gridSpan w:val="3"/>
            <w:vMerge w:val="restart"/>
            <w:shd w:val="clear" w:color="auto" w:fill="E0E0E0"/>
          </w:tcPr>
          <w:p>
            <w:pPr>
              <w:jc w:val="right"/>
              <w:ind w:right="260"/>
              <w:spacing w:after="0"/>
              <w:rPr>
                <w:sz w:val="20"/>
                <w:szCs w:val="20"/>
                <w:color w:val="auto"/>
              </w:rPr>
            </w:pPr>
            <w:r>
              <w:rPr>
                <w:rFonts w:ascii="Arial" w:cs="Arial" w:eastAsia="Arial" w:hAnsi="Arial"/>
                <w:sz w:val="12"/>
                <w:szCs w:val="12"/>
                <w:color w:val="auto"/>
              </w:rPr>
              <w:t>4,115,058</w:t>
            </w:r>
          </w:p>
        </w:tc>
        <w:tc>
          <w:tcPr>
            <w:tcW w:w="700" w:type="dxa"/>
            <w:vAlign w:val="bottom"/>
            <w:gridSpan w:val="2"/>
            <w:vMerge w:val="restart"/>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shd w:val="clear" w:color="auto" w:fill="E0E0E0"/>
          </w:tcPr>
          <w:p>
            <w:pPr>
              <w:jc w:val="right"/>
              <w:ind w:right="220"/>
              <w:spacing w:after="0"/>
              <w:rPr>
                <w:sz w:val="20"/>
                <w:szCs w:val="20"/>
                <w:color w:val="auto"/>
              </w:rPr>
            </w:pPr>
            <w:r>
              <w:rPr>
                <w:rFonts w:ascii="Arial" w:cs="Arial" w:eastAsia="Arial" w:hAnsi="Arial"/>
                <w:sz w:val="12"/>
                <w:szCs w:val="12"/>
                <w:color w:val="auto"/>
              </w:rPr>
              <w:t>(4,115,058)</w:t>
            </w:r>
          </w:p>
        </w:tc>
        <w:tc>
          <w:tcPr>
            <w:tcW w:w="180" w:type="dxa"/>
            <w:vAlign w:val="bottom"/>
            <w:shd w:val="clear" w:color="auto" w:fill="E0E0E0"/>
          </w:tcPr>
          <w:p>
            <w:pPr>
              <w:spacing w:after="0"/>
              <w:rPr>
                <w:sz w:val="11"/>
                <w:szCs w:val="11"/>
                <w:color w:val="auto"/>
              </w:rPr>
            </w:pPr>
          </w:p>
        </w:tc>
        <w:tc>
          <w:tcPr>
            <w:tcW w:w="520" w:type="dxa"/>
            <w:vAlign w:val="bottom"/>
            <w:gridSpan w:val="2"/>
            <w:vMerge w:val="restart"/>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680" w:type="dxa"/>
            <w:vAlign w:val="bottom"/>
            <w:gridSpan w:val="2"/>
            <w:vMerge w:val="restart"/>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80" w:type="dxa"/>
            <w:vAlign w:val="bottom"/>
            <w:gridSpan w:val="2"/>
            <w:vMerge w:val="restart"/>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shd w:val="clear" w:color="auto" w:fill="E0E0E0"/>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740" w:type="dxa"/>
            <w:vAlign w:val="bottom"/>
            <w:gridSpan w:val="2"/>
            <w:vMerge w:val="restart"/>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E0E0E0"/>
          </w:tcPr>
          <w:p>
            <w:pPr>
              <w:ind w:left="100"/>
              <w:spacing w:after="0"/>
              <w:rPr>
                <w:sz w:val="20"/>
                <w:szCs w:val="20"/>
                <w:color w:val="auto"/>
              </w:rPr>
            </w:pPr>
            <w:r>
              <w:rPr>
                <w:rFonts w:ascii="Arial" w:cs="Arial" w:eastAsia="Arial" w:hAnsi="Arial"/>
                <w:sz w:val="12"/>
                <w:szCs w:val="12"/>
                <w:color w:val="auto"/>
              </w:rPr>
              <w:t>stock</w:t>
            </w:r>
          </w:p>
        </w:tc>
        <w:tc>
          <w:tcPr>
            <w:tcW w:w="620" w:type="dxa"/>
            <w:vAlign w:val="bottom"/>
            <w:vMerge w:val="continue"/>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880" w:type="dxa"/>
            <w:vAlign w:val="bottom"/>
            <w:gridSpan w:val="2"/>
            <w:vMerge w:val="continue"/>
            <w:shd w:val="clear" w:color="auto" w:fill="E0E0E0"/>
          </w:tcPr>
          <w:p>
            <w:pPr>
              <w:spacing w:after="0"/>
              <w:rPr>
                <w:sz w:val="13"/>
                <w:szCs w:val="13"/>
                <w:color w:val="auto"/>
              </w:rPr>
            </w:pPr>
          </w:p>
        </w:tc>
        <w:tc>
          <w:tcPr>
            <w:tcW w:w="880" w:type="dxa"/>
            <w:vAlign w:val="bottom"/>
            <w:gridSpan w:val="2"/>
            <w:vMerge w:val="continue"/>
            <w:shd w:val="clear" w:color="auto" w:fill="E0E0E0"/>
          </w:tcPr>
          <w:p>
            <w:pPr>
              <w:spacing w:after="0"/>
              <w:rPr>
                <w:sz w:val="13"/>
                <w:szCs w:val="13"/>
                <w:color w:val="auto"/>
              </w:rPr>
            </w:pPr>
          </w:p>
        </w:tc>
        <w:tc>
          <w:tcPr>
            <w:tcW w:w="760" w:type="dxa"/>
            <w:vAlign w:val="bottom"/>
            <w:tcBorders>
              <w:right w:val="single" w:sz="8" w:color="auto"/>
            </w:tcBorders>
            <w:gridSpan w:val="2"/>
            <w:vMerge w:val="continue"/>
            <w:shd w:val="clear" w:color="auto" w:fill="E0E0E0"/>
          </w:tcPr>
          <w:p>
            <w:pPr>
              <w:spacing w:after="0"/>
              <w:rPr>
                <w:sz w:val="13"/>
                <w:szCs w:val="13"/>
                <w:color w:val="auto"/>
              </w:rPr>
            </w:pPr>
          </w:p>
        </w:tc>
        <w:tc>
          <w:tcPr>
            <w:tcW w:w="1160" w:type="dxa"/>
            <w:vAlign w:val="bottom"/>
            <w:gridSpan w:val="3"/>
            <w:vMerge w:val="continue"/>
            <w:shd w:val="clear" w:color="auto" w:fill="E0E0E0"/>
          </w:tcPr>
          <w:p>
            <w:pPr>
              <w:spacing w:after="0"/>
              <w:rPr>
                <w:sz w:val="13"/>
                <w:szCs w:val="13"/>
                <w:color w:val="auto"/>
              </w:rPr>
            </w:pPr>
          </w:p>
        </w:tc>
        <w:tc>
          <w:tcPr>
            <w:tcW w:w="700" w:type="dxa"/>
            <w:vAlign w:val="bottom"/>
            <w:gridSpan w:val="2"/>
            <w:vMerge w:val="continue"/>
            <w:shd w:val="clear" w:color="auto" w:fill="E0E0E0"/>
          </w:tcPr>
          <w:p>
            <w:pPr>
              <w:spacing w:after="0"/>
              <w:rPr>
                <w:sz w:val="13"/>
                <w:szCs w:val="13"/>
                <w:color w:val="auto"/>
              </w:rPr>
            </w:pPr>
          </w:p>
        </w:tc>
        <w:tc>
          <w:tcPr>
            <w:tcW w:w="960" w:type="dxa"/>
            <w:vAlign w:val="bottom"/>
            <w:gridSpan w:val="2"/>
            <w:vMerge w:val="continue"/>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20" w:type="dxa"/>
            <w:vAlign w:val="bottom"/>
            <w:gridSpan w:val="2"/>
            <w:vMerge w:val="continue"/>
            <w:shd w:val="clear" w:color="auto" w:fill="E0E0E0"/>
          </w:tcPr>
          <w:p>
            <w:pPr>
              <w:spacing w:after="0"/>
              <w:rPr>
                <w:sz w:val="13"/>
                <w:szCs w:val="13"/>
                <w:color w:val="auto"/>
              </w:rPr>
            </w:pPr>
          </w:p>
        </w:tc>
        <w:tc>
          <w:tcPr>
            <w:tcW w:w="960" w:type="dxa"/>
            <w:vAlign w:val="bottom"/>
            <w:gridSpan w:val="2"/>
            <w:vMerge w:val="continue"/>
            <w:shd w:val="clear" w:color="auto" w:fill="E0E0E0"/>
          </w:tcPr>
          <w:p>
            <w:pPr>
              <w:spacing w:after="0"/>
              <w:rPr>
                <w:sz w:val="13"/>
                <w:szCs w:val="13"/>
                <w:color w:val="auto"/>
              </w:rPr>
            </w:pPr>
          </w:p>
        </w:tc>
        <w:tc>
          <w:tcPr>
            <w:tcW w:w="480" w:type="dxa"/>
            <w:vAlign w:val="bottom"/>
            <w:vMerge w:val="continue"/>
            <w:shd w:val="clear" w:color="auto" w:fill="E0E0E0"/>
          </w:tcPr>
          <w:p>
            <w:pPr>
              <w:spacing w:after="0"/>
              <w:rPr>
                <w:sz w:val="13"/>
                <w:szCs w:val="13"/>
                <w:color w:val="auto"/>
              </w:rPr>
            </w:pPr>
          </w:p>
        </w:tc>
        <w:tc>
          <w:tcPr>
            <w:tcW w:w="28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680" w:type="dxa"/>
            <w:vAlign w:val="bottom"/>
            <w:gridSpan w:val="2"/>
            <w:vMerge w:val="continue"/>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780" w:type="dxa"/>
            <w:vAlign w:val="bottom"/>
            <w:gridSpan w:val="2"/>
            <w:vMerge w:val="continue"/>
            <w:shd w:val="clear" w:color="auto" w:fill="E0E0E0"/>
          </w:tcPr>
          <w:p>
            <w:pPr>
              <w:spacing w:after="0"/>
              <w:rPr>
                <w:sz w:val="13"/>
                <w:szCs w:val="13"/>
                <w:color w:val="auto"/>
              </w:rPr>
            </w:pPr>
          </w:p>
        </w:tc>
        <w:tc>
          <w:tcPr>
            <w:tcW w:w="860" w:type="dxa"/>
            <w:vAlign w:val="bottom"/>
            <w:gridSpan w:val="2"/>
            <w:vMerge w:val="continue"/>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740" w:type="dxa"/>
            <w:vAlign w:val="bottom"/>
            <w:gridSpan w:val="2"/>
            <w:vMerge w:val="continue"/>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line="105" w:lineRule="exact"/>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stock upon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settlement</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of restricted stock</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2"/>
                <w:szCs w:val="12"/>
                <w:color w:val="auto"/>
              </w:rPr>
              <w:t>111,549</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ind w:left="100"/>
              <w:spacing w:after="0"/>
              <w:rPr>
                <w:sz w:val="20"/>
                <w:szCs w:val="20"/>
                <w:color w:val="auto"/>
              </w:rPr>
            </w:pPr>
            <w:r>
              <w:rPr>
                <w:rFonts w:ascii="Arial" w:cs="Arial" w:eastAsia="Arial" w:hAnsi="Arial"/>
                <w:sz w:val="12"/>
                <w:szCs w:val="12"/>
                <w:color w:val="auto"/>
              </w:rPr>
              <w:t>units</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300" w:type="dxa"/>
            <w:vAlign w:val="bottom"/>
            <w:shd w:val="clear" w:color="auto" w:fill="E0E0E0"/>
          </w:tcPr>
          <w:p>
            <w:pPr>
              <w:spacing w:after="0" w:line="105"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60" w:type="dxa"/>
            <w:vAlign w:val="bottom"/>
            <w:tcBorders>
              <w:right w:val="single" w:sz="8" w:color="auto"/>
            </w:tcBorders>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7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4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5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50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0E0E0"/>
          </w:tcPr>
          <w:p>
            <w:pPr>
              <w:ind w:left="100"/>
              <w:spacing w:after="0" w:line="128" w:lineRule="exact"/>
              <w:rPr>
                <w:sz w:val="20"/>
                <w:szCs w:val="20"/>
                <w:color w:val="auto"/>
              </w:rPr>
            </w:pPr>
            <w:r>
              <w:rPr>
                <w:rFonts w:ascii="Arial" w:cs="Arial" w:eastAsia="Arial" w:hAnsi="Arial"/>
                <w:sz w:val="12"/>
                <w:szCs w:val="12"/>
                <w:color w:val="auto"/>
              </w:rPr>
              <w:t>stock under</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60" w:type="dxa"/>
            <w:vAlign w:val="bottom"/>
            <w:tcBorders>
              <w:right w:val="single" w:sz="8" w:color="auto"/>
            </w:tcBorders>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5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0E0E0"/>
          </w:tcPr>
          <w:p>
            <w:pPr>
              <w:ind w:left="100"/>
              <w:spacing w:after="0" w:line="128" w:lineRule="exact"/>
              <w:rPr>
                <w:sz w:val="20"/>
                <w:szCs w:val="20"/>
                <w:color w:val="auto"/>
              </w:rPr>
            </w:pPr>
            <w:r>
              <w:rPr>
                <w:rFonts w:ascii="Arial" w:cs="Arial" w:eastAsia="Arial" w:hAnsi="Arial"/>
                <w:sz w:val="12"/>
                <w:szCs w:val="12"/>
                <w:color w:val="auto"/>
              </w:rPr>
              <w:t>employee stock</w:t>
            </w:r>
          </w:p>
        </w:tc>
        <w:tc>
          <w:tcPr>
            <w:tcW w:w="620" w:type="dxa"/>
            <w:vAlign w:val="bottom"/>
            <w:vMerge w:val="restart"/>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1"/>
                <w:szCs w:val="11"/>
                <w:color w:val="auto"/>
              </w:rPr>
            </w:pPr>
          </w:p>
        </w:tc>
        <w:tc>
          <w:tcPr>
            <w:tcW w:w="880" w:type="dxa"/>
            <w:vAlign w:val="bottom"/>
            <w:gridSpan w:val="2"/>
            <w:vMerge w:val="restart"/>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vMerge w:val="restart"/>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shd w:val="clear" w:color="auto" w:fill="E0E0E0"/>
          </w:tcPr>
          <w:p>
            <w:pPr>
              <w:jc w:val="right"/>
              <w:spacing w:after="0"/>
              <w:rPr>
                <w:sz w:val="20"/>
                <w:szCs w:val="20"/>
                <w:color w:val="auto"/>
              </w:rPr>
            </w:pPr>
            <w:r>
              <w:rPr>
                <w:rFonts w:ascii="Arial" w:cs="Arial" w:eastAsia="Arial" w:hAnsi="Arial"/>
                <w:sz w:val="12"/>
                <w:szCs w:val="12"/>
                <w:color w:val="auto"/>
              </w:rPr>
              <w:t>84,812</w:t>
            </w:r>
          </w:p>
        </w:tc>
        <w:tc>
          <w:tcPr>
            <w:tcW w:w="260" w:type="dxa"/>
            <w:vAlign w:val="bottom"/>
            <w:shd w:val="clear" w:color="auto" w:fill="E0E0E0"/>
          </w:tcPr>
          <w:p>
            <w:pPr>
              <w:spacing w:after="0"/>
              <w:rPr>
                <w:sz w:val="11"/>
                <w:szCs w:val="11"/>
                <w:color w:val="auto"/>
              </w:rPr>
            </w:pPr>
          </w:p>
        </w:tc>
        <w:tc>
          <w:tcPr>
            <w:tcW w:w="700" w:type="dxa"/>
            <w:vAlign w:val="bottom"/>
            <w:gridSpan w:val="2"/>
            <w:vMerge w:val="restart"/>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1"/>
                <w:szCs w:val="11"/>
                <w:color w:val="auto"/>
              </w:rPr>
            </w:pPr>
          </w:p>
        </w:tc>
        <w:tc>
          <w:tcPr>
            <w:tcW w:w="520" w:type="dxa"/>
            <w:vAlign w:val="bottom"/>
            <w:gridSpan w:val="2"/>
            <w:vMerge w:val="restart"/>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40" w:type="dxa"/>
            <w:vAlign w:val="bottom"/>
            <w:vMerge w:val="restart"/>
            <w:shd w:val="clear" w:color="auto" w:fill="E0E0E0"/>
          </w:tcPr>
          <w:p>
            <w:pPr>
              <w:jc w:val="right"/>
              <w:spacing w:after="0"/>
              <w:rPr>
                <w:sz w:val="20"/>
                <w:szCs w:val="20"/>
                <w:color w:val="auto"/>
              </w:rPr>
            </w:pPr>
            <w:r>
              <w:rPr>
                <w:rFonts w:ascii="Arial" w:cs="Arial" w:eastAsia="Arial" w:hAnsi="Arial"/>
                <w:sz w:val="12"/>
                <w:szCs w:val="12"/>
                <w:color w:val="auto"/>
              </w:rPr>
              <w:t>1,271</w:t>
            </w: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780" w:type="dxa"/>
            <w:vAlign w:val="bottom"/>
            <w:gridSpan w:val="2"/>
            <w:vMerge w:val="restart"/>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shd w:val="clear" w:color="auto" w:fill="E0E0E0"/>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vMerge w:val="restart"/>
            <w:shd w:val="clear" w:color="auto" w:fill="E0E0E0"/>
          </w:tcPr>
          <w:p>
            <w:pPr>
              <w:jc w:val="right"/>
              <w:spacing w:after="0"/>
              <w:rPr>
                <w:sz w:val="20"/>
                <w:szCs w:val="20"/>
                <w:color w:val="auto"/>
              </w:rPr>
            </w:pPr>
            <w:r>
              <w:rPr>
                <w:rFonts w:ascii="Arial" w:cs="Arial" w:eastAsia="Arial" w:hAnsi="Arial"/>
                <w:sz w:val="12"/>
                <w:szCs w:val="12"/>
                <w:color w:val="auto"/>
              </w:rPr>
              <w:t>1,271</w:t>
            </w: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E0E0E0"/>
          </w:tcPr>
          <w:p>
            <w:pPr>
              <w:ind w:left="100"/>
              <w:spacing w:after="0"/>
              <w:rPr>
                <w:sz w:val="20"/>
                <w:szCs w:val="20"/>
                <w:color w:val="auto"/>
              </w:rPr>
            </w:pPr>
            <w:r>
              <w:rPr>
                <w:rFonts w:ascii="Arial" w:cs="Arial" w:eastAsia="Arial" w:hAnsi="Arial"/>
                <w:sz w:val="12"/>
                <w:szCs w:val="12"/>
                <w:color w:val="auto"/>
              </w:rPr>
              <w:t>purchase plan</w:t>
            </w:r>
          </w:p>
        </w:tc>
        <w:tc>
          <w:tcPr>
            <w:tcW w:w="620" w:type="dxa"/>
            <w:vAlign w:val="bottom"/>
            <w:vMerge w:val="continue"/>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880" w:type="dxa"/>
            <w:vAlign w:val="bottom"/>
            <w:gridSpan w:val="2"/>
            <w:vMerge w:val="continue"/>
            <w:shd w:val="clear" w:color="auto" w:fill="E0E0E0"/>
          </w:tcPr>
          <w:p>
            <w:pPr>
              <w:spacing w:after="0"/>
              <w:rPr>
                <w:sz w:val="13"/>
                <w:szCs w:val="13"/>
                <w:color w:val="auto"/>
              </w:rPr>
            </w:pPr>
          </w:p>
        </w:tc>
        <w:tc>
          <w:tcPr>
            <w:tcW w:w="880" w:type="dxa"/>
            <w:vAlign w:val="bottom"/>
            <w:gridSpan w:val="2"/>
            <w:vMerge w:val="continue"/>
            <w:shd w:val="clear" w:color="auto" w:fill="E0E0E0"/>
          </w:tcPr>
          <w:p>
            <w:pPr>
              <w:spacing w:after="0"/>
              <w:rPr>
                <w:sz w:val="13"/>
                <w:szCs w:val="13"/>
                <w:color w:val="auto"/>
              </w:rPr>
            </w:pPr>
          </w:p>
        </w:tc>
        <w:tc>
          <w:tcPr>
            <w:tcW w:w="760" w:type="dxa"/>
            <w:vAlign w:val="bottom"/>
            <w:tcBorders>
              <w:right w:val="single" w:sz="8" w:color="auto"/>
            </w:tcBorders>
            <w:gridSpan w:val="2"/>
            <w:vMerge w:val="continue"/>
            <w:shd w:val="clear" w:color="auto" w:fill="E0E0E0"/>
          </w:tcPr>
          <w:p>
            <w:pPr>
              <w:spacing w:after="0"/>
              <w:rPr>
                <w:sz w:val="13"/>
                <w:szCs w:val="13"/>
                <w:color w:val="auto"/>
              </w:rPr>
            </w:pPr>
          </w:p>
        </w:tc>
        <w:tc>
          <w:tcPr>
            <w:tcW w:w="900" w:type="dxa"/>
            <w:vAlign w:val="bottom"/>
            <w:gridSpan w:val="2"/>
            <w:vMerge w:val="continue"/>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700" w:type="dxa"/>
            <w:vAlign w:val="bottom"/>
            <w:gridSpan w:val="2"/>
            <w:vMerge w:val="continue"/>
            <w:shd w:val="clear" w:color="auto" w:fill="E0E0E0"/>
          </w:tcPr>
          <w:p>
            <w:pPr>
              <w:spacing w:after="0"/>
              <w:rPr>
                <w:sz w:val="13"/>
                <w:szCs w:val="13"/>
                <w:color w:val="auto"/>
              </w:rPr>
            </w:pPr>
          </w:p>
        </w:tc>
        <w:tc>
          <w:tcPr>
            <w:tcW w:w="960" w:type="dxa"/>
            <w:vAlign w:val="bottom"/>
            <w:gridSpan w:val="2"/>
            <w:vMerge w:val="continue"/>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20" w:type="dxa"/>
            <w:vAlign w:val="bottom"/>
            <w:gridSpan w:val="2"/>
            <w:vMerge w:val="continue"/>
            <w:shd w:val="clear" w:color="auto" w:fill="E0E0E0"/>
          </w:tcPr>
          <w:p>
            <w:pPr>
              <w:spacing w:after="0"/>
              <w:rPr>
                <w:sz w:val="13"/>
                <w:szCs w:val="13"/>
                <w:color w:val="auto"/>
              </w:rPr>
            </w:pPr>
          </w:p>
        </w:tc>
        <w:tc>
          <w:tcPr>
            <w:tcW w:w="960" w:type="dxa"/>
            <w:vAlign w:val="bottom"/>
            <w:gridSpan w:val="2"/>
            <w:vMerge w:val="continue"/>
            <w:shd w:val="clear" w:color="auto" w:fill="E0E0E0"/>
          </w:tcPr>
          <w:p>
            <w:pPr>
              <w:spacing w:after="0"/>
              <w:rPr>
                <w:sz w:val="13"/>
                <w:szCs w:val="13"/>
                <w:color w:val="auto"/>
              </w:rPr>
            </w:pPr>
          </w:p>
        </w:tc>
        <w:tc>
          <w:tcPr>
            <w:tcW w:w="480" w:type="dxa"/>
            <w:vAlign w:val="bottom"/>
            <w:vMerge w:val="continue"/>
            <w:shd w:val="clear" w:color="auto" w:fill="E0E0E0"/>
          </w:tcPr>
          <w:p>
            <w:pPr>
              <w:spacing w:after="0"/>
              <w:rPr>
                <w:sz w:val="13"/>
                <w:szCs w:val="13"/>
                <w:color w:val="auto"/>
              </w:rPr>
            </w:pPr>
          </w:p>
        </w:tc>
        <w:tc>
          <w:tcPr>
            <w:tcW w:w="28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40" w:type="dxa"/>
            <w:vAlign w:val="bottom"/>
            <w:vMerge w:val="continue"/>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780" w:type="dxa"/>
            <w:vAlign w:val="bottom"/>
            <w:gridSpan w:val="2"/>
            <w:vMerge w:val="continue"/>
            <w:shd w:val="clear" w:color="auto" w:fill="E0E0E0"/>
          </w:tcPr>
          <w:p>
            <w:pPr>
              <w:spacing w:after="0"/>
              <w:rPr>
                <w:sz w:val="13"/>
                <w:szCs w:val="13"/>
                <w:color w:val="auto"/>
              </w:rPr>
            </w:pPr>
          </w:p>
        </w:tc>
        <w:tc>
          <w:tcPr>
            <w:tcW w:w="860" w:type="dxa"/>
            <w:vAlign w:val="bottom"/>
            <w:gridSpan w:val="2"/>
            <w:vMerge w:val="continue"/>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600" w:type="dxa"/>
            <w:vAlign w:val="bottom"/>
            <w:vMerge w:val="continue"/>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line="105" w:lineRule="exact"/>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stock as</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consideration</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2"/>
                <w:szCs w:val="12"/>
                <w:color w:val="auto"/>
              </w:rPr>
              <w:t>200,314</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4,287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4,287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00" w:type="dxa"/>
            <w:vAlign w:val="bottom"/>
          </w:tcPr>
          <w:p>
            <w:pPr>
              <w:ind w:left="100"/>
              <w:spacing w:after="0"/>
              <w:rPr>
                <w:sz w:val="20"/>
                <w:szCs w:val="20"/>
                <w:color w:val="auto"/>
              </w:rPr>
            </w:pPr>
            <w:r>
              <w:rPr>
                <w:rFonts w:ascii="Arial" w:cs="Arial" w:eastAsia="Arial" w:hAnsi="Arial"/>
                <w:sz w:val="12"/>
                <w:szCs w:val="12"/>
                <w:color w:val="auto"/>
              </w:rPr>
              <w:t>for acquisition</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300" w:type="dxa"/>
            <w:vAlign w:val="bottom"/>
            <w:shd w:val="clear" w:color="auto" w:fill="E0E0E0"/>
          </w:tcPr>
          <w:p>
            <w:pPr>
              <w:spacing w:after="0" w:line="105" w:lineRule="exact"/>
              <w:rPr>
                <w:sz w:val="20"/>
                <w:szCs w:val="20"/>
                <w:color w:val="auto"/>
              </w:rPr>
            </w:pPr>
            <w:r>
              <w:rPr>
                <w:rFonts w:ascii="Arial" w:cs="Arial" w:eastAsia="Arial" w:hAnsi="Arial"/>
                <w:sz w:val="12"/>
                <w:szCs w:val="12"/>
                <w:color w:val="auto"/>
              </w:rPr>
              <w:t>Foreign currency</w:t>
            </w: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60" w:type="dxa"/>
            <w:vAlign w:val="bottom"/>
            <w:tcBorders>
              <w:right w:val="single" w:sz="8" w:color="auto"/>
            </w:tcBorders>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7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4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5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20" w:type="dxa"/>
            <w:vAlign w:val="bottom"/>
            <w:shd w:val="clear" w:color="auto" w:fill="E0E0E0"/>
          </w:tcPr>
          <w:p>
            <w:pPr>
              <w:spacing w:after="0"/>
              <w:rPr>
                <w:sz w:val="9"/>
                <w:szCs w:val="9"/>
                <w:color w:val="auto"/>
              </w:rPr>
            </w:pPr>
          </w:p>
        </w:tc>
        <w:tc>
          <w:tcPr>
            <w:tcW w:w="50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40" w:type="dxa"/>
            <w:vAlign w:val="bottom"/>
            <w:shd w:val="clear" w:color="auto" w:fill="E0E0E0"/>
          </w:tcPr>
          <w:p>
            <w:pPr>
              <w:spacing w:after="0"/>
              <w:rPr>
                <w:sz w:val="9"/>
                <w:szCs w:val="9"/>
                <w:color w:val="auto"/>
              </w:rPr>
            </w:pPr>
          </w:p>
        </w:tc>
        <w:tc>
          <w:tcPr>
            <w:tcW w:w="1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0E0E0"/>
          </w:tcPr>
          <w:p>
            <w:pPr>
              <w:ind w:left="100"/>
              <w:spacing w:after="0" w:line="128" w:lineRule="exact"/>
              <w:rPr>
                <w:sz w:val="20"/>
                <w:szCs w:val="20"/>
                <w:color w:val="auto"/>
              </w:rPr>
            </w:pPr>
            <w:r>
              <w:rPr>
                <w:rFonts w:ascii="Arial" w:cs="Arial" w:eastAsia="Arial" w:hAnsi="Arial"/>
                <w:sz w:val="12"/>
                <w:szCs w:val="12"/>
                <w:color w:val="auto"/>
              </w:rPr>
              <w:t>translation</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60" w:type="dxa"/>
            <w:vAlign w:val="bottom"/>
            <w:tcBorders>
              <w:right w:val="single" w:sz="8" w:color="auto"/>
            </w:tcBorders>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5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E0E0E0"/>
          </w:tcPr>
          <w:p>
            <w:pPr>
              <w:ind w:left="100"/>
              <w:spacing w:after="0"/>
              <w:rPr>
                <w:sz w:val="20"/>
                <w:szCs w:val="20"/>
                <w:color w:val="auto"/>
              </w:rPr>
            </w:pPr>
            <w:r>
              <w:rPr>
                <w:rFonts w:ascii="Arial" w:cs="Arial" w:eastAsia="Arial" w:hAnsi="Arial"/>
                <w:sz w:val="12"/>
                <w:szCs w:val="12"/>
                <w:color w:val="auto"/>
              </w:rPr>
              <w:t>adjustment</w:t>
            </w: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3"/>
                <w:szCs w:val="13"/>
                <w:color w:val="auto"/>
              </w:rPr>
            </w:pPr>
          </w:p>
        </w:tc>
        <w:tc>
          <w:tcPr>
            <w:tcW w:w="880" w:type="dxa"/>
            <w:vAlign w:val="bottom"/>
            <w:gridSpan w:val="2"/>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3"/>
                <w:szCs w:val="13"/>
                <w:color w:val="auto"/>
              </w:rPr>
            </w:pPr>
          </w:p>
        </w:tc>
        <w:tc>
          <w:tcPr>
            <w:tcW w:w="520" w:type="dxa"/>
            <w:vAlign w:val="bottom"/>
            <w:gridSpan w:val="2"/>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68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780" w:type="dxa"/>
            <w:vAlign w:val="bottom"/>
            <w:gridSpan w:val="2"/>
            <w:shd w:val="clear" w:color="auto" w:fill="E0E0E0"/>
          </w:tcPr>
          <w:p>
            <w:pPr>
              <w:jc w:val="right"/>
              <w:ind w:right="240"/>
              <w:spacing w:after="0"/>
              <w:rPr>
                <w:sz w:val="20"/>
                <w:szCs w:val="20"/>
                <w:color w:val="auto"/>
              </w:rPr>
            </w:pPr>
            <w:r>
              <w:rPr>
                <w:rFonts w:ascii="Arial" w:cs="Arial" w:eastAsia="Arial" w:hAnsi="Arial"/>
                <w:sz w:val="12"/>
                <w:szCs w:val="12"/>
                <w:color w:val="auto"/>
              </w:rPr>
              <w:t>(1,513)</w:t>
            </w:r>
          </w:p>
        </w:tc>
        <w:tc>
          <w:tcPr>
            <w:tcW w:w="860" w:type="dxa"/>
            <w:vAlign w:val="bottom"/>
            <w:gridSpan w:val="2"/>
            <w:shd w:val="clear" w:color="auto" w:fill="E0E0E0"/>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740" w:type="dxa"/>
            <w:vAlign w:val="bottom"/>
            <w:gridSpan w:val="2"/>
            <w:shd w:val="clear" w:color="auto" w:fill="E0E0E0"/>
          </w:tcPr>
          <w:p>
            <w:pPr>
              <w:jc w:val="right"/>
              <w:ind w:right="100"/>
              <w:spacing w:after="0"/>
              <w:rPr>
                <w:sz w:val="20"/>
                <w:szCs w:val="20"/>
                <w:color w:val="auto"/>
              </w:rPr>
            </w:pPr>
            <w:r>
              <w:rPr>
                <w:rFonts w:ascii="Arial" w:cs="Arial" w:eastAsia="Arial" w:hAnsi="Arial"/>
                <w:sz w:val="12"/>
                <w:szCs w:val="12"/>
                <w:color w:val="auto"/>
              </w:rPr>
              <w:t>(1,513)</w:t>
            </w:r>
          </w:p>
        </w:tc>
        <w:tc>
          <w:tcPr>
            <w:tcW w:w="0" w:type="dxa"/>
            <w:vAlign w:val="bottom"/>
          </w:tcPr>
          <w:p>
            <w:pPr>
              <w:spacing w:after="0"/>
              <w:rPr>
                <w:sz w:val="1"/>
                <w:szCs w:val="1"/>
                <w:color w:val="auto"/>
              </w:rPr>
            </w:pPr>
          </w:p>
        </w:tc>
      </w:tr>
      <w:tr>
        <w:trPr>
          <w:trHeight w:val="104"/>
        </w:trPr>
        <w:tc>
          <w:tcPr>
            <w:tcW w:w="1300" w:type="dxa"/>
            <w:vAlign w:val="bottom"/>
          </w:tcPr>
          <w:p>
            <w:pPr>
              <w:spacing w:after="0" w:line="105" w:lineRule="exact"/>
              <w:rPr>
                <w:sz w:val="20"/>
                <w:szCs w:val="20"/>
                <w:color w:val="auto"/>
              </w:rPr>
            </w:pPr>
            <w:r>
              <w:rPr>
                <w:rFonts w:ascii="Arial" w:cs="Arial" w:eastAsia="Arial" w:hAnsi="Arial"/>
                <w:sz w:val="12"/>
                <w:szCs w:val="12"/>
                <w:color w:val="auto"/>
              </w:rPr>
              <w:t>Stock-based</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100"/>
              <w:spacing w:after="0" w:line="128" w:lineRule="exact"/>
              <w:rPr>
                <w:sz w:val="20"/>
                <w:szCs w:val="20"/>
                <w:color w:val="auto"/>
              </w:rPr>
            </w:pPr>
            <w:r>
              <w:rPr>
                <w:rFonts w:ascii="Arial" w:cs="Arial" w:eastAsia="Arial" w:hAnsi="Arial"/>
                <w:sz w:val="12"/>
                <w:szCs w:val="12"/>
                <w:color w:val="auto"/>
              </w:rPr>
              <w:t>compensation</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30,259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30,259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00" w:type="dxa"/>
            <w:vAlign w:val="bottom"/>
          </w:tcPr>
          <w:p>
            <w:pPr>
              <w:ind w:left="100"/>
              <w:spacing w:after="0"/>
              <w:rPr>
                <w:sz w:val="20"/>
                <w:szCs w:val="20"/>
                <w:color w:val="auto"/>
              </w:rPr>
            </w:pPr>
            <w:r>
              <w:rPr>
                <w:rFonts w:ascii="Arial" w:cs="Arial" w:eastAsia="Arial" w:hAnsi="Arial"/>
                <w:sz w:val="12"/>
                <w:szCs w:val="12"/>
                <w:color w:val="auto"/>
              </w:rPr>
              <w:t>expense</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E0E0E0"/>
          </w:tcPr>
          <w:p>
            <w:pPr>
              <w:spacing w:after="0" w:line="129" w:lineRule="exact"/>
              <w:rPr>
                <w:sz w:val="20"/>
                <w:szCs w:val="20"/>
                <w:color w:val="auto"/>
              </w:rPr>
            </w:pPr>
            <w:r>
              <w:rPr>
                <w:rFonts w:ascii="Arial" w:cs="Arial" w:eastAsia="Arial" w:hAnsi="Arial"/>
                <w:sz w:val="12"/>
                <w:szCs w:val="12"/>
                <w:color w:val="auto"/>
              </w:rPr>
              <w:t>Net loss</w:t>
            </w:r>
          </w:p>
        </w:tc>
        <w:tc>
          <w:tcPr>
            <w:tcW w:w="620" w:type="dxa"/>
            <w:vAlign w:val="bottom"/>
            <w:shd w:val="clear" w:color="auto" w:fill="E0E0E0"/>
          </w:tcPr>
          <w:p>
            <w:pPr>
              <w:ind w:left="500"/>
              <w:spacing w:after="0" w:line="129" w:lineRule="exact"/>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ind w:left="50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E0E0E0"/>
          </w:tcPr>
          <w:p>
            <w:pPr>
              <w:ind w:left="500"/>
              <w:spacing w:after="0" w:line="129" w:lineRule="exact"/>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gridSpan w:val="2"/>
            <w:shd w:val="clear" w:color="auto" w:fill="E0E0E0"/>
          </w:tcPr>
          <w:p>
            <w:pPr>
              <w:ind w:left="480"/>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E0E0E0"/>
          </w:tcPr>
          <w:p>
            <w:pPr>
              <w:spacing w:after="0"/>
              <w:rPr>
                <w:sz w:val="12"/>
                <w:szCs w:val="12"/>
                <w:color w:val="auto"/>
              </w:rPr>
            </w:pPr>
          </w:p>
        </w:tc>
        <w:tc>
          <w:tcPr>
            <w:tcW w:w="1040" w:type="dxa"/>
            <w:vAlign w:val="bottom"/>
            <w:gridSpan w:val="2"/>
            <w:shd w:val="clear" w:color="auto" w:fill="E0E0E0"/>
          </w:tcPr>
          <w:p>
            <w:pPr>
              <w:jc w:val="right"/>
              <w:ind w:right="26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E0E0E0"/>
          </w:tcPr>
          <w:p>
            <w:pPr>
              <w:jc w:val="right"/>
              <w:ind w:right="26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E0E0E0"/>
          </w:tcPr>
          <w:p>
            <w:pPr>
              <w:jc w:val="right"/>
              <w:ind w:right="260"/>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2"/>
                <w:szCs w:val="12"/>
                <w:color w:val="auto"/>
              </w:rPr>
            </w:pPr>
          </w:p>
        </w:tc>
        <w:tc>
          <w:tcPr>
            <w:tcW w:w="520" w:type="dxa"/>
            <w:vAlign w:val="bottom"/>
            <w:gridSpan w:val="2"/>
            <w:shd w:val="clear" w:color="auto" w:fill="E0E0E0"/>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E0E0E0"/>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480" w:type="dxa"/>
            <w:vAlign w:val="bottom"/>
            <w:shd w:val="clear" w:color="auto" w:fill="E0E0E0"/>
          </w:tcPr>
          <w:p>
            <w:pPr>
              <w:jc w:val="right"/>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80" w:type="dxa"/>
            <w:vAlign w:val="bottom"/>
            <w:gridSpan w:val="2"/>
            <w:shd w:val="clear" w:color="auto" w:fill="E0E0E0"/>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780" w:type="dxa"/>
            <w:vAlign w:val="bottom"/>
            <w:gridSpan w:val="2"/>
            <w:shd w:val="clear" w:color="auto" w:fill="E0E0E0"/>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E0E0E0"/>
          </w:tcPr>
          <w:p>
            <w:pPr>
              <w:jc w:val="right"/>
              <w:ind w:right="80"/>
              <w:spacing w:after="0" w:line="129" w:lineRule="exact"/>
              <w:rPr>
                <w:sz w:val="20"/>
                <w:szCs w:val="20"/>
                <w:color w:val="auto"/>
              </w:rPr>
            </w:pPr>
            <w:r>
              <w:rPr>
                <w:rFonts w:ascii="Arial" w:cs="Arial" w:eastAsia="Arial" w:hAnsi="Arial"/>
                <w:sz w:val="12"/>
                <w:szCs w:val="12"/>
                <w:color w:val="auto"/>
              </w:rPr>
              <w:t>(39,347)</w:t>
            </w:r>
          </w:p>
        </w:tc>
        <w:tc>
          <w:tcPr>
            <w:tcW w:w="14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740" w:type="dxa"/>
            <w:vAlign w:val="bottom"/>
            <w:gridSpan w:val="2"/>
            <w:shd w:val="clear" w:color="auto" w:fill="E0E0E0"/>
          </w:tcPr>
          <w:p>
            <w:pPr>
              <w:jc w:val="right"/>
              <w:ind w:right="100"/>
              <w:spacing w:after="0" w:line="129" w:lineRule="exact"/>
              <w:rPr>
                <w:sz w:val="20"/>
                <w:szCs w:val="20"/>
                <w:color w:val="auto"/>
              </w:rPr>
            </w:pPr>
            <w:r>
              <w:rPr>
                <w:rFonts w:ascii="Arial" w:cs="Arial" w:eastAsia="Arial" w:hAnsi="Arial"/>
                <w:sz w:val="12"/>
                <w:szCs w:val="12"/>
                <w:color w:val="auto"/>
              </w:rPr>
              <w:t>(39,347)</w:t>
            </w:r>
          </w:p>
        </w:tc>
        <w:tc>
          <w:tcPr>
            <w:tcW w:w="0" w:type="dxa"/>
            <w:vAlign w:val="bottom"/>
          </w:tcPr>
          <w:p>
            <w:pPr>
              <w:spacing w:after="0"/>
              <w:rPr>
                <w:sz w:val="1"/>
                <w:szCs w:val="1"/>
                <w:color w:val="auto"/>
              </w:rPr>
            </w:pPr>
          </w:p>
        </w:tc>
      </w:tr>
      <w:tr>
        <w:trPr>
          <w:trHeight w:val="74"/>
        </w:trPr>
        <w:tc>
          <w:tcPr>
            <w:tcW w:w="1300" w:type="dxa"/>
            <w:vAlign w:val="bottom"/>
            <w:tcBorders>
              <w:top w:val="single" w:sz="8" w:color="E0E0E0"/>
            </w:tcBorders>
          </w:tcPr>
          <w:p>
            <w:pPr>
              <w:spacing w:after="0" w:line="74" w:lineRule="exact"/>
              <w:rPr>
                <w:sz w:val="20"/>
                <w:szCs w:val="20"/>
                <w:color w:val="auto"/>
              </w:rPr>
            </w:pPr>
            <w:r>
              <w:rPr>
                <w:rFonts w:ascii="Arial" w:cs="Arial" w:eastAsia="Arial" w:hAnsi="Arial"/>
                <w:sz w:val="8"/>
                <w:szCs w:val="8"/>
                <w:b w:val="1"/>
                <w:bCs w:val="1"/>
                <w:color w:val="auto"/>
              </w:rPr>
              <w:t>Balances at</w:t>
            </w:r>
          </w:p>
        </w:tc>
        <w:tc>
          <w:tcPr>
            <w:tcW w:w="620" w:type="dxa"/>
            <w:vAlign w:val="bottom"/>
            <w:tcBorders>
              <w:top w:val="single" w:sz="8" w:color="auto"/>
            </w:tcBorders>
          </w:tcPr>
          <w:p>
            <w:pPr>
              <w:spacing w:after="0"/>
              <w:rPr>
                <w:sz w:val="6"/>
                <w:szCs w:val="6"/>
                <w:color w:val="auto"/>
              </w:rPr>
            </w:pPr>
          </w:p>
        </w:tc>
        <w:tc>
          <w:tcPr>
            <w:tcW w:w="260" w:type="dxa"/>
            <w:vAlign w:val="bottom"/>
            <w:tcBorders>
              <w:top w:val="single" w:sz="8" w:color="E0E0E0"/>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60" w:type="dxa"/>
            <w:vAlign w:val="bottom"/>
            <w:tcBorders>
              <w:top w:val="single" w:sz="8" w:color="E0E0E0"/>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60" w:type="dxa"/>
            <w:vAlign w:val="bottom"/>
            <w:tcBorders>
              <w:top w:val="single" w:sz="8" w:color="E0E0E0"/>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60" w:type="dxa"/>
            <w:vAlign w:val="bottom"/>
            <w:tcBorders>
              <w:top w:val="single" w:sz="8" w:color="E0E0E0"/>
            </w:tcBorders>
          </w:tcPr>
          <w:p>
            <w:pPr>
              <w:spacing w:after="0"/>
              <w:rPr>
                <w:sz w:val="6"/>
                <w:szCs w:val="6"/>
                <w:color w:val="auto"/>
              </w:rPr>
            </w:pPr>
          </w:p>
        </w:tc>
        <w:tc>
          <w:tcPr>
            <w:tcW w:w="120" w:type="dxa"/>
            <w:vAlign w:val="bottom"/>
            <w:tcBorders>
              <w:top w:val="single" w:sz="8" w:color="E0E0E0"/>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60" w:type="dxa"/>
            <w:vAlign w:val="bottom"/>
            <w:tcBorders>
              <w:top w:val="single" w:sz="8" w:color="E0E0E0"/>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60" w:type="dxa"/>
            <w:vAlign w:val="bottom"/>
            <w:tcBorders>
              <w:top w:val="single" w:sz="8" w:color="E0E0E0"/>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60" w:type="dxa"/>
            <w:vAlign w:val="bottom"/>
            <w:tcBorders>
              <w:top w:val="single" w:sz="8" w:color="E0E0E0"/>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80" w:type="dxa"/>
            <w:vAlign w:val="bottom"/>
            <w:tcBorders>
              <w:top w:val="single" w:sz="8" w:color="E0E0E0"/>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80" w:type="dxa"/>
            <w:vAlign w:val="bottom"/>
            <w:tcBorders>
              <w:top w:val="single" w:sz="8" w:color="E0E0E0"/>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80" w:type="dxa"/>
            <w:vAlign w:val="bottom"/>
            <w:tcBorders>
              <w:top w:val="single" w:sz="8" w:color="E0E0E0"/>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Borders>
              <w:top w:val="single" w:sz="8" w:color="E0E0E0"/>
            </w:tcBorders>
          </w:tcPr>
          <w:p>
            <w:pPr>
              <w:spacing w:after="0"/>
              <w:rPr>
                <w:sz w:val="6"/>
                <w:szCs w:val="6"/>
                <w:color w:val="auto"/>
              </w:rPr>
            </w:pPr>
          </w:p>
        </w:tc>
        <w:tc>
          <w:tcPr>
            <w:tcW w:w="140" w:type="dxa"/>
            <w:vAlign w:val="bottom"/>
            <w:tcBorders>
              <w:top w:val="single" w:sz="8" w:color="E0E0E0"/>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80" w:type="dxa"/>
            <w:vAlign w:val="bottom"/>
            <w:tcBorders>
              <w:top w:val="single" w:sz="8" w:color="E0E0E0"/>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Borders>
              <w:top w:val="single" w:sz="8" w:color="E0E0E0"/>
            </w:tcBorders>
          </w:tcPr>
          <w:p>
            <w:pPr>
              <w:spacing w:after="0"/>
              <w:rPr>
                <w:sz w:val="6"/>
                <w:szCs w:val="6"/>
                <w:color w:val="auto"/>
              </w:rPr>
            </w:pPr>
          </w:p>
        </w:tc>
        <w:tc>
          <w:tcPr>
            <w:tcW w:w="140" w:type="dxa"/>
            <w:vAlign w:val="bottom"/>
            <w:tcBorders>
              <w:top w:val="single" w:sz="8" w:color="E0E0E0"/>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40" w:type="dxa"/>
            <w:vAlign w:val="bottom"/>
            <w:tcBorders>
              <w:top w:val="single" w:sz="8" w:color="E0E0E0"/>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8" w:lineRule="exact"/>
              <w:rPr>
                <w:sz w:val="20"/>
                <w:szCs w:val="20"/>
                <w:color w:val="auto"/>
              </w:rPr>
            </w:pPr>
            <w:r>
              <w:rPr>
                <w:rFonts w:ascii="Arial" w:cs="Arial" w:eastAsia="Arial" w:hAnsi="Arial"/>
                <w:sz w:val="12"/>
                <w:szCs w:val="12"/>
                <w:b w:val="1"/>
                <w:bCs w:val="1"/>
                <w:color w:val="auto"/>
              </w:rPr>
              <w:t>December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00"/>
              <w:spacing w:after="0"/>
              <w:rPr>
                <w:sz w:val="20"/>
                <w:szCs w:val="20"/>
                <w:color w:val="auto"/>
              </w:rPr>
            </w:pPr>
            <w:r>
              <w:rPr>
                <w:rFonts w:ascii="Arial" w:cs="Arial" w:eastAsia="Arial" w:hAnsi="Arial"/>
                <w:sz w:val="12"/>
                <w:szCs w:val="12"/>
                <w:b w:val="1"/>
                <w:bCs w:val="1"/>
                <w:color w:val="auto"/>
              </w:rPr>
              <w:t>31, 2022</w:t>
            </w:r>
          </w:p>
        </w:tc>
        <w:tc>
          <w:tcPr>
            <w:tcW w:w="620" w:type="dxa"/>
            <w:vAlign w:val="bottom"/>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8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109,790,702</w:t>
            </w:r>
          </w:p>
        </w:tc>
        <w:tc>
          <w:tcPr>
            <w:tcW w:w="26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$10</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1,873,320</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80"/>
              <w:spacing w:after="0"/>
              <w:rPr>
                <w:sz w:val="20"/>
                <w:szCs w:val="20"/>
                <w:color w:val="auto"/>
              </w:rPr>
            </w:pPr>
            <w:r>
              <w:rPr>
                <w:rFonts w:ascii="Arial" w:cs="Arial" w:eastAsia="Arial" w:hAnsi="Arial"/>
                <w:sz w:val="12"/>
                <w:szCs w:val="12"/>
                <w:color w:val="auto"/>
              </w:rPr>
              <w:t>1</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(2,317,722)</w:t>
            </w: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   (748)</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649,756</w:t>
            </w: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(1,912)</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    (165,204)</w:t>
            </w: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481,903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42" w:type="dxa"/>
            <w:vAlign w:val="bottom"/>
            <w:textDirection w:val="tbRl"/>
          </w:tcPr>
          <w:p>
            <w:pPr>
              <w:spacing w:after="0"/>
              <w:rPr>
                <w:sz w:val="20"/>
                <w:szCs w:val="20"/>
                <w:color w:val="auto"/>
              </w:rPr>
            </w:pPr>
            <w:r>
              <w:rPr>
                <w:rFonts w:ascii="Arial" w:cs="Arial" w:eastAsia="Arial" w:hAnsi="Arial"/>
                <w:sz w:val="20"/>
                <w:szCs w:val="20"/>
                <w:color w:val="auto"/>
              </w:rPr>
              <w:t>11</w:t>
            </w:r>
            <w:r>
              <w:rPr>
                <w:rFonts w:ascii="PMingLiU" w:cs="PMingLiU" w:eastAsia="PMingLiU" w:hAnsi="PMingLiU"/>
                <w:sz w:val="20"/>
                <w:szCs w:val="20"/>
                <w:color w:val="auto"/>
              </w:rPr>
              <w:t/>
            </w:r>
          </w:p>
        </w:tc>
      </w:tr>
    </w:tbl>
    <w:p>
      <w:pPr>
        <w:sectPr>
          <w:pgSz w:w="15840" w:h="12240" w:orient="landscape"/>
          <w:cols w:equalWidth="0" w:num="1">
            <w:col w:w="14373"/>
          </w:cols>
          <w:pgMar w:left="727" w:top="1307" w:right="7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42" w:type="dxa"/>
            <w:vAlign w:val="bottom"/>
            <w:textDirection w:val="tbRl"/>
          </w:tcPr>
          <w:p>
            <w:pPr>
              <w:spacing w:after="0"/>
              <w:rPr>
                <w:sz w:val="20"/>
                <w:szCs w:val="20"/>
                <w:color w:val="auto"/>
              </w:rPr>
            </w:pPr>
            <w:r>
              <w:rPr>
                <w:rFonts w:ascii="Arial" w:cs="Arial" w:eastAsia="Arial" w:hAnsi="Arial"/>
                <w:sz w:val="20"/>
                <w:szCs w:val="20"/>
                <w:color w:val="auto"/>
              </w:rPr>
              <w:t>11</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320" w:type="dxa"/>
            <w:vAlign w:val="bottom"/>
            <w:shd w:val="clear" w:color="auto" w:fill="E0E0E0"/>
          </w:tcPr>
          <w:p>
            <w:pPr>
              <w:spacing w:after="0"/>
              <w:rPr>
                <w:sz w:val="20"/>
                <w:szCs w:val="20"/>
                <w:color w:val="auto"/>
              </w:rPr>
            </w:pPr>
            <w:r>
              <w:rPr>
                <w:rFonts w:ascii="Arial" w:cs="Arial" w:eastAsia="Arial" w:hAnsi="Arial"/>
                <w:sz w:val="12"/>
                <w:szCs w:val="12"/>
                <w:color w:val="auto"/>
              </w:rPr>
              <w:t>Issuance of common</w:t>
            </w:r>
          </w:p>
        </w:tc>
        <w:tc>
          <w:tcPr>
            <w:tcW w:w="6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tcBorders>
              <w:right w:val="single" w:sz="8" w:color="auto"/>
            </w:tcBorders>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stock in connection</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with public offering,</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net of</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underwriter</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discounts and</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E0E0E0"/>
          </w:tcPr>
          <w:p>
            <w:pPr>
              <w:ind w:left="100"/>
              <w:spacing w:after="0"/>
              <w:rPr>
                <w:sz w:val="20"/>
                <w:szCs w:val="20"/>
                <w:color w:val="auto"/>
              </w:rPr>
            </w:pPr>
            <w:r>
              <w:rPr>
                <w:rFonts w:ascii="Arial" w:cs="Arial" w:eastAsia="Arial" w:hAnsi="Arial"/>
                <w:sz w:val="12"/>
                <w:szCs w:val="12"/>
                <w:color w:val="auto"/>
              </w:rPr>
              <w:t>commissions</w:t>
            </w: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3"/>
                <w:szCs w:val="13"/>
                <w:color w:val="auto"/>
              </w:rPr>
            </w:pPr>
          </w:p>
        </w:tc>
        <w:tc>
          <w:tcPr>
            <w:tcW w:w="900" w:type="dxa"/>
            <w:vAlign w:val="bottom"/>
            <w:gridSpan w:val="2"/>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600" w:type="dxa"/>
            <w:vAlign w:val="bottom"/>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13"/>
                <w:szCs w:val="13"/>
                <w:color w:val="auto"/>
              </w:rPr>
            </w:pPr>
          </w:p>
        </w:tc>
        <w:tc>
          <w:tcPr>
            <w:tcW w:w="740" w:type="dxa"/>
            <w:vAlign w:val="bottom"/>
            <w:tcBorders>
              <w:right w:val="single" w:sz="8" w:color="auto"/>
            </w:tcBorders>
            <w:gridSpan w:val="2"/>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8,500,000</w:t>
            </w:r>
          </w:p>
        </w:tc>
        <w:tc>
          <w:tcPr>
            <w:tcW w:w="260" w:type="dxa"/>
            <w:vAlign w:val="bottom"/>
            <w:shd w:val="clear" w:color="auto" w:fill="E0E0E0"/>
          </w:tcPr>
          <w:p>
            <w:pPr>
              <w:spacing w:after="0"/>
              <w:rPr>
                <w:sz w:val="13"/>
                <w:szCs w:val="13"/>
                <w:color w:val="auto"/>
              </w:rPr>
            </w:pPr>
          </w:p>
        </w:tc>
        <w:tc>
          <w:tcPr>
            <w:tcW w:w="4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w:t>
            </w:r>
          </w:p>
        </w:tc>
        <w:tc>
          <w:tcPr>
            <w:tcW w:w="260" w:type="dxa"/>
            <w:vAlign w:val="bottom"/>
            <w:shd w:val="clear" w:color="auto" w:fill="E0E0E0"/>
          </w:tcPr>
          <w:p>
            <w:pPr>
              <w:spacing w:after="0"/>
              <w:rPr>
                <w:sz w:val="13"/>
                <w:szCs w:val="13"/>
                <w:color w:val="auto"/>
              </w:rPr>
            </w:pPr>
          </w:p>
        </w:tc>
        <w:tc>
          <w:tcPr>
            <w:tcW w:w="940" w:type="dxa"/>
            <w:vAlign w:val="bottom"/>
            <w:gridSpan w:val="2"/>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3"/>
                <w:szCs w:val="13"/>
                <w:color w:val="auto"/>
              </w:rPr>
            </w:pPr>
          </w:p>
        </w:tc>
        <w:tc>
          <w:tcPr>
            <w:tcW w:w="2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96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261,119</w:t>
            </w:r>
          </w:p>
        </w:tc>
        <w:tc>
          <w:tcPr>
            <w:tcW w:w="26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4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86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261,120</w:t>
            </w:r>
          </w:p>
        </w:tc>
        <w:tc>
          <w:tcPr>
            <w:tcW w:w="14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line="107" w:lineRule="exact"/>
              <w:rPr>
                <w:sz w:val="20"/>
                <w:szCs w:val="20"/>
                <w:color w:val="auto"/>
              </w:rPr>
            </w:pPr>
            <w:r>
              <w:rPr>
                <w:rFonts w:ascii="Arial" w:cs="Arial" w:eastAsia="Arial" w:hAnsi="Arial"/>
                <w:sz w:val="12"/>
                <w:szCs w:val="12"/>
                <w:color w:val="auto"/>
              </w:rPr>
              <w:t>Costs incurred in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100"/>
              <w:spacing w:after="0" w:line="131" w:lineRule="exact"/>
              <w:rPr>
                <w:sz w:val="20"/>
                <w:szCs w:val="20"/>
                <w:color w:val="auto"/>
              </w:rPr>
            </w:pPr>
            <w:r>
              <w:rPr>
                <w:rFonts w:ascii="Arial" w:cs="Arial" w:eastAsia="Arial" w:hAnsi="Arial"/>
                <w:sz w:val="12"/>
                <w:szCs w:val="12"/>
                <w:color w:val="auto"/>
              </w:rPr>
              <w:t>connection with</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1"/>
                <w:szCs w:val="11"/>
                <w:color w:val="auto"/>
              </w:rPr>
            </w:pPr>
          </w:p>
        </w:tc>
        <w:tc>
          <w:tcPr>
            <w:tcW w:w="74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(1,062)</w:t>
            </w: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(1,062)</w:t>
            </w:r>
          </w:p>
        </w:tc>
        <w:tc>
          <w:tcPr>
            <w:tcW w:w="0" w:type="dxa"/>
            <w:vAlign w:val="bottom"/>
          </w:tcPr>
          <w:p>
            <w:pPr>
              <w:spacing w:after="0"/>
              <w:rPr>
                <w:sz w:val="1"/>
                <w:szCs w:val="1"/>
                <w:color w:val="auto"/>
              </w:rPr>
            </w:pPr>
          </w:p>
        </w:tc>
      </w:tr>
      <w:tr>
        <w:trPr>
          <w:trHeight w:val="154"/>
        </w:trPr>
        <w:tc>
          <w:tcPr>
            <w:tcW w:w="1320" w:type="dxa"/>
            <w:vAlign w:val="bottom"/>
          </w:tcPr>
          <w:p>
            <w:pPr>
              <w:ind w:left="100"/>
              <w:spacing w:after="0"/>
              <w:rPr>
                <w:sz w:val="20"/>
                <w:szCs w:val="20"/>
                <w:color w:val="auto"/>
              </w:rPr>
            </w:pPr>
            <w:r>
              <w:rPr>
                <w:rFonts w:ascii="Arial" w:cs="Arial" w:eastAsia="Arial" w:hAnsi="Arial"/>
                <w:sz w:val="12"/>
                <w:szCs w:val="12"/>
                <w:color w:val="auto"/>
              </w:rPr>
              <w:t>public offering</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20" w:type="dxa"/>
            <w:vAlign w:val="bottom"/>
            <w:shd w:val="clear" w:color="auto" w:fill="E0E0E0"/>
          </w:tcPr>
          <w:p>
            <w:pPr>
              <w:spacing w:after="0" w:line="108" w:lineRule="exact"/>
              <w:rPr>
                <w:sz w:val="20"/>
                <w:szCs w:val="20"/>
                <w:color w:val="auto"/>
              </w:rPr>
            </w:pPr>
            <w:r>
              <w:rPr>
                <w:rFonts w:ascii="Arial" w:cs="Arial" w:eastAsia="Arial" w:hAnsi="Arial"/>
                <w:sz w:val="12"/>
                <w:szCs w:val="12"/>
                <w:color w:val="auto"/>
              </w:rPr>
              <w:t>Issuance of treasury</w:t>
            </w:r>
          </w:p>
        </w:tc>
        <w:tc>
          <w:tcPr>
            <w:tcW w:w="620" w:type="dxa"/>
            <w:vAlign w:val="bottom"/>
            <w:vMerge w:val="restart"/>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9"/>
                <w:szCs w:val="9"/>
                <w:color w:val="auto"/>
              </w:rPr>
            </w:pPr>
          </w:p>
        </w:tc>
        <w:tc>
          <w:tcPr>
            <w:tcW w:w="900" w:type="dxa"/>
            <w:vAlign w:val="bottom"/>
            <w:gridSpan w:val="2"/>
            <w:vMerge w:val="restart"/>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9"/>
                <w:szCs w:val="9"/>
                <w:color w:val="auto"/>
              </w:rPr>
            </w:pPr>
          </w:p>
        </w:tc>
        <w:tc>
          <w:tcPr>
            <w:tcW w:w="740" w:type="dxa"/>
            <w:vAlign w:val="bottom"/>
            <w:tcBorders>
              <w:right w:val="single" w:sz="8" w:color="auto"/>
            </w:tcBorders>
            <w:gridSpan w:val="2"/>
            <w:vMerge w:val="restart"/>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9"/>
                <w:szCs w:val="9"/>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2"/>
                <w:szCs w:val="12"/>
                <w:color w:val="auto"/>
              </w:rPr>
              <w:t>2,677</w:t>
            </w:r>
          </w:p>
        </w:tc>
        <w:tc>
          <w:tcPr>
            <w:tcW w:w="260" w:type="dxa"/>
            <w:vAlign w:val="bottom"/>
          </w:tcPr>
          <w:p>
            <w:pPr>
              <w:spacing w:after="0"/>
              <w:rPr>
                <w:sz w:val="9"/>
                <w:szCs w:val="9"/>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320" w:type="dxa"/>
            <w:vAlign w:val="bottom"/>
            <w:shd w:val="clear" w:color="auto" w:fill="E0E0E0"/>
          </w:tcPr>
          <w:p>
            <w:pPr>
              <w:ind w:left="100"/>
              <w:spacing w:after="0"/>
              <w:rPr>
                <w:sz w:val="20"/>
                <w:szCs w:val="20"/>
                <w:color w:val="auto"/>
              </w:rPr>
            </w:pPr>
            <w:r>
              <w:rPr>
                <w:rFonts w:ascii="Arial" w:cs="Arial" w:eastAsia="Arial" w:hAnsi="Arial"/>
                <w:sz w:val="12"/>
                <w:szCs w:val="12"/>
                <w:color w:val="auto"/>
              </w:rPr>
              <w:t>stock</w:t>
            </w:r>
          </w:p>
        </w:tc>
        <w:tc>
          <w:tcPr>
            <w:tcW w:w="620" w:type="dxa"/>
            <w:vAlign w:val="bottom"/>
            <w:vMerge w:val="continue"/>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900" w:type="dxa"/>
            <w:vAlign w:val="bottom"/>
            <w:gridSpan w:val="2"/>
            <w:vMerge w:val="continue"/>
            <w:shd w:val="clear" w:color="auto" w:fill="E0E0E0"/>
          </w:tcPr>
          <w:p>
            <w:pPr>
              <w:spacing w:after="0"/>
              <w:rPr>
                <w:sz w:val="13"/>
                <w:szCs w:val="13"/>
                <w:color w:val="auto"/>
              </w:rPr>
            </w:pPr>
          </w:p>
        </w:tc>
        <w:tc>
          <w:tcPr>
            <w:tcW w:w="600" w:type="dxa"/>
            <w:vAlign w:val="bottom"/>
            <w:vMerge w:val="continue"/>
            <w:shd w:val="clear" w:color="auto" w:fill="E0E0E0"/>
          </w:tcPr>
          <w:p>
            <w:pPr>
              <w:spacing w:after="0"/>
              <w:rPr>
                <w:sz w:val="13"/>
                <w:szCs w:val="13"/>
                <w:color w:val="auto"/>
              </w:rPr>
            </w:pPr>
          </w:p>
        </w:tc>
        <w:tc>
          <w:tcPr>
            <w:tcW w:w="280" w:type="dxa"/>
            <w:vAlign w:val="bottom"/>
            <w:shd w:val="clear" w:color="auto" w:fill="E0E0E0"/>
          </w:tcPr>
          <w:p>
            <w:pPr>
              <w:spacing w:after="0"/>
              <w:rPr>
                <w:sz w:val="13"/>
                <w:szCs w:val="13"/>
                <w:color w:val="auto"/>
              </w:rPr>
            </w:pPr>
          </w:p>
        </w:tc>
        <w:tc>
          <w:tcPr>
            <w:tcW w:w="740" w:type="dxa"/>
            <w:vAlign w:val="bottom"/>
            <w:tcBorders>
              <w:right w:val="single" w:sz="8" w:color="auto"/>
            </w:tcBorders>
            <w:gridSpan w:val="2"/>
            <w:vMerge w:val="continue"/>
            <w:shd w:val="clear" w:color="auto" w:fill="E0E0E0"/>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line="107" w:lineRule="exact"/>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100"/>
              <w:spacing w:after="0" w:line="131" w:lineRule="exact"/>
              <w:rPr>
                <w:sz w:val="20"/>
                <w:szCs w:val="20"/>
                <w:color w:val="auto"/>
              </w:rPr>
            </w:pPr>
            <w:r>
              <w:rPr>
                <w:rFonts w:ascii="Arial" w:cs="Arial" w:eastAsia="Arial" w:hAnsi="Arial"/>
                <w:sz w:val="12"/>
                <w:szCs w:val="12"/>
                <w:color w:val="auto"/>
              </w:rPr>
              <w:t>stock upon exercise</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100"/>
              <w:spacing w:after="0" w:line="131" w:lineRule="exact"/>
              <w:rPr>
                <w:sz w:val="20"/>
                <w:szCs w:val="20"/>
                <w:color w:val="auto"/>
              </w:rPr>
            </w:pPr>
            <w:r>
              <w:rPr>
                <w:rFonts w:ascii="Arial" w:cs="Arial" w:eastAsia="Arial" w:hAnsi="Arial"/>
                <w:sz w:val="12"/>
                <w:szCs w:val="12"/>
                <w:color w:val="auto"/>
              </w:rPr>
              <w:t>of stock options, net</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1"/>
                <w:szCs w:val="11"/>
                <w:color w:val="auto"/>
              </w:rPr>
            </w:pPr>
          </w:p>
        </w:tc>
        <w:tc>
          <w:tcPr>
            <w:tcW w:w="74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3,339,587</w:t>
            </w:r>
          </w:p>
        </w:tc>
        <w:tc>
          <w:tcPr>
            <w:tcW w:w="2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1,877</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1,877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20" w:type="dxa"/>
            <w:vAlign w:val="bottom"/>
          </w:tcPr>
          <w:p>
            <w:pPr>
              <w:ind w:left="100"/>
              <w:spacing w:after="0"/>
              <w:rPr>
                <w:sz w:val="20"/>
                <w:szCs w:val="20"/>
                <w:color w:val="auto"/>
              </w:rPr>
            </w:pPr>
            <w:r>
              <w:rPr>
                <w:rFonts w:ascii="Arial" w:cs="Arial" w:eastAsia="Arial" w:hAnsi="Arial"/>
                <w:sz w:val="12"/>
                <w:szCs w:val="12"/>
                <w:color w:val="auto"/>
              </w:rPr>
              <w:t>of tax withheld</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20" w:type="dxa"/>
            <w:vAlign w:val="bottom"/>
            <w:shd w:val="clear" w:color="auto" w:fill="E0E0E0"/>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tcBorders>
              <w:right w:val="single" w:sz="8" w:color="auto"/>
            </w:tcBorders>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3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5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stock upon</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settlement</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of restricted stock</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E0E0E0"/>
          </w:tcPr>
          <w:p>
            <w:pPr>
              <w:ind w:left="100"/>
              <w:spacing w:after="0"/>
              <w:rPr>
                <w:sz w:val="20"/>
                <w:szCs w:val="20"/>
                <w:color w:val="auto"/>
              </w:rPr>
            </w:pPr>
            <w:r>
              <w:rPr>
                <w:rFonts w:ascii="Arial" w:cs="Arial" w:eastAsia="Arial" w:hAnsi="Arial"/>
                <w:sz w:val="12"/>
                <w:szCs w:val="12"/>
                <w:color w:val="auto"/>
              </w:rPr>
              <w:t>units</w:t>
            </w: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3"/>
                <w:szCs w:val="13"/>
                <w:color w:val="auto"/>
              </w:rPr>
            </w:pPr>
          </w:p>
        </w:tc>
        <w:tc>
          <w:tcPr>
            <w:tcW w:w="900" w:type="dxa"/>
            <w:vAlign w:val="bottom"/>
            <w:gridSpan w:val="2"/>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600" w:type="dxa"/>
            <w:vAlign w:val="bottom"/>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13"/>
                <w:szCs w:val="13"/>
                <w:color w:val="auto"/>
              </w:rPr>
            </w:pPr>
          </w:p>
        </w:tc>
        <w:tc>
          <w:tcPr>
            <w:tcW w:w="740" w:type="dxa"/>
            <w:vAlign w:val="bottom"/>
            <w:tcBorders>
              <w:right w:val="single" w:sz="8" w:color="auto"/>
            </w:tcBorders>
            <w:gridSpan w:val="2"/>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1,192,362</w:t>
            </w:r>
          </w:p>
        </w:tc>
        <w:tc>
          <w:tcPr>
            <w:tcW w:w="260" w:type="dxa"/>
            <w:vAlign w:val="bottom"/>
            <w:shd w:val="clear" w:color="auto" w:fill="E0E0E0"/>
          </w:tcPr>
          <w:p>
            <w:pPr>
              <w:spacing w:after="0"/>
              <w:rPr>
                <w:sz w:val="13"/>
                <w:szCs w:val="13"/>
                <w:color w:val="auto"/>
              </w:rPr>
            </w:pPr>
          </w:p>
        </w:tc>
        <w:tc>
          <w:tcPr>
            <w:tcW w:w="4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spacing w:after="0"/>
              <w:rPr>
                <w:sz w:val="13"/>
                <w:szCs w:val="13"/>
                <w:color w:val="auto"/>
              </w:rPr>
            </w:pPr>
          </w:p>
        </w:tc>
        <w:tc>
          <w:tcPr>
            <w:tcW w:w="940" w:type="dxa"/>
            <w:vAlign w:val="bottom"/>
            <w:gridSpan w:val="2"/>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3"/>
                <w:szCs w:val="13"/>
                <w:color w:val="auto"/>
              </w:rPr>
            </w:pPr>
          </w:p>
        </w:tc>
        <w:tc>
          <w:tcPr>
            <w:tcW w:w="2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96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4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86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74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7"/>
        </w:trPr>
        <w:tc>
          <w:tcPr>
            <w:tcW w:w="1320" w:type="dxa"/>
            <w:vAlign w:val="bottom"/>
          </w:tcPr>
          <w:p>
            <w:pPr>
              <w:spacing w:after="0" w:line="107" w:lineRule="exact"/>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100"/>
              <w:spacing w:after="0" w:line="131" w:lineRule="exact"/>
              <w:rPr>
                <w:sz w:val="20"/>
                <w:szCs w:val="20"/>
                <w:color w:val="auto"/>
              </w:rPr>
            </w:pPr>
            <w:r>
              <w:rPr>
                <w:rFonts w:ascii="Arial" w:cs="Arial" w:eastAsia="Arial" w:hAnsi="Arial"/>
                <w:sz w:val="12"/>
                <w:szCs w:val="12"/>
                <w:color w:val="auto"/>
              </w:rPr>
              <w:t>stock for retention</w:t>
            </w:r>
          </w:p>
        </w:tc>
        <w:tc>
          <w:tcPr>
            <w:tcW w:w="620" w:type="dxa"/>
            <w:vAlign w:val="bottom"/>
            <w:vMerge w:val="restart"/>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1"/>
                <w:szCs w:val="11"/>
                <w:color w:val="auto"/>
              </w:rPr>
            </w:pPr>
          </w:p>
        </w:tc>
        <w:tc>
          <w:tcPr>
            <w:tcW w:w="74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2"/>
                <w:szCs w:val="12"/>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42,498</w:t>
            </w:r>
          </w:p>
        </w:tc>
        <w:tc>
          <w:tcPr>
            <w:tcW w:w="2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1,196</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1,196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20" w:type="dxa"/>
            <w:vAlign w:val="bottom"/>
          </w:tcPr>
          <w:p>
            <w:pPr>
              <w:ind w:left="100"/>
              <w:spacing w:after="0"/>
              <w:rPr>
                <w:sz w:val="20"/>
                <w:szCs w:val="20"/>
                <w:color w:val="auto"/>
              </w:rPr>
            </w:pPr>
            <w:r>
              <w:rPr>
                <w:rFonts w:ascii="Arial" w:cs="Arial" w:eastAsia="Arial" w:hAnsi="Arial"/>
                <w:sz w:val="12"/>
                <w:szCs w:val="12"/>
                <w:color w:val="auto"/>
              </w:rPr>
              <w:t>bonus</w:t>
            </w: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20" w:type="dxa"/>
            <w:vAlign w:val="bottom"/>
            <w:shd w:val="clear" w:color="auto" w:fill="E0E0E0"/>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tcBorders>
              <w:right w:val="single" w:sz="8" w:color="auto"/>
            </w:tcBorders>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3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5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stock under</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employee stock</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E0E0E0"/>
          </w:tcPr>
          <w:p>
            <w:pPr>
              <w:ind w:left="100"/>
              <w:spacing w:after="0"/>
              <w:rPr>
                <w:sz w:val="20"/>
                <w:szCs w:val="20"/>
                <w:color w:val="auto"/>
              </w:rPr>
            </w:pPr>
            <w:r>
              <w:rPr>
                <w:rFonts w:ascii="Arial" w:cs="Arial" w:eastAsia="Arial" w:hAnsi="Arial"/>
                <w:sz w:val="12"/>
                <w:szCs w:val="12"/>
                <w:color w:val="auto"/>
              </w:rPr>
              <w:t>purchase plan</w:t>
            </w: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3"/>
                <w:szCs w:val="13"/>
                <w:color w:val="auto"/>
              </w:rPr>
            </w:pPr>
          </w:p>
        </w:tc>
        <w:tc>
          <w:tcPr>
            <w:tcW w:w="900" w:type="dxa"/>
            <w:vAlign w:val="bottom"/>
            <w:gridSpan w:val="2"/>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600" w:type="dxa"/>
            <w:vAlign w:val="bottom"/>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13"/>
                <w:szCs w:val="13"/>
                <w:color w:val="auto"/>
              </w:rPr>
            </w:pPr>
          </w:p>
        </w:tc>
        <w:tc>
          <w:tcPr>
            <w:tcW w:w="740" w:type="dxa"/>
            <w:vAlign w:val="bottom"/>
            <w:tcBorders>
              <w:right w:val="single" w:sz="8" w:color="auto"/>
            </w:tcBorders>
            <w:gridSpan w:val="2"/>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145,058</w:t>
            </w:r>
          </w:p>
        </w:tc>
        <w:tc>
          <w:tcPr>
            <w:tcW w:w="260" w:type="dxa"/>
            <w:vAlign w:val="bottom"/>
            <w:shd w:val="clear" w:color="auto" w:fill="E0E0E0"/>
          </w:tcPr>
          <w:p>
            <w:pPr>
              <w:spacing w:after="0"/>
              <w:rPr>
                <w:sz w:val="13"/>
                <w:szCs w:val="13"/>
                <w:color w:val="auto"/>
              </w:rPr>
            </w:pPr>
          </w:p>
        </w:tc>
        <w:tc>
          <w:tcPr>
            <w:tcW w:w="4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spacing w:after="0"/>
              <w:rPr>
                <w:sz w:val="13"/>
                <w:szCs w:val="13"/>
                <w:color w:val="auto"/>
              </w:rPr>
            </w:pPr>
          </w:p>
        </w:tc>
        <w:tc>
          <w:tcPr>
            <w:tcW w:w="940" w:type="dxa"/>
            <w:vAlign w:val="bottom"/>
            <w:gridSpan w:val="2"/>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3"/>
                <w:szCs w:val="13"/>
                <w:color w:val="auto"/>
              </w:rPr>
            </w:pPr>
          </w:p>
        </w:tc>
        <w:tc>
          <w:tcPr>
            <w:tcW w:w="2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96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2,691</w:t>
            </w:r>
          </w:p>
        </w:tc>
        <w:tc>
          <w:tcPr>
            <w:tcW w:w="26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4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86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2,691</w:t>
            </w:r>
          </w:p>
        </w:tc>
        <w:tc>
          <w:tcPr>
            <w:tcW w:w="14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line="107" w:lineRule="exact"/>
              <w:rPr>
                <w:sz w:val="20"/>
                <w:szCs w:val="20"/>
                <w:color w:val="auto"/>
              </w:rPr>
            </w:pPr>
            <w:r>
              <w:rPr>
                <w:rFonts w:ascii="Arial" w:cs="Arial" w:eastAsia="Arial" w:hAnsi="Arial"/>
                <w:sz w:val="12"/>
                <w:szCs w:val="12"/>
                <w:color w:val="auto"/>
              </w:rPr>
              <w:t>Foreign currency</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100"/>
              <w:spacing w:after="0" w:line="131" w:lineRule="exact"/>
              <w:rPr>
                <w:sz w:val="20"/>
                <w:szCs w:val="20"/>
                <w:color w:val="auto"/>
              </w:rPr>
            </w:pPr>
            <w:r>
              <w:rPr>
                <w:rFonts w:ascii="Arial" w:cs="Arial" w:eastAsia="Arial" w:hAnsi="Arial"/>
                <w:sz w:val="12"/>
                <w:szCs w:val="12"/>
                <w:color w:val="auto"/>
              </w:rPr>
              <w:t>translation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20" w:type="dxa"/>
            <w:vAlign w:val="bottom"/>
          </w:tcPr>
          <w:p>
            <w:pPr>
              <w:ind w:left="100"/>
              <w:spacing w:after="0"/>
              <w:rPr>
                <w:sz w:val="20"/>
                <w:szCs w:val="20"/>
                <w:color w:val="auto"/>
              </w:rPr>
            </w:pPr>
            <w:r>
              <w:rPr>
                <w:rFonts w:ascii="Arial" w:cs="Arial" w:eastAsia="Arial" w:hAnsi="Arial"/>
                <w:sz w:val="12"/>
                <w:szCs w:val="12"/>
                <w:color w:val="auto"/>
              </w:rPr>
              <w:t>adjustment</w:t>
            </w:r>
          </w:p>
        </w:tc>
        <w:tc>
          <w:tcPr>
            <w:tcW w:w="620" w:type="dxa"/>
            <w:vAlign w:val="bottom"/>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90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3"/>
                <w:szCs w:val="13"/>
                <w:color w:val="auto"/>
              </w:rPr>
            </w:pPr>
          </w:p>
        </w:tc>
        <w:tc>
          <w:tcPr>
            <w:tcW w:w="740" w:type="dxa"/>
            <w:vAlign w:val="bottom"/>
            <w:tcBorders>
              <w:right w:val="single" w:sz="8" w:color="auto"/>
            </w:tcBorders>
            <w:gridSpan w:val="2"/>
          </w:tcPr>
          <w:p>
            <w:pPr>
              <w:ind w:left="4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3,232</w:t>
            </w:r>
          </w:p>
        </w:tc>
        <w:tc>
          <w:tcPr>
            <w:tcW w:w="2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3,232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20" w:type="dxa"/>
            <w:vAlign w:val="bottom"/>
            <w:shd w:val="clear" w:color="auto" w:fill="E0E0E0"/>
          </w:tcPr>
          <w:p>
            <w:pPr>
              <w:spacing w:after="0" w:line="108" w:lineRule="exact"/>
              <w:rPr>
                <w:sz w:val="20"/>
                <w:szCs w:val="20"/>
                <w:color w:val="auto"/>
              </w:rPr>
            </w:pPr>
            <w:r>
              <w:rPr>
                <w:rFonts w:ascii="Arial" w:cs="Arial" w:eastAsia="Arial" w:hAnsi="Arial"/>
                <w:sz w:val="12"/>
                <w:szCs w:val="12"/>
                <w:color w:val="auto"/>
              </w:rPr>
              <w:t>Stock-based</w:t>
            </w:r>
          </w:p>
        </w:tc>
        <w:tc>
          <w:tcPr>
            <w:tcW w:w="62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2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tcBorders>
              <w:right w:val="single" w:sz="8" w:color="auto"/>
            </w:tcBorders>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7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4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66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0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3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5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480" w:type="dxa"/>
            <w:vAlign w:val="bottom"/>
            <w:shd w:val="clear" w:color="auto" w:fill="E0E0E0"/>
          </w:tcPr>
          <w:p>
            <w:pPr>
              <w:spacing w:after="0"/>
              <w:rPr>
                <w:sz w:val="9"/>
                <w:szCs w:val="9"/>
                <w:color w:val="auto"/>
              </w:rPr>
            </w:pPr>
          </w:p>
        </w:tc>
        <w:tc>
          <w:tcPr>
            <w:tcW w:w="280" w:type="dxa"/>
            <w:vAlign w:val="bottom"/>
            <w:shd w:val="clear" w:color="auto" w:fill="E0E0E0"/>
          </w:tcPr>
          <w:p>
            <w:pPr>
              <w:spacing w:after="0"/>
              <w:rPr>
                <w:sz w:val="9"/>
                <w:szCs w:val="9"/>
                <w:color w:val="auto"/>
              </w:rPr>
            </w:pPr>
          </w:p>
        </w:tc>
        <w:tc>
          <w:tcPr>
            <w:tcW w:w="72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240" w:type="dxa"/>
            <w:vAlign w:val="bottom"/>
            <w:shd w:val="clear" w:color="auto" w:fill="E0E0E0"/>
          </w:tcPr>
          <w:p>
            <w:pPr>
              <w:spacing w:after="0"/>
              <w:rPr>
                <w:sz w:val="9"/>
                <w:szCs w:val="9"/>
                <w:color w:val="auto"/>
              </w:rPr>
            </w:pPr>
          </w:p>
        </w:tc>
        <w:tc>
          <w:tcPr>
            <w:tcW w:w="600" w:type="dxa"/>
            <w:vAlign w:val="bottom"/>
            <w:shd w:val="clear" w:color="auto" w:fill="E0E0E0"/>
          </w:tcPr>
          <w:p>
            <w:pPr>
              <w:spacing w:after="0"/>
              <w:rPr>
                <w:sz w:val="9"/>
                <w:szCs w:val="9"/>
                <w:color w:val="auto"/>
              </w:rPr>
            </w:pPr>
          </w:p>
        </w:tc>
        <w:tc>
          <w:tcPr>
            <w:tcW w:w="140" w:type="dxa"/>
            <w:vAlign w:val="bottom"/>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ind w:left="100"/>
              <w:spacing w:after="0" w:line="131" w:lineRule="exact"/>
              <w:rPr>
                <w:sz w:val="20"/>
                <w:szCs w:val="20"/>
                <w:color w:val="auto"/>
              </w:rPr>
            </w:pPr>
            <w:r>
              <w:rPr>
                <w:rFonts w:ascii="Arial" w:cs="Arial" w:eastAsia="Arial" w:hAnsi="Arial"/>
                <w:sz w:val="12"/>
                <w:szCs w:val="12"/>
                <w:color w:val="auto"/>
              </w:rPr>
              <w:t>compensation</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E0E0E0"/>
          </w:tcPr>
          <w:p>
            <w:pPr>
              <w:ind w:left="100"/>
              <w:spacing w:after="0"/>
              <w:rPr>
                <w:sz w:val="20"/>
                <w:szCs w:val="20"/>
                <w:color w:val="auto"/>
              </w:rPr>
            </w:pPr>
            <w:r>
              <w:rPr>
                <w:rFonts w:ascii="Arial" w:cs="Arial" w:eastAsia="Arial" w:hAnsi="Arial"/>
                <w:sz w:val="12"/>
                <w:szCs w:val="12"/>
                <w:color w:val="auto"/>
              </w:rPr>
              <w:t>expense</w:t>
            </w: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3"/>
                <w:szCs w:val="13"/>
                <w:color w:val="auto"/>
              </w:rPr>
            </w:pPr>
          </w:p>
        </w:tc>
        <w:tc>
          <w:tcPr>
            <w:tcW w:w="900" w:type="dxa"/>
            <w:vAlign w:val="bottom"/>
            <w:gridSpan w:val="2"/>
            <w:shd w:val="clear" w:color="auto" w:fill="E0E0E0"/>
          </w:tcPr>
          <w:p>
            <w:pPr>
              <w:ind w:left="500"/>
              <w:spacing w:after="0"/>
              <w:rPr>
                <w:sz w:val="20"/>
                <w:szCs w:val="20"/>
                <w:color w:val="auto"/>
              </w:rPr>
            </w:pPr>
            <w:r>
              <w:rPr>
                <w:rFonts w:ascii="Arial" w:cs="Arial" w:eastAsia="Arial" w:hAnsi="Arial"/>
                <w:sz w:val="12"/>
                <w:szCs w:val="12"/>
                <w:color w:val="auto"/>
              </w:rPr>
              <w:t>—</w:t>
            </w:r>
          </w:p>
        </w:tc>
        <w:tc>
          <w:tcPr>
            <w:tcW w:w="600" w:type="dxa"/>
            <w:vAlign w:val="bottom"/>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13"/>
                <w:szCs w:val="13"/>
                <w:color w:val="auto"/>
              </w:rPr>
            </w:pPr>
          </w:p>
        </w:tc>
        <w:tc>
          <w:tcPr>
            <w:tcW w:w="740" w:type="dxa"/>
            <w:vAlign w:val="bottom"/>
            <w:tcBorders>
              <w:right w:val="single" w:sz="8" w:color="auto"/>
            </w:tcBorders>
            <w:gridSpan w:val="2"/>
            <w:shd w:val="clear" w:color="auto" w:fill="E0E0E0"/>
          </w:tcPr>
          <w:p>
            <w:pPr>
              <w:ind w:left="48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04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0E0"/>
          </w:tcPr>
          <w:p>
            <w:pPr>
              <w:spacing w:after="0"/>
              <w:rPr>
                <w:sz w:val="13"/>
                <w:szCs w:val="13"/>
                <w:color w:val="auto"/>
              </w:rPr>
            </w:pPr>
          </w:p>
        </w:tc>
        <w:tc>
          <w:tcPr>
            <w:tcW w:w="940" w:type="dxa"/>
            <w:vAlign w:val="bottom"/>
            <w:gridSpan w:val="2"/>
            <w:shd w:val="clear" w:color="auto" w:fill="E0E0E0"/>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0E0"/>
          </w:tcPr>
          <w:p>
            <w:pPr>
              <w:spacing w:after="0"/>
              <w:rPr>
                <w:sz w:val="13"/>
                <w:szCs w:val="13"/>
                <w:color w:val="auto"/>
              </w:rPr>
            </w:pPr>
          </w:p>
        </w:tc>
        <w:tc>
          <w:tcPr>
            <w:tcW w:w="2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960" w:type="dxa"/>
            <w:vAlign w:val="bottom"/>
            <w:gridSpan w:val="2"/>
            <w:shd w:val="clear" w:color="auto" w:fill="E0E0E0"/>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48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5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43,726</w:t>
            </w:r>
          </w:p>
        </w:tc>
        <w:tc>
          <w:tcPr>
            <w:tcW w:w="26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4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0E0E0"/>
          </w:tcPr>
          <w:p>
            <w:pPr>
              <w:spacing w:after="0"/>
              <w:rPr>
                <w:sz w:val="13"/>
                <w:szCs w:val="13"/>
                <w:color w:val="auto"/>
              </w:rPr>
            </w:pPr>
          </w:p>
        </w:tc>
        <w:tc>
          <w:tcPr>
            <w:tcW w:w="860" w:type="dxa"/>
            <w:vAlign w:val="bottom"/>
            <w:gridSpan w:val="2"/>
            <w:shd w:val="clear" w:color="auto" w:fill="E0E0E0"/>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43,726</w:t>
            </w:r>
          </w:p>
        </w:tc>
        <w:tc>
          <w:tcPr>
            <w:tcW w:w="14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20" w:type="dxa"/>
            <w:vAlign w:val="bottom"/>
          </w:tcPr>
          <w:p>
            <w:pPr>
              <w:spacing w:after="0" w:line="131" w:lineRule="exact"/>
              <w:rPr>
                <w:sz w:val="20"/>
                <w:szCs w:val="20"/>
                <w:color w:val="auto"/>
              </w:rPr>
            </w:pPr>
            <w:r>
              <w:rPr>
                <w:rFonts w:ascii="Arial" w:cs="Arial" w:eastAsia="Arial" w:hAnsi="Arial"/>
                <w:sz w:val="12"/>
                <w:szCs w:val="12"/>
                <w:color w:val="auto"/>
              </w:rPr>
              <w:t>Net loss</w:t>
            </w:r>
          </w:p>
        </w:tc>
        <w:tc>
          <w:tcPr>
            <w:tcW w:w="620" w:type="dxa"/>
            <w:vAlign w:val="bottom"/>
          </w:tcPr>
          <w:p>
            <w:pPr>
              <w:ind w:left="500"/>
              <w:spacing w:after="0" w:line="131" w:lineRule="exact"/>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1"/>
                <w:szCs w:val="11"/>
                <w:color w:val="auto"/>
              </w:rPr>
            </w:pPr>
          </w:p>
        </w:tc>
        <w:tc>
          <w:tcPr>
            <w:tcW w:w="900" w:type="dxa"/>
            <w:vAlign w:val="bottom"/>
            <w:gridSpan w:val="2"/>
          </w:tcPr>
          <w:p>
            <w:pPr>
              <w:ind w:left="500"/>
              <w:spacing w:after="0" w:line="131" w:lineRule="exact"/>
              <w:rPr>
                <w:sz w:val="20"/>
                <w:szCs w:val="20"/>
                <w:color w:val="auto"/>
              </w:rPr>
            </w:pPr>
            <w:r>
              <w:rPr>
                <w:rFonts w:ascii="Arial" w:cs="Arial" w:eastAsia="Arial" w:hAnsi="Arial"/>
                <w:sz w:val="12"/>
                <w:szCs w:val="12"/>
                <w:color w:val="auto"/>
              </w:rPr>
              <w:t>—</w:t>
            </w:r>
          </w:p>
        </w:tc>
        <w:tc>
          <w:tcPr>
            <w:tcW w:w="600" w:type="dxa"/>
            <w:vAlign w:val="bottom"/>
          </w:tcPr>
          <w:p>
            <w:pPr>
              <w:ind w:left="480"/>
              <w:spacing w:after="0" w:line="131" w:lineRule="exact"/>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1"/>
                <w:szCs w:val="11"/>
                <w:color w:val="auto"/>
              </w:rPr>
            </w:pPr>
          </w:p>
        </w:tc>
        <w:tc>
          <w:tcPr>
            <w:tcW w:w="740" w:type="dxa"/>
            <w:vAlign w:val="bottom"/>
            <w:tcBorders>
              <w:right w:val="single" w:sz="8" w:color="auto"/>
            </w:tcBorders>
            <w:gridSpan w:val="2"/>
          </w:tcPr>
          <w:p>
            <w:pPr>
              <w:ind w:left="480"/>
              <w:spacing w:after="0" w:line="13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260"/>
              <w:spacing w:after="0" w:line="131"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280"/>
              <w:spacing w:after="0" w:line="13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24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960" w:type="dxa"/>
            <w:vAlign w:val="bottom"/>
            <w:gridSpan w:val="2"/>
          </w:tcPr>
          <w:p>
            <w:pPr>
              <w:jc w:val="right"/>
              <w:ind w:right="260"/>
              <w:spacing w:after="0" w:line="13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80" w:type="dxa"/>
            <w:vAlign w:val="bottom"/>
            <w:gridSpan w:val="2"/>
          </w:tcPr>
          <w:p>
            <w:pPr>
              <w:jc w:val="right"/>
              <w:ind w:right="140"/>
              <w:spacing w:after="0" w:line="13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100"/>
              <w:spacing w:after="0" w:line="131" w:lineRule="exact"/>
              <w:rPr>
                <w:sz w:val="20"/>
                <w:szCs w:val="20"/>
                <w:color w:val="auto"/>
              </w:rPr>
            </w:pPr>
            <w:r>
              <w:rPr>
                <w:rFonts w:ascii="Arial" w:cs="Arial" w:eastAsia="Arial" w:hAnsi="Arial"/>
                <w:sz w:val="12"/>
                <w:szCs w:val="12"/>
                <w:color w:val="auto"/>
              </w:rPr>
              <w:t>(8,566)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2"/>
                <w:szCs w:val="12"/>
                <w:color w:val="auto"/>
              </w:rPr>
              <w:t>(8,566)</w:t>
            </w:r>
          </w:p>
        </w:tc>
        <w:tc>
          <w:tcPr>
            <w:tcW w:w="0" w:type="dxa"/>
            <w:vAlign w:val="bottom"/>
          </w:tcPr>
          <w:p>
            <w:pPr>
              <w:spacing w:after="0"/>
              <w:rPr>
                <w:sz w:val="1"/>
                <w:szCs w:val="1"/>
                <w:color w:val="auto"/>
              </w:rPr>
            </w:pPr>
          </w:p>
        </w:tc>
      </w:tr>
      <w:tr>
        <w:trPr>
          <w:trHeight w:val="97"/>
        </w:trPr>
        <w:tc>
          <w:tcPr>
            <w:tcW w:w="1320" w:type="dxa"/>
            <w:vAlign w:val="bottom"/>
            <w:tcBorders>
              <w:top w:val="single" w:sz="8" w:color="E0E0E0"/>
            </w:tcBorders>
            <w:shd w:val="clear" w:color="auto" w:fill="E0E0E0"/>
          </w:tcPr>
          <w:p>
            <w:pPr>
              <w:spacing w:after="0" w:line="97" w:lineRule="exact"/>
              <w:rPr>
                <w:sz w:val="20"/>
                <w:szCs w:val="20"/>
                <w:color w:val="auto"/>
              </w:rPr>
            </w:pPr>
            <w:r>
              <w:rPr>
                <w:rFonts w:ascii="Arial" w:cs="Arial" w:eastAsia="Arial" w:hAnsi="Arial"/>
                <w:sz w:val="10"/>
                <w:szCs w:val="10"/>
                <w:b w:val="1"/>
                <w:bCs w:val="1"/>
                <w:color w:val="auto"/>
              </w:rPr>
              <w:t>Balances at</w:t>
            </w:r>
          </w:p>
        </w:tc>
        <w:tc>
          <w:tcPr>
            <w:tcW w:w="62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620" w:type="dxa"/>
            <w:vAlign w:val="bottom"/>
            <w:tcBorders>
              <w:top w:val="single" w:sz="8" w:color="auto"/>
            </w:tcBorders>
            <w:shd w:val="clear" w:color="auto" w:fill="E0E0E0"/>
          </w:tcPr>
          <w:p>
            <w:pPr>
              <w:spacing w:after="0"/>
              <w:rPr>
                <w:sz w:val="8"/>
                <w:szCs w:val="8"/>
                <w:color w:val="auto"/>
              </w:rPr>
            </w:pPr>
          </w:p>
        </w:tc>
        <w:tc>
          <w:tcPr>
            <w:tcW w:w="280" w:type="dxa"/>
            <w:vAlign w:val="bottom"/>
            <w:tcBorders>
              <w:top w:val="single" w:sz="8" w:color="E0E0E0"/>
            </w:tcBorders>
            <w:shd w:val="clear" w:color="auto" w:fill="E0E0E0"/>
          </w:tcPr>
          <w:p>
            <w:pPr>
              <w:spacing w:after="0"/>
              <w:rPr>
                <w:sz w:val="8"/>
                <w:szCs w:val="8"/>
                <w:color w:val="auto"/>
              </w:rPr>
            </w:pPr>
          </w:p>
        </w:tc>
        <w:tc>
          <w:tcPr>
            <w:tcW w:w="600" w:type="dxa"/>
            <w:vAlign w:val="bottom"/>
            <w:tcBorders>
              <w:top w:val="single" w:sz="8" w:color="auto"/>
            </w:tcBorders>
            <w:shd w:val="clear" w:color="auto" w:fill="E0E0E0"/>
          </w:tcPr>
          <w:p>
            <w:pPr>
              <w:spacing w:after="0"/>
              <w:rPr>
                <w:sz w:val="8"/>
                <w:szCs w:val="8"/>
                <w:color w:val="auto"/>
              </w:rPr>
            </w:pPr>
          </w:p>
        </w:tc>
        <w:tc>
          <w:tcPr>
            <w:tcW w:w="280" w:type="dxa"/>
            <w:vAlign w:val="bottom"/>
            <w:tcBorders>
              <w:top w:val="single" w:sz="8" w:color="E0E0E0"/>
            </w:tcBorders>
            <w:shd w:val="clear" w:color="auto" w:fill="E0E0E0"/>
          </w:tcPr>
          <w:p>
            <w:pPr>
              <w:spacing w:after="0"/>
              <w:rPr>
                <w:sz w:val="8"/>
                <w:szCs w:val="8"/>
                <w:color w:val="auto"/>
              </w:rPr>
            </w:pPr>
          </w:p>
        </w:tc>
        <w:tc>
          <w:tcPr>
            <w:tcW w:w="600" w:type="dxa"/>
            <w:vAlign w:val="bottom"/>
            <w:tcBorders>
              <w:top w:val="single" w:sz="8" w:color="auto"/>
            </w:tcBorders>
            <w:shd w:val="clear" w:color="auto" w:fill="E0E0E0"/>
          </w:tcPr>
          <w:p>
            <w:pPr>
              <w:spacing w:after="0"/>
              <w:rPr>
                <w:sz w:val="8"/>
                <w:szCs w:val="8"/>
                <w:color w:val="auto"/>
              </w:rPr>
            </w:pPr>
          </w:p>
        </w:tc>
        <w:tc>
          <w:tcPr>
            <w:tcW w:w="140" w:type="dxa"/>
            <w:vAlign w:val="bottom"/>
            <w:tcBorders>
              <w:top w:val="single" w:sz="8" w:color="E0E0E0"/>
              <w:right w:val="single" w:sz="8" w:color="auto"/>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78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44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660" w:type="dxa"/>
            <w:vAlign w:val="bottom"/>
            <w:tcBorders>
              <w:top w:val="single" w:sz="8" w:color="auto"/>
            </w:tcBorders>
            <w:shd w:val="clear" w:color="auto" w:fill="E0E0E0"/>
          </w:tcPr>
          <w:p>
            <w:pPr>
              <w:spacing w:after="0"/>
              <w:rPr>
                <w:sz w:val="8"/>
                <w:szCs w:val="8"/>
                <w:color w:val="auto"/>
              </w:rPr>
            </w:pPr>
          </w:p>
        </w:tc>
        <w:tc>
          <w:tcPr>
            <w:tcW w:w="280" w:type="dxa"/>
            <w:vAlign w:val="bottom"/>
            <w:tcBorders>
              <w:top w:val="single" w:sz="8" w:color="E0E0E0"/>
            </w:tcBorders>
            <w:shd w:val="clear" w:color="auto" w:fill="E0E0E0"/>
          </w:tcPr>
          <w:p>
            <w:pPr>
              <w:spacing w:after="0"/>
              <w:rPr>
                <w:sz w:val="8"/>
                <w:szCs w:val="8"/>
                <w:color w:val="auto"/>
              </w:rPr>
            </w:pPr>
          </w:p>
        </w:tc>
        <w:tc>
          <w:tcPr>
            <w:tcW w:w="180" w:type="dxa"/>
            <w:vAlign w:val="bottom"/>
            <w:tcBorders>
              <w:top w:val="single" w:sz="8" w:color="auto"/>
            </w:tcBorders>
            <w:shd w:val="clear" w:color="auto" w:fill="E0E0E0"/>
          </w:tcPr>
          <w:p>
            <w:pPr>
              <w:spacing w:after="0"/>
              <w:rPr>
                <w:sz w:val="8"/>
                <w:szCs w:val="8"/>
                <w:color w:val="auto"/>
              </w:rPr>
            </w:pPr>
          </w:p>
        </w:tc>
        <w:tc>
          <w:tcPr>
            <w:tcW w:w="240" w:type="dxa"/>
            <w:vAlign w:val="bottom"/>
            <w:tcBorders>
              <w:top w:val="single" w:sz="8" w:color="auto"/>
            </w:tcBorders>
            <w:shd w:val="clear" w:color="auto" w:fill="E0E0E0"/>
          </w:tcPr>
          <w:p>
            <w:pPr>
              <w:spacing w:after="0"/>
              <w:rPr>
                <w:sz w:val="8"/>
                <w:szCs w:val="8"/>
                <w:color w:val="auto"/>
              </w:rPr>
            </w:pPr>
          </w:p>
        </w:tc>
        <w:tc>
          <w:tcPr>
            <w:tcW w:w="280" w:type="dxa"/>
            <w:vAlign w:val="bottom"/>
            <w:tcBorders>
              <w:top w:val="single" w:sz="8" w:color="E0E0E0"/>
            </w:tcBorders>
            <w:shd w:val="clear" w:color="auto" w:fill="E0E0E0"/>
          </w:tcPr>
          <w:p>
            <w:pPr>
              <w:spacing w:after="0"/>
              <w:rPr>
                <w:sz w:val="8"/>
                <w:szCs w:val="8"/>
                <w:color w:val="auto"/>
              </w:rPr>
            </w:pPr>
          </w:p>
        </w:tc>
        <w:tc>
          <w:tcPr>
            <w:tcW w:w="70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auto"/>
            </w:tcBorders>
            <w:shd w:val="clear" w:color="auto" w:fill="E0E0E0"/>
          </w:tcPr>
          <w:p>
            <w:pPr>
              <w:spacing w:after="0"/>
              <w:rPr>
                <w:sz w:val="8"/>
                <w:szCs w:val="8"/>
                <w:color w:val="auto"/>
              </w:rPr>
            </w:pPr>
          </w:p>
        </w:tc>
        <w:tc>
          <w:tcPr>
            <w:tcW w:w="340" w:type="dxa"/>
            <w:vAlign w:val="bottom"/>
            <w:tcBorders>
              <w:top w:val="single" w:sz="8" w:color="auto"/>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180" w:type="dxa"/>
            <w:vAlign w:val="bottom"/>
            <w:tcBorders>
              <w:top w:val="single" w:sz="8" w:color="auto"/>
            </w:tcBorders>
            <w:shd w:val="clear" w:color="auto" w:fill="E0E0E0"/>
          </w:tcPr>
          <w:p>
            <w:pPr>
              <w:spacing w:after="0"/>
              <w:rPr>
                <w:sz w:val="8"/>
                <w:szCs w:val="8"/>
                <w:color w:val="auto"/>
              </w:rPr>
            </w:pPr>
          </w:p>
        </w:tc>
        <w:tc>
          <w:tcPr>
            <w:tcW w:w="560" w:type="dxa"/>
            <w:vAlign w:val="bottom"/>
            <w:tcBorders>
              <w:top w:val="single" w:sz="8" w:color="auto"/>
            </w:tcBorders>
            <w:shd w:val="clear" w:color="auto" w:fill="E0E0E0"/>
          </w:tcPr>
          <w:p>
            <w:pPr>
              <w:spacing w:after="0"/>
              <w:rPr>
                <w:sz w:val="8"/>
                <w:szCs w:val="8"/>
                <w:color w:val="auto"/>
              </w:rPr>
            </w:pPr>
          </w:p>
        </w:tc>
        <w:tc>
          <w:tcPr>
            <w:tcW w:w="260" w:type="dxa"/>
            <w:vAlign w:val="bottom"/>
            <w:tcBorders>
              <w:top w:val="single" w:sz="8" w:color="E0E0E0"/>
            </w:tcBorders>
            <w:shd w:val="clear" w:color="auto" w:fill="E0E0E0"/>
          </w:tcPr>
          <w:p>
            <w:pPr>
              <w:spacing w:after="0"/>
              <w:rPr>
                <w:sz w:val="8"/>
                <w:szCs w:val="8"/>
                <w:color w:val="auto"/>
              </w:rPr>
            </w:pPr>
          </w:p>
        </w:tc>
        <w:tc>
          <w:tcPr>
            <w:tcW w:w="260" w:type="dxa"/>
            <w:vAlign w:val="bottom"/>
            <w:tcBorders>
              <w:top w:val="single" w:sz="8" w:color="auto"/>
            </w:tcBorders>
            <w:shd w:val="clear" w:color="auto" w:fill="E0E0E0"/>
          </w:tcPr>
          <w:p>
            <w:pPr>
              <w:spacing w:after="0"/>
              <w:rPr>
                <w:sz w:val="8"/>
                <w:szCs w:val="8"/>
                <w:color w:val="auto"/>
              </w:rPr>
            </w:pPr>
          </w:p>
        </w:tc>
        <w:tc>
          <w:tcPr>
            <w:tcW w:w="480" w:type="dxa"/>
            <w:vAlign w:val="bottom"/>
            <w:tcBorders>
              <w:top w:val="single" w:sz="8" w:color="auto"/>
            </w:tcBorders>
            <w:shd w:val="clear" w:color="auto" w:fill="E0E0E0"/>
          </w:tcPr>
          <w:p>
            <w:pPr>
              <w:spacing w:after="0"/>
              <w:rPr>
                <w:sz w:val="8"/>
                <w:szCs w:val="8"/>
                <w:color w:val="auto"/>
              </w:rPr>
            </w:pPr>
          </w:p>
        </w:tc>
        <w:tc>
          <w:tcPr>
            <w:tcW w:w="280" w:type="dxa"/>
            <w:vAlign w:val="bottom"/>
            <w:tcBorders>
              <w:top w:val="single" w:sz="8" w:color="E0E0E0"/>
            </w:tcBorders>
            <w:shd w:val="clear" w:color="auto" w:fill="E0E0E0"/>
          </w:tcPr>
          <w:p>
            <w:pPr>
              <w:spacing w:after="0"/>
              <w:rPr>
                <w:sz w:val="8"/>
                <w:szCs w:val="8"/>
                <w:color w:val="auto"/>
              </w:rPr>
            </w:pPr>
          </w:p>
        </w:tc>
        <w:tc>
          <w:tcPr>
            <w:tcW w:w="720" w:type="dxa"/>
            <w:vAlign w:val="bottom"/>
            <w:tcBorders>
              <w:top w:val="single" w:sz="8" w:color="auto"/>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240" w:type="dxa"/>
            <w:vAlign w:val="bottom"/>
            <w:tcBorders>
              <w:top w:val="single" w:sz="8" w:color="auto"/>
            </w:tcBorders>
            <w:shd w:val="clear" w:color="auto" w:fill="E0E0E0"/>
          </w:tcPr>
          <w:p>
            <w:pPr>
              <w:spacing w:after="0"/>
              <w:rPr>
                <w:sz w:val="8"/>
                <w:szCs w:val="8"/>
                <w:color w:val="auto"/>
              </w:rPr>
            </w:pPr>
          </w:p>
        </w:tc>
        <w:tc>
          <w:tcPr>
            <w:tcW w:w="600" w:type="dxa"/>
            <w:vAlign w:val="bottom"/>
            <w:tcBorders>
              <w:top w:val="single" w:sz="8" w:color="auto"/>
            </w:tcBorders>
            <w:shd w:val="clear" w:color="auto" w:fill="E0E0E0"/>
          </w:tcPr>
          <w:p>
            <w:pPr>
              <w:spacing w:after="0"/>
              <w:rPr>
                <w:sz w:val="8"/>
                <w:szCs w:val="8"/>
                <w:color w:val="auto"/>
              </w:rPr>
            </w:pPr>
          </w:p>
        </w:tc>
        <w:tc>
          <w:tcPr>
            <w:tcW w:w="140" w:type="dxa"/>
            <w:vAlign w:val="bottom"/>
            <w:tcBorders>
              <w:top w:val="single" w:sz="8" w:color="E0E0E0"/>
            </w:tcBorders>
            <w:shd w:val="clear" w:color="auto" w:fill="E0E0E0"/>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E0E0E0"/>
          </w:tcPr>
          <w:p>
            <w:pPr>
              <w:spacing w:after="0" w:line="131" w:lineRule="exact"/>
              <w:rPr>
                <w:sz w:val="20"/>
                <w:szCs w:val="20"/>
                <w:color w:val="auto"/>
              </w:rPr>
            </w:pPr>
            <w:r>
              <w:rPr>
                <w:rFonts w:ascii="Arial" w:cs="Arial" w:eastAsia="Arial" w:hAnsi="Arial"/>
                <w:sz w:val="12"/>
                <w:szCs w:val="12"/>
                <w:b w:val="1"/>
                <w:bCs w:val="1"/>
                <w:color w:val="auto"/>
              </w:rPr>
              <w:t>December</w:t>
            </w:r>
          </w:p>
        </w:tc>
        <w:tc>
          <w:tcPr>
            <w:tcW w:w="6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2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tcBorders>
              <w:right w:val="single" w:sz="8" w:color="auto"/>
            </w:tcBorders>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28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0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20" w:type="dxa"/>
            <w:vAlign w:val="bottom"/>
            <w:shd w:val="clear" w:color="auto" w:fill="E0E0E0"/>
          </w:tcPr>
          <w:p>
            <w:pPr>
              <w:ind w:left="100"/>
              <w:spacing w:after="0"/>
              <w:rPr>
                <w:sz w:val="20"/>
                <w:szCs w:val="20"/>
                <w:color w:val="auto"/>
              </w:rPr>
            </w:pPr>
            <w:r>
              <w:rPr>
                <w:rFonts w:ascii="Arial" w:cs="Arial" w:eastAsia="Arial" w:hAnsi="Arial"/>
                <w:sz w:val="12"/>
                <w:szCs w:val="12"/>
                <w:b w:val="1"/>
                <w:bCs w:val="1"/>
                <w:color w:val="auto"/>
              </w:rPr>
              <w:t>31, 2023</w:t>
            </w: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E0E0E0"/>
          </w:tcPr>
          <w:p>
            <w:pPr>
              <w:spacing w:after="0"/>
              <w:rPr>
                <w:sz w:val="15"/>
                <w:szCs w:val="15"/>
                <w:color w:val="auto"/>
              </w:rPr>
            </w:pPr>
          </w:p>
        </w:tc>
        <w:tc>
          <w:tcPr>
            <w:tcW w:w="620" w:type="dxa"/>
            <w:vAlign w:val="bottom"/>
            <w:shd w:val="clear" w:color="auto" w:fill="E0E0E0"/>
          </w:tcPr>
          <w:p>
            <w:pPr>
              <w:ind w:left="50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15"/>
                <w:szCs w:val="15"/>
                <w:color w:val="auto"/>
              </w:rPr>
            </w:pPr>
          </w:p>
        </w:tc>
        <w:tc>
          <w:tcPr>
            <w:tcW w:w="600" w:type="dxa"/>
            <w:vAlign w:val="bottom"/>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E0E0E0"/>
          </w:tcPr>
          <w:p>
            <w:pPr>
              <w:spacing w:after="0"/>
              <w:rPr>
                <w:sz w:val="15"/>
                <w:szCs w:val="15"/>
                <w:color w:val="auto"/>
              </w:rPr>
            </w:pPr>
          </w:p>
        </w:tc>
        <w:tc>
          <w:tcPr>
            <w:tcW w:w="600" w:type="dxa"/>
            <w:vAlign w:val="bottom"/>
            <w:shd w:val="clear" w:color="auto" w:fill="E0E0E0"/>
          </w:tcPr>
          <w:p>
            <w:pPr>
              <w:ind w:left="48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auto"/>
            </w:tcBorders>
            <w:shd w:val="clear" w:color="auto" w:fill="E0E0E0"/>
          </w:tcPr>
          <w:p>
            <w:pPr>
              <w:spacing w:after="0"/>
              <w:rPr>
                <w:sz w:val="15"/>
                <w:szCs w:val="15"/>
                <w:color w:val="auto"/>
              </w:rPr>
            </w:pPr>
          </w:p>
        </w:tc>
        <w:tc>
          <w:tcPr>
            <w:tcW w:w="92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123,010,207</w:t>
            </w:r>
          </w:p>
        </w:tc>
        <w:tc>
          <w:tcPr>
            <w:tcW w:w="260" w:type="dxa"/>
            <w:vAlign w:val="bottom"/>
            <w:shd w:val="clear" w:color="auto" w:fill="E0E0E0"/>
          </w:tcPr>
          <w:p>
            <w:pPr>
              <w:spacing w:after="0"/>
              <w:rPr>
                <w:sz w:val="15"/>
                <w:szCs w:val="15"/>
                <w:color w:val="auto"/>
              </w:rPr>
            </w:pPr>
          </w:p>
        </w:tc>
        <w:tc>
          <w:tcPr>
            <w:tcW w:w="4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$11</w:t>
            </w:r>
          </w:p>
        </w:tc>
        <w:tc>
          <w:tcPr>
            <w:tcW w:w="92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1,873,320</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jc w:val="right"/>
              <w:ind w:right="68"/>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w:t>
            </w:r>
          </w:p>
        </w:tc>
        <w:tc>
          <w:tcPr>
            <w:tcW w:w="98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(2,315,045)</w:t>
            </w:r>
          </w:p>
        </w:tc>
        <w:tc>
          <w:tcPr>
            <w:tcW w:w="260" w:type="dxa"/>
            <w:vAlign w:val="bottom"/>
            <w:shd w:val="clear" w:color="auto" w:fill="E0E0E0"/>
          </w:tcPr>
          <w:p>
            <w:pPr>
              <w:spacing w:after="0"/>
              <w:rPr>
                <w:sz w:val="15"/>
                <w:szCs w:val="15"/>
                <w:color w:val="auto"/>
              </w:rPr>
            </w:pPr>
          </w:p>
        </w:tc>
        <w:tc>
          <w:tcPr>
            <w:tcW w:w="140" w:type="dxa"/>
            <w:vAlign w:val="bottom"/>
            <w:shd w:val="clear" w:color="auto" w:fill="E0E0E0"/>
          </w:tcPr>
          <w:p>
            <w:pPr>
              <w:jc w:val="right"/>
              <w:ind w:right="2"/>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E0E0E0"/>
          </w:tcPr>
          <w:p>
            <w:pPr>
              <w:jc w:val="right"/>
              <w:spacing w:after="0"/>
              <w:rPr>
                <w:sz w:val="20"/>
                <w:szCs w:val="20"/>
                <w:color w:val="auto"/>
              </w:rPr>
            </w:pPr>
            <w:r>
              <w:rPr>
                <w:rFonts w:ascii="Arial" w:cs="Arial" w:eastAsia="Arial" w:hAnsi="Arial"/>
                <w:sz w:val="12"/>
                <w:szCs w:val="12"/>
                <w:color w:val="auto"/>
              </w:rPr>
              <w:t>(747)</w:t>
            </w:r>
          </w:p>
        </w:tc>
        <w:tc>
          <w:tcPr>
            <w:tcW w:w="140" w:type="dxa"/>
            <w:vAlign w:val="bottom"/>
            <w:shd w:val="clear" w:color="auto" w:fill="E0E0E0"/>
          </w:tcPr>
          <w:p>
            <w:pPr>
              <w:spacing w:after="0"/>
              <w:rPr>
                <w:sz w:val="15"/>
                <w:szCs w:val="15"/>
                <w:color w:val="auto"/>
              </w:rPr>
            </w:pPr>
          </w:p>
        </w:tc>
        <w:tc>
          <w:tcPr>
            <w:tcW w:w="320" w:type="dxa"/>
            <w:vAlign w:val="bottom"/>
            <w:gridSpan w:val="2"/>
            <w:shd w:val="clear" w:color="auto" w:fill="E0E0E0"/>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E0E0E0"/>
          </w:tcPr>
          <w:p>
            <w:pPr>
              <w:jc w:val="right"/>
              <w:spacing w:after="0"/>
              <w:rPr>
                <w:sz w:val="20"/>
                <w:szCs w:val="20"/>
                <w:color w:val="auto"/>
              </w:rPr>
            </w:pPr>
            <w:r>
              <w:rPr>
                <w:rFonts w:ascii="Arial" w:cs="Arial" w:eastAsia="Arial" w:hAnsi="Arial"/>
                <w:sz w:val="12"/>
                <w:szCs w:val="12"/>
                <w:color w:val="auto"/>
              </w:rPr>
              <w:t>959,302</w:t>
            </w:r>
          </w:p>
        </w:tc>
        <w:tc>
          <w:tcPr>
            <w:tcW w:w="260" w:type="dxa"/>
            <w:vAlign w:val="bottom"/>
            <w:shd w:val="clear" w:color="auto" w:fill="E0E0E0"/>
          </w:tcPr>
          <w:p>
            <w:pPr>
              <w:spacing w:after="0"/>
              <w:rPr>
                <w:sz w:val="15"/>
                <w:szCs w:val="15"/>
                <w:color w:val="auto"/>
              </w:rPr>
            </w:pPr>
          </w:p>
        </w:tc>
        <w:tc>
          <w:tcPr>
            <w:tcW w:w="260" w:type="dxa"/>
            <w:vAlign w:val="bottom"/>
            <w:shd w:val="clear" w:color="auto" w:fill="E0E0E0"/>
          </w:tcPr>
          <w:p>
            <w:pPr>
              <w:jc w:val="right"/>
              <w:ind w:right="14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0E0E0"/>
          </w:tcPr>
          <w:p>
            <w:pPr>
              <w:jc w:val="right"/>
              <w:spacing w:after="0"/>
              <w:rPr>
                <w:sz w:val="20"/>
                <w:szCs w:val="20"/>
                <w:color w:val="auto"/>
              </w:rPr>
            </w:pPr>
            <w:r>
              <w:rPr>
                <w:rFonts w:ascii="Arial" w:cs="Arial" w:eastAsia="Arial" w:hAnsi="Arial"/>
                <w:sz w:val="12"/>
                <w:szCs w:val="12"/>
                <w:color w:val="auto"/>
              </w:rPr>
              <w:t>1,320</w:t>
            </w:r>
          </w:p>
        </w:tc>
        <w:tc>
          <w:tcPr>
            <w:tcW w:w="1000" w:type="dxa"/>
            <w:vAlign w:val="bottom"/>
            <w:gridSpan w:val="2"/>
            <w:shd w:val="clear" w:color="auto" w:fill="E0E0E0"/>
          </w:tcPr>
          <w:p>
            <w:pPr>
              <w:jc w:val="right"/>
              <w:spacing w:after="0"/>
              <w:rPr>
                <w:sz w:val="20"/>
                <w:szCs w:val="20"/>
                <w:color w:val="auto"/>
              </w:rPr>
            </w:pPr>
            <w:r>
              <w:rPr>
                <w:rFonts w:ascii="Arial" w:cs="Arial" w:eastAsia="Arial" w:hAnsi="Arial"/>
                <w:sz w:val="12"/>
                <w:szCs w:val="12"/>
                <w:color w:val="auto"/>
              </w:rPr>
              <w:t>$    (173,770)</w:t>
            </w:r>
          </w:p>
        </w:tc>
        <w:tc>
          <w:tcPr>
            <w:tcW w:w="14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240" w:type="dxa"/>
            <w:vAlign w:val="bottom"/>
            <w:shd w:val="clear" w:color="auto" w:fill="E0E0E0"/>
          </w:tcPr>
          <w:p>
            <w:pPr>
              <w:jc w:val="right"/>
              <w:ind w:right="12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0E0E0"/>
          </w:tcPr>
          <w:p>
            <w:pPr>
              <w:jc w:val="right"/>
              <w:spacing w:after="0"/>
              <w:rPr>
                <w:sz w:val="20"/>
                <w:szCs w:val="20"/>
                <w:color w:val="auto"/>
              </w:rPr>
            </w:pPr>
            <w:r>
              <w:rPr>
                <w:rFonts w:ascii="Arial" w:cs="Arial" w:eastAsia="Arial" w:hAnsi="Arial"/>
                <w:sz w:val="12"/>
                <w:szCs w:val="12"/>
                <w:color w:val="auto"/>
              </w:rPr>
              <w:t>786,117</w:t>
            </w:r>
          </w:p>
        </w:tc>
        <w:tc>
          <w:tcPr>
            <w:tcW w:w="14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E0E0E0"/>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0E0"/>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0E0"/>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0E0"/>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0E0"/>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0E0"/>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2996565</wp:posOffset>
                </wp:positionH>
                <wp:positionV relativeFrom="paragraph">
                  <wp:posOffset>-2362835</wp:posOffset>
                </wp:positionV>
                <wp:extent cx="3791585" cy="16637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91585" cy="166370"/>
                        </a:xfrm>
                        <a:prstGeom prst="rect">
                          <a:avLst/>
                        </a:prstGeom>
                        <a:solidFill>
                          <a:srgbClr val="E0E0E0"/>
                        </a:solidFill>
                      </wps:spPr>
                      <wps:bodyPr/>
                    </wps:wsp>
                  </a:graphicData>
                </a:graphic>
              </wp:anchor>
            </w:drawing>
          </mc:Choice>
          <mc:Fallback>
            <w:pict>
              <v:rect id="Shape 44" o:spid="_x0000_s1069" style="position:absolute;margin-left:235.95pt;margin-top:-186.0499pt;width:298.5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6788150</wp:posOffset>
                </wp:positionH>
                <wp:positionV relativeFrom="paragraph">
                  <wp:posOffset>-2362835</wp:posOffset>
                </wp:positionV>
                <wp:extent cx="2078355" cy="16637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8355" cy="166370"/>
                        </a:xfrm>
                        <a:prstGeom prst="rect">
                          <a:avLst/>
                        </a:prstGeom>
                        <a:solidFill>
                          <a:srgbClr val="E0E0E0"/>
                        </a:solidFill>
                      </wps:spPr>
                      <wps:bodyPr/>
                    </wps:wsp>
                  </a:graphicData>
                </a:graphic>
              </wp:anchor>
            </w:drawing>
          </mc:Choice>
          <mc:Fallback>
            <w:pict>
              <v:rect id="Shape 45" o:spid="_x0000_s1070" style="position:absolute;margin-left:534.5pt;margin-top:-186.0499pt;width:163.6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5840" w:h="12240" w:orient="landscape"/>
          <w:cols w:equalWidth="0" w:num="2">
            <w:col w:w="242" w:space="151"/>
            <w:col w:w="13960"/>
          </w:cols>
          <w:pgMar w:left="727" w:top="1292" w:right="760" w:bottom="144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FLYWIRE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CASH FLOWS</w:t>
      </w:r>
    </w:p>
    <w:p>
      <w:pPr>
        <w:jc w:val="center"/>
        <w:spacing w:after="0"/>
        <w:rPr>
          <w:sz w:val="20"/>
          <w:szCs w:val="20"/>
          <w:color w:val="auto"/>
        </w:rPr>
      </w:pPr>
      <w:r>
        <w:rPr>
          <w:rFonts w:ascii="Arial" w:cs="Arial" w:eastAsia="Arial" w:hAnsi="Arial"/>
          <w:sz w:val="20"/>
          <w:szCs w:val="20"/>
          <w:color w:val="auto"/>
        </w:rPr>
        <w:t>(Amounts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0"/>
              <w:spacing w:after="0" w:line="174"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E0E0E0"/>
          </w:tcPr>
          <w:p>
            <w:pPr>
              <w:spacing w:after="0" w:line="197"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E0E0E0"/>
          </w:tcPr>
          <w:p>
            <w:pPr>
              <w:spacing w:after="0" w:line="189" w:lineRule="exact"/>
              <w:rPr>
                <w:sz w:val="20"/>
                <w:szCs w:val="20"/>
                <w:color w:val="auto"/>
              </w:rPr>
            </w:pPr>
            <w:r>
              <w:rPr>
                <w:rFonts w:ascii="Arial" w:cs="Arial" w:eastAsia="Arial" w:hAnsi="Arial"/>
                <w:sz w:val="18"/>
                <w:szCs w:val="18"/>
                <w:color w:val="auto"/>
              </w:rPr>
              <w:t>Adjustments to reconcile net loss to net cash provided by</w:t>
            </w:r>
          </w:p>
        </w:tc>
        <w:tc>
          <w:tcPr>
            <w:tcW w:w="20" w:type="dxa"/>
            <w:vAlign w:val="bottom"/>
            <w:shd w:val="clear" w:color="auto" w:fill="E0E0E0"/>
          </w:tcPr>
          <w:p>
            <w:pPr>
              <w:spacing w:after="0"/>
              <w:rPr>
                <w:sz w:val="16"/>
                <w:szCs w:val="16"/>
                <w:color w:val="auto"/>
              </w:rPr>
            </w:pPr>
          </w:p>
        </w:tc>
        <w:tc>
          <w:tcPr>
            <w:tcW w:w="260" w:type="dxa"/>
            <w:vAlign w:val="bottom"/>
            <w:shd w:val="clear" w:color="auto" w:fill="E0E0E0"/>
          </w:tcPr>
          <w:p>
            <w:pPr>
              <w:spacing w:after="0"/>
              <w:rPr>
                <w:sz w:val="16"/>
                <w:szCs w:val="16"/>
                <w:color w:val="auto"/>
              </w:rPr>
            </w:pPr>
          </w:p>
        </w:tc>
        <w:tc>
          <w:tcPr>
            <w:tcW w:w="100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spacing w:after="0"/>
              <w:rPr>
                <w:sz w:val="16"/>
                <w:szCs w:val="16"/>
                <w:color w:val="auto"/>
              </w:rPr>
            </w:pPr>
          </w:p>
        </w:tc>
        <w:tc>
          <w:tcPr>
            <w:tcW w:w="98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spacing w:after="0"/>
              <w:rPr>
                <w:sz w:val="16"/>
                <w:szCs w:val="16"/>
                <w:color w:val="auto"/>
              </w:rPr>
            </w:pPr>
          </w:p>
        </w:tc>
        <w:tc>
          <w:tcPr>
            <w:tcW w:w="10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E0E0E0"/>
          </w:tcPr>
          <w:p>
            <w:pPr>
              <w:ind w:left="160"/>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2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43,726</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30,259</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18,928</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00"/>
              <w:spacing w:after="0"/>
              <w:rPr>
                <w:sz w:val="20"/>
                <w:szCs w:val="20"/>
                <w:color w:val="auto"/>
              </w:rPr>
            </w:pPr>
            <w:r>
              <w:rPr>
                <w:rFonts w:ascii="Arial" w:cs="Arial" w:eastAsia="Arial" w:hAnsi="Arial"/>
                <w:sz w:val="18"/>
                <w:szCs w:val="18"/>
                <w:color w:val="auto"/>
              </w:rPr>
              <w:t>Amortization of contract costs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200"/>
              <w:spacing w:after="0"/>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10,758</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200"/>
              <w:spacing w:after="0"/>
              <w:rPr>
                <w:sz w:val="20"/>
                <w:szCs w:val="20"/>
                <w:color w:val="auto"/>
              </w:rPr>
            </w:pPr>
            <w:r>
              <w:rPr>
                <w:rFonts w:ascii="Arial" w:cs="Arial" w:eastAsia="Arial" w:hAnsi="Arial"/>
                <w:sz w:val="18"/>
                <w:szCs w:val="18"/>
                <w:color w:val="auto"/>
              </w:rPr>
              <w:t>Deferred tax provision (benefit)</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00"/>
              <w:spacing w:after="0"/>
              <w:rPr>
                <w:sz w:val="20"/>
                <w:szCs w:val="20"/>
                <w:color w:val="auto"/>
              </w:rPr>
            </w:pPr>
            <w:r>
              <w:rPr>
                <w:rFonts w:ascii="Arial" w:cs="Arial" w:eastAsia="Arial" w:hAnsi="Arial"/>
                <w:sz w:val="18"/>
                <w:szCs w:val="18"/>
                <w:color w:val="auto"/>
              </w:rPr>
              <w:t>Provision for uncollectible accounts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200"/>
              <w:spacing w:after="0"/>
              <w:rPr>
                <w:sz w:val="20"/>
                <w:szCs w:val="20"/>
                <w:color w:val="auto"/>
              </w:rPr>
            </w:pPr>
            <w:r>
              <w:rPr>
                <w:rFonts w:ascii="Arial" w:cs="Arial" w:eastAsia="Arial" w:hAnsi="Arial"/>
                <w:sz w:val="18"/>
                <w:szCs w:val="18"/>
                <w:color w:val="auto"/>
              </w:rPr>
              <w:t>Non-cash interest expense</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4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7"/>
        </w:trPr>
        <w:tc>
          <w:tcPr>
            <w:tcW w:w="6360" w:type="dxa"/>
            <w:vAlign w:val="bottom"/>
          </w:tcPr>
          <w:p>
            <w:pPr>
              <w:ind w:left="400"/>
              <w:spacing w:after="0"/>
              <w:rPr>
                <w:sz w:val="20"/>
                <w:szCs w:val="20"/>
                <w:color w:val="auto"/>
              </w:rPr>
            </w:pPr>
            <w:r>
              <w:rPr>
                <w:rFonts w:ascii="Arial" w:cs="Arial" w:eastAsia="Arial" w:hAnsi="Arial"/>
                <w:sz w:val="18"/>
                <w:szCs w:val="18"/>
                <w:color w:val="auto"/>
              </w:rPr>
              <w:t>Unbilled receivables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400"/>
              <w:spacing w:after="0"/>
              <w:rPr>
                <w:sz w:val="20"/>
                <w:szCs w:val="20"/>
                <w:color w:val="auto"/>
              </w:rPr>
            </w:pPr>
            <w:r>
              <w:rPr>
                <w:rFonts w:ascii="Arial" w:cs="Arial" w:eastAsia="Arial" w:hAnsi="Arial"/>
                <w:sz w:val="18"/>
                <w:szCs w:val="18"/>
                <w:color w:val="auto"/>
              </w:rPr>
              <w:t>Funds receivable from payment partners</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(50,975)</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07"/>
        </w:trPr>
        <w:tc>
          <w:tcPr>
            <w:tcW w:w="6360" w:type="dxa"/>
            <w:vAlign w:val="bottom"/>
          </w:tcPr>
          <w:p>
            <w:pPr>
              <w:ind w:left="400"/>
              <w:spacing w:after="0"/>
              <w:rPr>
                <w:sz w:val="20"/>
                <w:szCs w:val="20"/>
                <w:color w:val="auto"/>
              </w:rPr>
            </w:pPr>
            <w:r>
              <w:rPr>
                <w:rFonts w:ascii="Arial" w:cs="Arial" w:eastAsia="Arial" w:hAnsi="Arial"/>
                <w:sz w:val="18"/>
                <w:szCs w:val="18"/>
                <w:color w:val="auto"/>
              </w:rPr>
              <w:t>Prepaid expenses, other current assets and other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400"/>
              <w:spacing w:after="0"/>
              <w:rPr>
                <w:sz w:val="20"/>
                <w:szCs w:val="20"/>
                <w:color w:val="auto"/>
              </w:rPr>
            </w:pPr>
            <w:r>
              <w:rPr>
                <w:rFonts w:ascii="Arial" w:cs="Arial" w:eastAsia="Arial" w:hAnsi="Arial"/>
                <w:sz w:val="18"/>
                <w:szCs w:val="18"/>
                <w:color w:val="auto"/>
              </w:rPr>
              <w:t>Funds payable to clients</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86,616</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48,932</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11,316</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40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ind w:left="400"/>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7"/>
        </w:trPr>
        <w:tc>
          <w:tcPr>
            <w:tcW w:w="63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E0E0E0"/>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77"/>
        </w:trPr>
        <w:tc>
          <w:tcPr>
            <w:tcW w:w="6360" w:type="dxa"/>
            <w:vAlign w:val="bottom"/>
            <w:tcBorders>
              <w:top w:val="single" w:sz="8" w:color="E0E0E0"/>
              <w:bottom w:val="single" w:sz="8" w:color="E0E0E0"/>
            </w:tcBorders>
          </w:tcPr>
          <w:p>
            <w:pPr>
              <w:ind w:left="600"/>
              <w:spacing w:after="0" w:line="177"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E0E0E0"/>
              <w:bottom w:val="single" w:sz="8" w:color="E0E0E0"/>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80,625</w:t>
            </w:r>
          </w:p>
        </w:tc>
        <w:tc>
          <w:tcPr>
            <w:tcW w:w="160" w:type="dxa"/>
            <w:vAlign w:val="bottom"/>
            <w:tcBorders>
              <w:top w:val="single" w:sz="8" w:color="E0E0E0"/>
              <w:bottom w:val="single" w:sz="8" w:color="E0E0E0"/>
            </w:tcBorders>
          </w:tcPr>
          <w:p>
            <w:pPr>
              <w:spacing w:after="0"/>
              <w:rPr>
                <w:sz w:val="15"/>
                <w:szCs w:val="15"/>
                <w:color w:val="auto"/>
              </w:rPr>
            </w:pPr>
          </w:p>
        </w:tc>
        <w:tc>
          <w:tcPr>
            <w:tcW w:w="100" w:type="dxa"/>
            <w:vAlign w:val="bottom"/>
            <w:tcBorders>
              <w:top w:val="single" w:sz="8" w:color="E0E0E0"/>
              <w:bottom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5,427</w:t>
            </w:r>
          </w:p>
        </w:tc>
        <w:tc>
          <w:tcPr>
            <w:tcW w:w="160" w:type="dxa"/>
            <w:vAlign w:val="bottom"/>
            <w:tcBorders>
              <w:top w:val="single" w:sz="8" w:color="E0E0E0"/>
              <w:bottom w:val="single" w:sz="8" w:color="E0E0E0"/>
            </w:tcBorders>
          </w:tcPr>
          <w:p>
            <w:pPr>
              <w:spacing w:after="0"/>
              <w:rPr>
                <w:sz w:val="15"/>
                <w:szCs w:val="15"/>
                <w:color w:val="auto"/>
              </w:rPr>
            </w:pPr>
          </w:p>
        </w:tc>
        <w:tc>
          <w:tcPr>
            <w:tcW w:w="100" w:type="dxa"/>
            <w:vAlign w:val="bottom"/>
            <w:tcBorders>
              <w:top w:val="single" w:sz="8" w:color="E0E0E0"/>
              <w:bottom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17,131</w:t>
            </w:r>
          </w:p>
        </w:tc>
        <w:tc>
          <w:tcPr>
            <w:tcW w:w="100" w:type="dxa"/>
            <w:vAlign w:val="bottom"/>
            <w:tcBorders>
              <w:top w:val="single" w:sz="8" w:color="E0E0E0"/>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E0E0E0"/>
          </w:tcPr>
          <w:p>
            <w:pPr>
              <w:spacing w:after="0" w:line="197" w:lineRule="exact"/>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Capitalization of internally developed software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(32,764)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(56,111)</w:t>
            </w: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Asset acquisition, net of cash acquired</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Contingent consideration paid for acquisitions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360" w:type="dxa"/>
            <w:vAlign w:val="bottom"/>
            <w:tcBorders>
              <w:top w:val="single" w:sz="8" w:color="E0E0E0"/>
              <w:bottom w:val="single" w:sz="8" w:color="E0E0E0"/>
            </w:tcBorders>
            <w:shd w:val="clear" w:color="auto" w:fill="E0E0E0"/>
          </w:tcPr>
          <w:p>
            <w:pPr>
              <w:ind w:left="600"/>
              <w:spacing w:after="0" w:line="197" w:lineRule="exact"/>
              <w:rPr>
                <w:sz w:val="20"/>
                <w:szCs w:val="20"/>
                <w:color w:val="auto"/>
              </w:rPr>
            </w:pPr>
            <w:r>
              <w:rPr>
                <w:rFonts w:ascii="Arial" w:cs="Arial" w:eastAsia="Arial" w:hAnsi="Arial"/>
                <w:sz w:val="18"/>
                <w:szCs w:val="18"/>
                <w:color w:val="auto"/>
              </w:rPr>
              <w:t>Net cash used in investing activities</w:t>
            </w:r>
          </w:p>
        </w:tc>
        <w:tc>
          <w:tcPr>
            <w:tcW w:w="20" w:type="dxa"/>
            <w:vAlign w:val="bottom"/>
            <w:tcBorders>
              <w:top w:val="single" w:sz="8" w:color="E0E0E0"/>
              <w:bottom w:val="single" w:sz="8" w:color="E0E0E0"/>
            </w:tcBorders>
            <w:shd w:val="clear" w:color="auto" w:fill="E0E0E0"/>
          </w:tcPr>
          <w:p>
            <w:pPr>
              <w:spacing w:after="0"/>
              <w:rPr>
                <w:sz w:val="18"/>
                <w:szCs w:val="18"/>
                <w:color w:val="auto"/>
              </w:rPr>
            </w:pPr>
          </w:p>
        </w:tc>
        <w:tc>
          <w:tcPr>
            <w:tcW w:w="260" w:type="dxa"/>
            <w:vAlign w:val="bottom"/>
            <w:tcBorders>
              <w:top w:val="single" w:sz="8" w:color="auto"/>
              <w:bottom w:val="single" w:sz="8" w:color="auto"/>
            </w:tcBorders>
            <w:shd w:val="clear" w:color="auto" w:fill="E0E0E0"/>
          </w:tcPr>
          <w:p>
            <w:pPr>
              <w:spacing w:after="0"/>
              <w:rPr>
                <w:sz w:val="18"/>
                <w:szCs w:val="18"/>
                <w:color w:val="auto"/>
              </w:rPr>
            </w:pPr>
          </w:p>
        </w:tc>
        <w:tc>
          <w:tcPr>
            <w:tcW w:w="1000" w:type="dxa"/>
            <w:vAlign w:val="bottom"/>
            <w:tcBorders>
              <w:top w:val="single" w:sz="8" w:color="auto"/>
              <w:bottom w:val="single" w:sz="8" w:color="auto"/>
            </w:tcBorders>
            <w:shd w:val="clear" w:color="auto" w:fill="E0E0E0"/>
          </w:tcPr>
          <w:p>
            <w:pPr>
              <w:jc w:val="right"/>
              <w:spacing w:after="0" w:line="197" w:lineRule="exact"/>
              <w:rPr>
                <w:sz w:val="20"/>
                <w:szCs w:val="20"/>
                <w:color w:val="auto"/>
              </w:rPr>
            </w:pPr>
            <w:r>
              <w:rPr>
                <w:rFonts w:ascii="Arial" w:cs="Arial" w:eastAsia="Arial" w:hAnsi="Arial"/>
                <w:sz w:val="18"/>
                <w:szCs w:val="18"/>
                <w:color w:val="auto"/>
              </w:rPr>
              <w:t>(38,777)</w:t>
            </w:r>
          </w:p>
        </w:tc>
        <w:tc>
          <w:tcPr>
            <w:tcW w:w="160" w:type="dxa"/>
            <w:vAlign w:val="bottom"/>
            <w:tcBorders>
              <w:top w:val="single" w:sz="8" w:color="E0E0E0"/>
              <w:bottom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280" w:type="dxa"/>
            <w:vAlign w:val="bottom"/>
            <w:tcBorders>
              <w:top w:val="single" w:sz="8" w:color="auto"/>
              <w:bottom w:val="single" w:sz="8" w:color="auto"/>
            </w:tcBorders>
            <w:shd w:val="clear" w:color="auto" w:fill="E0E0E0"/>
          </w:tcPr>
          <w:p>
            <w:pPr>
              <w:spacing w:after="0"/>
              <w:rPr>
                <w:sz w:val="18"/>
                <w:szCs w:val="18"/>
                <w:color w:val="auto"/>
              </w:rPr>
            </w:pPr>
          </w:p>
        </w:tc>
        <w:tc>
          <w:tcPr>
            <w:tcW w:w="980" w:type="dxa"/>
            <w:vAlign w:val="bottom"/>
            <w:tcBorders>
              <w:top w:val="single" w:sz="8" w:color="auto"/>
              <w:bottom w:val="single" w:sz="8" w:color="auto"/>
            </w:tcBorders>
            <w:shd w:val="clear" w:color="auto" w:fill="E0E0E0"/>
          </w:tcPr>
          <w:p>
            <w:pPr>
              <w:jc w:val="right"/>
              <w:spacing w:after="0" w:line="197" w:lineRule="exact"/>
              <w:rPr>
                <w:sz w:val="20"/>
                <w:szCs w:val="20"/>
                <w:color w:val="auto"/>
              </w:rPr>
            </w:pPr>
            <w:r>
              <w:rPr>
                <w:rFonts w:ascii="Arial" w:cs="Arial" w:eastAsia="Arial" w:hAnsi="Arial"/>
                <w:sz w:val="18"/>
                <w:szCs w:val="18"/>
                <w:color w:val="auto"/>
              </w:rPr>
              <w:t>(24,663)</w:t>
            </w:r>
          </w:p>
        </w:tc>
        <w:tc>
          <w:tcPr>
            <w:tcW w:w="160" w:type="dxa"/>
            <w:vAlign w:val="bottom"/>
            <w:tcBorders>
              <w:top w:val="single" w:sz="8" w:color="E0E0E0"/>
              <w:bottom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280" w:type="dxa"/>
            <w:vAlign w:val="bottom"/>
            <w:tcBorders>
              <w:top w:val="single" w:sz="8" w:color="auto"/>
              <w:bottom w:val="single" w:sz="8" w:color="auto"/>
            </w:tcBorders>
            <w:shd w:val="clear" w:color="auto" w:fill="E0E0E0"/>
          </w:tcPr>
          <w:p>
            <w:pPr>
              <w:spacing w:after="0"/>
              <w:rPr>
                <w:sz w:val="18"/>
                <w:szCs w:val="18"/>
                <w:color w:val="auto"/>
              </w:rPr>
            </w:pPr>
          </w:p>
        </w:tc>
        <w:tc>
          <w:tcPr>
            <w:tcW w:w="1000" w:type="dxa"/>
            <w:vAlign w:val="bottom"/>
            <w:tcBorders>
              <w:top w:val="single" w:sz="8" w:color="auto"/>
              <w:bottom w:val="single" w:sz="8" w:color="auto"/>
            </w:tcBorders>
            <w:shd w:val="clear" w:color="auto" w:fill="E0E0E0"/>
          </w:tcPr>
          <w:p>
            <w:pPr>
              <w:jc w:val="right"/>
              <w:spacing w:after="0" w:line="197" w:lineRule="exact"/>
              <w:rPr>
                <w:sz w:val="20"/>
                <w:szCs w:val="20"/>
                <w:color w:val="auto"/>
              </w:rPr>
            </w:pPr>
            <w:r>
              <w:rPr>
                <w:rFonts w:ascii="Arial" w:cs="Arial" w:eastAsia="Arial" w:hAnsi="Arial"/>
                <w:sz w:val="18"/>
                <w:szCs w:val="18"/>
                <w:color w:val="auto"/>
              </w:rPr>
              <w:t>(62,914)</w:t>
            </w: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360" w:type="dxa"/>
            <w:vAlign w:val="bottom"/>
          </w:tcPr>
          <w:p>
            <w:pPr>
              <w:spacing w:after="0" w:line="177" w:lineRule="exact"/>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E0E0E0"/>
          </w:tcPr>
          <w:p>
            <w:pPr>
              <w:spacing w:after="0" w:line="189" w:lineRule="exact"/>
              <w:rPr>
                <w:sz w:val="20"/>
                <w:szCs w:val="20"/>
                <w:color w:val="auto"/>
              </w:rPr>
            </w:pPr>
            <w:r>
              <w:rPr>
                <w:rFonts w:ascii="Arial" w:cs="Arial" w:eastAsia="Arial" w:hAnsi="Arial"/>
                <w:sz w:val="18"/>
                <w:szCs w:val="18"/>
                <w:color w:val="auto"/>
              </w:rPr>
              <w:t>Proceeds from initial public offering, net of underwriting discount and</w:t>
            </w:r>
          </w:p>
        </w:tc>
        <w:tc>
          <w:tcPr>
            <w:tcW w:w="20" w:type="dxa"/>
            <w:vAlign w:val="bottom"/>
            <w:shd w:val="clear" w:color="auto" w:fill="E0E0E0"/>
          </w:tcPr>
          <w:p>
            <w:pPr>
              <w:spacing w:after="0"/>
              <w:rPr>
                <w:sz w:val="16"/>
                <w:szCs w:val="16"/>
                <w:color w:val="auto"/>
              </w:rPr>
            </w:pPr>
          </w:p>
        </w:tc>
        <w:tc>
          <w:tcPr>
            <w:tcW w:w="260" w:type="dxa"/>
            <w:vAlign w:val="bottom"/>
            <w:shd w:val="clear" w:color="auto" w:fill="E0E0E0"/>
          </w:tcPr>
          <w:p>
            <w:pPr>
              <w:spacing w:after="0"/>
              <w:rPr>
                <w:sz w:val="16"/>
                <w:szCs w:val="16"/>
                <w:color w:val="auto"/>
              </w:rPr>
            </w:pPr>
          </w:p>
        </w:tc>
        <w:tc>
          <w:tcPr>
            <w:tcW w:w="1160" w:type="dxa"/>
            <w:vAlign w:val="bottom"/>
            <w:gridSpan w:val="2"/>
            <w:vMerge w:val="restart"/>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spacing w:after="0"/>
              <w:rPr>
                <w:sz w:val="16"/>
                <w:szCs w:val="16"/>
                <w:color w:val="auto"/>
              </w:rPr>
            </w:pPr>
          </w:p>
        </w:tc>
        <w:tc>
          <w:tcPr>
            <w:tcW w:w="1140" w:type="dxa"/>
            <w:vAlign w:val="bottom"/>
            <w:gridSpan w:val="2"/>
            <w:vMerge w:val="restart"/>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spacing w:after="0"/>
              <w:rPr>
                <w:sz w:val="16"/>
                <w:szCs w:val="16"/>
                <w:color w:val="auto"/>
              </w:rPr>
            </w:pPr>
          </w:p>
        </w:tc>
        <w:tc>
          <w:tcPr>
            <w:tcW w:w="100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268,694</w:t>
            </w:r>
          </w:p>
        </w:tc>
        <w:tc>
          <w:tcPr>
            <w:tcW w:w="100" w:type="dxa"/>
            <w:vAlign w:val="bottom"/>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E0E0E0"/>
          </w:tcPr>
          <w:p>
            <w:pPr>
              <w:ind w:left="160"/>
              <w:spacing w:after="0"/>
              <w:rPr>
                <w:sz w:val="20"/>
                <w:szCs w:val="20"/>
                <w:color w:val="auto"/>
              </w:rPr>
            </w:pPr>
            <w:r>
              <w:rPr>
                <w:rFonts w:ascii="Arial" w:cs="Arial" w:eastAsia="Arial" w:hAnsi="Arial"/>
                <w:sz w:val="18"/>
                <w:szCs w:val="18"/>
                <w:color w:val="auto"/>
              </w:rPr>
              <w:t>commissions</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60" w:type="dxa"/>
            <w:vAlign w:val="bottom"/>
            <w:gridSpan w:val="2"/>
            <w:vMerge w:val="continue"/>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40" w:type="dxa"/>
            <w:vAlign w:val="bottom"/>
            <w:gridSpan w:val="2"/>
            <w:vMerge w:val="continue"/>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vMerge w:val="continue"/>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Payment of costs related to initial public offering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189"/>
        </w:trPr>
        <w:tc>
          <w:tcPr>
            <w:tcW w:w="6360" w:type="dxa"/>
            <w:vAlign w:val="bottom"/>
            <w:shd w:val="clear" w:color="auto" w:fill="E0E0E0"/>
          </w:tcPr>
          <w:p>
            <w:pPr>
              <w:spacing w:after="0" w:line="189" w:lineRule="exact"/>
              <w:rPr>
                <w:sz w:val="20"/>
                <w:szCs w:val="20"/>
                <w:color w:val="auto"/>
              </w:rPr>
            </w:pPr>
            <w:r>
              <w:rPr>
                <w:rFonts w:ascii="Arial" w:cs="Arial" w:eastAsia="Arial" w:hAnsi="Arial"/>
                <w:sz w:val="18"/>
                <w:szCs w:val="18"/>
                <w:color w:val="auto"/>
              </w:rPr>
              <w:t>Proceeds from issuance of common stock under public offering,</w:t>
            </w:r>
          </w:p>
        </w:tc>
        <w:tc>
          <w:tcPr>
            <w:tcW w:w="20" w:type="dxa"/>
            <w:vAlign w:val="bottom"/>
            <w:shd w:val="clear" w:color="auto" w:fill="E0E0E0"/>
          </w:tcPr>
          <w:p>
            <w:pPr>
              <w:spacing w:after="0"/>
              <w:rPr>
                <w:sz w:val="16"/>
                <w:szCs w:val="16"/>
                <w:color w:val="auto"/>
              </w:rPr>
            </w:pPr>
          </w:p>
        </w:tc>
        <w:tc>
          <w:tcPr>
            <w:tcW w:w="260" w:type="dxa"/>
            <w:vAlign w:val="bottom"/>
            <w:shd w:val="clear" w:color="auto" w:fill="E0E0E0"/>
          </w:tcPr>
          <w:p>
            <w:pPr>
              <w:spacing w:after="0"/>
              <w:rPr>
                <w:sz w:val="16"/>
                <w:szCs w:val="16"/>
                <w:color w:val="auto"/>
              </w:rPr>
            </w:pPr>
          </w:p>
        </w:tc>
        <w:tc>
          <w:tcPr>
            <w:tcW w:w="100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261,119</w:t>
            </w:r>
          </w:p>
        </w:tc>
        <w:tc>
          <w:tcPr>
            <w:tcW w:w="16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spacing w:after="0"/>
              <w:rPr>
                <w:sz w:val="16"/>
                <w:szCs w:val="16"/>
                <w:color w:val="auto"/>
              </w:rPr>
            </w:pPr>
          </w:p>
        </w:tc>
        <w:tc>
          <w:tcPr>
            <w:tcW w:w="1140" w:type="dxa"/>
            <w:vAlign w:val="bottom"/>
            <w:gridSpan w:val="2"/>
            <w:vMerge w:val="restart"/>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spacing w:after="0"/>
              <w:rPr>
                <w:sz w:val="16"/>
                <w:szCs w:val="16"/>
                <w:color w:val="auto"/>
              </w:rPr>
            </w:pPr>
          </w:p>
        </w:tc>
        <w:tc>
          <w:tcPr>
            <w:tcW w:w="1100" w:type="dxa"/>
            <w:vAlign w:val="bottom"/>
            <w:gridSpan w:val="2"/>
            <w:vMerge w:val="restart"/>
            <w:shd w:val="clear" w:color="auto" w:fill="E0E0E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E0E0E0"/>
          </w:tcPr>
          <w:p>
            <w:pPr>
              <w:ind w:left="160"/>
              <w:spacing w:after="0"/>
              <w:rPr>
                <w:sz w:val="20"/>
                <w:szCs w:val="20"/>
                <w:color w:val="auto"/>
              </w:rPr>
            </w:pPr>
            <w:r>
              <w:rPr>
                <w:rFonts w:ascii="Arial" w:cs="Arial" w:eastAsia="Arial" w:hAnsi="Arial"/>
                <w:sz w:val="18"/>
                <w:szCs w:val="18"/>
                <w:color w:val="auto"/>
              </w:rPr>
              <w:t>net of underwriting discount and commissions</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0" w:type="dxa"/>
            <w:vAlign w:val="bottom"/>
            <w:vMerge w:val="continue"/>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40" w:type="dxa"/>
            <w:vAlign w:val="bottom"/>
            <w:gridSpan w:val="2"/>
            <w:vMerge w:val="continue"/>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00" w:type="dxa"/>
            <w:vAlign w:val="bottom"/>
            <w:gridSpan w:val="2"/>
            <w:vMerge w:val="continue"/>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Payments of costs related to public offering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Payment of long-term debt issuance costs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Repayment of long-term debt</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8"/>
                <w:szCs w:val="18"/>
                <w:color w:val="auto"/>
              </w:rPr>
              <w:t>Proceeds from issuance of redeemable convertible preferred stock,</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59,735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60"/>
              <w:spacing w:after="0"/>
              <w:rPr>
                <w:sz w:val="20"/>
                <w:szCs w:val="20"/>
                <w:color w:val="auto"/>
              </w:rPr>
            </w:pPr>
            <w:r>
              <w:rPr>
                <w:rFonts w:ascii="Arial" w:cs="Arial" w:eastAsia="Arial" w:hAnsi="Arial"/>
                <w:sz w:val="18"/>
                <w:szCs w:val="18"/>
                <w:color w:val="auto"/>
              </w:rPr>
              <w:t>net of issuance costs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Proceeds from exercise of warrants</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Contingent consideration paid for acquisitions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Payments of tax withholdings for net settled option exercises</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16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(8,483)</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8"/>
                <w:szCs w:val="18"/>
                <w:color w:val="auto"/>
              </w:rPr>
              <w:t>Proceeds from the issuance of stock under Employee Stock</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2,691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Borders>
              <w:bottom w:val="single" w:sz="8" w:color="E0E0E0"/>
            </w:tcBorders>
            <w:shd w:val="clear" w:color="auto" w:fill="E0E0E0"/>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Borders>
              <w:bottom w:val="single" w:sz="8" w:color="E0E0E0"/>
            </w:tcBorders>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10,360</w:t>
            </w:r>
          </w:p>
        </w:tc>
        <w:tc>
          <w:tcPr>
            <w:tcW w:w="16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E0E0E0"/>
            </w:tcBorders>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6,963</w:t>
            </w:r>
          </w:p>
        </w:tc>
        <w:tc>
          <w:tcPr>
            <w:tcW w:w="16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E0E0E0"/>
            </w:tcBorders>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360" w:type="dxa"/>
            <w:vAlign w:val="bottom"/>
            <w:tcBorders>
              <w:bottom w:val="single" w:sz="8" w:color="E0E0E0"/>
            </w:tcBorders>
          </w:tcPr>
          <w:p>
            <w:pPr>
              <w:ind w:left="600"/>
              <w:spacing w:after="0" w:line="177" w:lineRule="exact"/>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263,418</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(23,970)</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327,512</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60" w:type="dxa"/>
            <w:vAlign w:val="bottom"/>
            <w:tcBorders>
              <w:bottom w:val="single" w:sz="8" w:color="E0E0E0"/>
            </w:tcBorders>
            <w:shd w:val="clear" w:color="auto" w:fill="E0E0E0"/>
          </w:tcPr>
          <w:p>
            <w:pPr>
              <w:spacing w:after="0" w:line="197" w:lineRule="exact"/>
              <w:rPr>
                <w:sz w:val="20"/>
                <w:szCs w:val="20"/>
                <w:color w:val="auto"/>
              </w:rPr>
            </w:pPr>
            <w:r>
              <w:rPr>
                <w:rFonts w:ascii="Arial" w:cs="Arial" w:eastAsia="Arial" w:hAnsi="Arial"/>
                <w:sz w:val="18"/>
                <w:szCs w:val="18"/>
                <w:color w:val="auto"/>
              </w:rPr>
              <w:t>Effect of exchange rates changes on cash and cash equivalents</w:t>
            </w:r>
          </w:p>
        </w:tc>
        <w:tc>
          <w:tcPr>
            <w:tcW w:w="20" w:type="dxa"/>
            <w:vAlign w:val="bottom"/>
            <w:tcBorders>
              <w:bottom w:val="single" w:sz="8" w:color="E0E0E0"/>
            </w:tcBorders>
            <w:shd w:val="clear" w:color="auto" w:fill="E0E0E0"/>
          </w:tcPr>
          <w:p>
            <w:pPr>
              <w:spacing w:after="0"/>
              <w:rPr>
                <w:sz w:val="18"/>
                <w:szCs w:val="18"/>
                <w:color w:val="auto"/>
              </w:rPr>
            </w:pPr>
          </w:p>
        </w:tc>
        <w:tc>
          <w:tcPr>
            <w:tcW w:w="26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jc w:val="right"/>
              <w:spacing w:after="0" w:line="197" w:lineRule="exact"/>
              <w:rPr>
                <w:sz w:val="20"/>
                <w:szCs w:val="20"/>
                <w:color w:val="auto"/>
              </w:rPr>
            </w:pPr>
            <w:r>
              <w:rPr>
                <w:rFonts w:ascii="Arial" w:cs="Arial" w:eastAsia="Arial" w:hAnsi="Arial"/>
                <w:sz w:val="18"/>
                <w:szCs w:val="18"/>
                <w:color w:val="auto"/>
              </w:rPr>
              <w:t>(1,835)</w:t>
            </w:r>
          </w:p>
        </w:tc>
        <w:tc>
          <w:tcPr>
            <w:tcW w:w="160" w:type="dxa"/>
            <w:vAlign w:val="bottom"/>
            <w:tcBorders>
              <w:bottom w:val="single" w:sz="8" w:color="E0E0E0"/>
            </w:tcBorders>
            <w:shd w:val="clear" w:color="auto" w:fill="E0E0E0"/>
          </w:tcPr>
          <w:p>
            <w:pPr>
              <w:spacing w:after="0"/>
              <w:rPr>
                <w:sz w:val="18"/>
                <w:szCs w:val="18"/>
                <w:color w:val="auto"/>
              </w:rPr>
            </w:pPr>
          </w:p>
        </w:tc>
        <w:tc>
          <w:tcPr>
            <w:tcW w:w="100" w:type="dxa"/>
            <w:vAlign w:val="bottom"/>
            <w:tcBorders>
              <w:bottom w:val="single" w:sz="8" w:color="E0E0E0"/>
            </w:tcBorders>
            <w:shd w:val="clear" w:color="auto" w:fill="E0E0E0"/>
          </w:tcPr>
          <w:p>
            <w:pPr>
              <w:spacing w:after="0"/>
              <w:rPr>
                <w:sz w:val="18"/>
                <w:szCs w:val="18"/>
                <w:color w:val="auto"/>
              </w:rPr>
            </w:pPr>
          </w:p>
        </w:tc>
        <w:tc>
          <w:tcPr>
            <w:tcW w:w="280" w:type="dxa"/>
            <w:vAlign w:val="bottom"/>
            <w:tcBorders>
              <w:bottom w:val="single" w:sz="8" w:color="auto"/>
            </w:tcBorders>
            <w:shd w:val="clear" w:color="auto" w:fill="E0E0E0"/>
          </w:tcPr>
          <w:p>
            <w:pPr>
              <w:spacing w:after="0"/>
              <w:rPr>
                <w:sz w:val="18"/>
                <w:szCs w:val="18"/>
                <w:color w:val="auto"/>
              </w:rPr>
            </w:pPr>
          </w:p>
        </w:tc>
        <w:tc>
          <w:tcPr>
            <w:tcW w:w="980" w:type="dxa"/>
            <w:vAlign w:val="bottom"/>
            <w:tcBorders>
              <w:bottom w:val="single" w:sz="8" w:color="auto"/>
            </w:tcBorders>
            <w:shd w:val="clear" w:color="auto" w:fill="E0E0E0"/>
          </w:tcPr>
          <w:p>
            <w:pPr>
              <w:jc w:val="right"/>
              <w:spacing w:after="0" w:line="197" w:lineRule="exact"/>
              <w:rPr>
                <w:sz w:val="20"/>
                <w:szCs w:val="20"/>
                <w:color w:val="auto"/>
              </w:rPr>
            </w:pPr>
            <w:r>
              <w:rPr>
                <w:rFonts w:ascii="Arial" w:cs="Arial" w:eastAsia="Arial" w:hAnsi="Arial"/>
                <w:sz w:val="18"/>
                <w:szCs w:val="18"/>
                <w:color w:val="auto"/>
              </w:rPr>
              <w:t>5,023</w:t>
            </w:r>
          </w:p>
        </w:tc>
        <w:tc>
          <w:tcPr>
            <w:tcW w:w="160" w:type="dxa"/>
            <w:vAlign w:val="bottom"/>
            <w:tcBorders>
              <w:bottom w:val="single" w:sz="8" w:color="E0E0E0"/>
            </w:tcBorders>
            <w:shd w:val="clear" w:color="auto" w:fill="E0E0E0"/>
          </w:tcPr>
          <w:p>
            <w:pPr>
              <w:spacing w:after="0"/>
              <w:rPr>
                <w:sz w:val="18"/>
                <w:szCs w:val="18"/>
                <w:color w:val="auto"/>
              </w:rPr>
            </w:pPr>
          </w:p>
        </w:tc>
        <w:tc>
          <w:tcPr>
            <w:tcW w:w="100" w:type="dxa"/>
            <w:vAlign w:val="bottom"/>
            <w:tcBorders>
              <w:bottom w:val="single" w:sz="8" w:color="E0E0E0"/>
            </w:tcBorders>
            <w:shd w:val="clear" w:color="auto" w:fill="E0E0E0"/>
          </w:tcPr>
          <w:p>
            <w:pPr>
              <w:spacing w:after="0"/>
              <w:rPr>
                <w:sz w:val="18"/>
                <w:szCs w:val="18"/>
                <w:color w:val="auto"/>
              </w:rPr>
            </w:pPr>
          </w:p>
        </w:tc>
        <w:tc>
          <w:tcPr>
            <w:tcW w:w="28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jc w:val="right"/>
              <w:spacing w:after="0" w:line="197" w:lineRule="exact"/>
              <w:rPr>
                <w:sz w:val="20"/>
                <w:szCs w:val="20"/>
                <w:color w:val="auto"/>
              </w:rPr>
            </w:pPr>
            <w:r>
              <w:rPr>
                <w:rFonts w:ascii="Arial" w:cs="Arial" w:eastAsia="Arial" w:hAnsi="Arial"/>
                <w:sz w:val="18"/>
                <w:szCs w:val="18"/>
                <w:color w:val="auto"/>
              </w:rPr>
              <w:t>(1,421)</w:t>
            </w:r>
          </w:p>
        </w:tc>
        <w:tc>
          <w:tcPr>
            <w:tcW w:w="100" w:type="dxa"/>
            <w:vAlign w:val="bottom"/>
            <w:tcBorders>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360" w:type="dxa"/>
            <w:vAlign w:val="bottom"/>
          </w:tcPr>
          <w:p>
            <w:pPr>
              <w:spacing w:after="0" w:line="157" w:lineRule="exact"/>
              <w:rPr>
                <w:sz w:val="20"/>
                <w:szCs w:val="20"/>
                <w:color w:val="auto"/>
              </w:rPr>
            </w:pPr>
            <w:r>
              <w:rPr>
                <w:rFonts w:ascii="Arial" w:cs="Arial" w:eastAsia="Arial" w:hAnsi="Arial"/>
                <w:sz w:val="18"/>
                <w:szCs w:val="18"/>
                <w:b w:val="1"/>
                <w:bCs w:val="1"/>
                <w:color w:val="auto"/>
              </w:rPr>
              <w:t>Net increase (decrease) in cash, cash equivalents and</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160"/>
              <w:spacing w:after="0"/>
              <w:rPr>
                <w:sz w:val="20"/>
                <w:szCs w:val="20"/>
                <w:color w:val="auto"/>
              </w:rPr>
            </w:pPr>
            <w:r>
              <w:rPr>
                <w:rFonts w:ascii="Arial" w:cs="Arial" w:eastAsia="Arial" w:hAnsi="Arial"/>
                <w:sz w:val="18"/>
                <w:szCs w:val="18"/>
                <w:b w:val="1"/>
                <w:bCs w:val="1"/>
                <w:color w:val="auto"/>
              </w:rPr>
              <w:t>restricted cash</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E0E0E0"/>
          </w:tcPr>
          <w:p>
            <w:pPr>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80" w:type="dxa"/>
            <w:vAlign w:val="bottom"/>
            <w:gridSpan w:val="2"/>
            <w:shd w:val="clear" w:color="auto" w:fill="E0E0E0"/>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351,177</w:t>
            </w:r>
          </w:p>
        </w:tc>
        <w:tc>
          <w:tcPr>
            <w:tcW w:w="160" w:type="dxa"/>
            <w:vAlign w:val="bottom"/>
            <w:shd w:val="clear" w:color="auto" w:fill="E0E0E0"/>
          </w:tcPr>
          <w:p>
            <w:pPr>
              <w:spacing w:after="0"/>
              <w:rPr>
                <w:sz w:val="19"/>
                <w:szCs w:val="19"/>
                <w:color w:val="auto"/>
              </w:rPr>
            </w:pPr>
          </w:p>
        </w:tc>
        <w:tc>
          <w:tcPr>
            <w:tcW w:w="380" w:type="dxa"/>
            <w:vAlign w:val="bottom"/>
            <w:gridSpan w:val="2"/>
            <w:shd w:val="clear" w:color="auto" w:fill="E0E0E0"/>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389,360</w:t>
            </w:r>
          </w:p>
        </w:tc>
        <w:tc>
          <w:tcPr>
            <w:tcW w:w="160" w:type="dxa"/>
            <w:vAlign w:val="bottom"/>
            <w:shd w:val="clear" w:color="auto" w:fill="E0E0E0"/>
          </w:tcPr>
          <w:p>
            <w:pPr>
              <w:spacing w:after="0"/>
              <w:rPr>
                <w:sz w:val="19"/>
                <w:szCs w:val="19"/>
                <w:color w:val="auto"/>
              </w:rPr>
            </w:pPr>
          </w:p>
        </w:tc>
        <w:tc>
          <w:tcPr>
            <w:tcW w:w="380" w:type="dxa"/>
            <w:vAlign w:val="bottom"/>
            <w:gridSpan w:val="2"/>
            <w:shd w:val="clear" w:color="auto" w:fill="E0E0E0"/>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109,052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360" w:type="dxa"/>
            <w:vAlign w:val="bottom"/>
            <w:tcBorders>
              <w:top w:val="single" w:sz="8" w:color="E0E0E0"/>
            </w:tcBorders>
          </w:tcPr>
          <w:p>
            <w:pPr>
              <w:spacing w:after="0" w:line="177" w:lineRule="exact"/>
              <w:rPr>
                <w:sz w:val="20"/>
                <w:szCs w:val="20"/>
                <w:color w:val="auto"/>
              </w:rPr>
            </w:pPr>
            <w:r>
              <w:rPr>
                <w:rFonts w:ascii="Arial" w:cs="Arial" w:eastAsia="Arial" w:hAnsi="Arial"/>
                <w:sz w:val="18"/>
                <w:szCs w:val="18"/>
                <w:b w:val="1"/>
                <w:bCs w:val="1"/>
                <w:color w:val="auto"/>
              </w:rPr>
              <w:t>Cash, cash equivalents and restricted cash, end of year</w:t>
            </w:r>
          </w:p>
        </w:tc>
        <w:tc>
          <w:tcPr>
            <w:tcW w:w="20" w:type="dxa"/>
            <w:vAlign w:val="bottom"/>
            <w:tcBorders>
              <w:top w:val="single" w:sz="8" w:color="E0E0E0"/>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654,608</w:t>
            </w:r>
          </w:p>
        </w:tc>
        <w:tc>
          <w:tcPr>
            <w:tcW w:w="160" w:type="dxa"/>
            <w:vAlign w:val="bottom"/>
            <w:tcBorders>
              <w:top w:val="single" w:sz="8" w:color="E0E0E0"/>
            </w:tcBorders>
          </w:tcPr>
          <w:p>
            <w:pPr>
              <w:spacing w:after="0"/>
              <w:rPr>
                <w:sz w:val="15"/>
                <w:szCs w:val="15"/>
                <w:color w:val="auto"/>
              </w:rPr>
            </w:pPr>
          </w:p>
        </w:tc>
        <w:tc>
          <w:tcPr>
            <w:tcW w:w="100" w:type="dxa"/>
            <w:vAlign w:val="bottom"/>
            <w:tcBorders>
              <w:top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351,177</w:t>
            </w:r>
          </w:p>
        </w:tc>
        <w:tc>
          <w:tcPr>
            <w:tcW w:w="160" w:type="dxa"/>
            <w:vAlign w:val="bottom"/>
            <w:tcBorders>
              <w:top w:val="single" w:sz="8" w:color="E0E0E0"/>
            </w:tcBorders>
          </w:tcPr>
          <w:p>
            <w:pPr>
              <w:spacing w:after="0"/>
              <w:rPr>
                <w:sz w:val="15"/>
                <w:szCs w:val="15"/>
                <w:color w:val="auto"/>
              </w:rPr>
            </w:pPr>
          </w:p>
        </w:tc>
        <w:tc>
          <w:tcPr>
            <w:tcW w:w="100" w:type="dxa"/>
            <w:vAlign w:val="bottom"/>
            <w:tcBorders>
              <w:top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color w:val="auto"/>
              </w:rPr>
              <w:t>389,360</w:t>
            </w:r>
          </w:p>
        </w:tc>
        <w:tc>
          <w:tcPr>
            <w:tcW w:w="100" w:type="dxa"/>
            <w:vAlign w:val="bottom"/>
            <w:tcBorders>
              <w:top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0800"/>
          </w:cols>
          <w:pgMar w:left="720" w:top="1156" w:right="720" w:bottom="186"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FLYWIRE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CASH FLOWS</w:t>
      </w:r>
    </w:p>
    <w:p>
      <w:pPr>
        <w:jc w:val="center"/>
        <w:spacing w:after="0"/>
        <w:rPr>
          <w:sz w:val="20"/>
          <w:szCs w:val="20"/>
          <w:color w:val="auto"/>
        </w:rPr>
      </w:pPr>
      <w:r>
        <w:rPr>
          <w:rFonts w:ascii="Arial" w:cs="Arial" w:eastAsia="Arial" w:hAnsi="Arial"/>
          <w:sz w:val="20"/>
          <w:szCs w:val="20"/>
          <w:color w:val="auto"/>
        </w:rPr>
        <w:t>(Amounts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1"/>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1"/>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197"/>
        </w:trPr>
        <w:tc>
          <w:tcPr>
            <w:tcW w:w="6360" w:type="dxa"/>
            <w:vAlign w:val="bottom"/>
            <w:shd w:val="clear" w:color="auto" w:fill="E0E0E0"/>
          </w:tcPr>
          <w:p>
            <w:pPr>
              <w:spacing w:after="0" w:line="197"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Cash paid during the period for interest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7"/>
                <w:szCs w:val="17"/>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Issuance of common stock for acquisition</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4,287</w:t>
            </w: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100" w:type="dxa"/>
            <w:vAlign w:val="bottom"/>
            <w:gridSpan w:val="2"/>
            <w:shd w:val="clear" w:color="auto" w:fill="E0E0E0"/>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Issuance of common stock for retention bonus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654,608</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349,177</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385,360</w:t>
            </w:r>
          </w:p>
        </w:tc>
        <w:tc>
          <w:tcPr>
            <w:tcW w:w="100" w:type="dxa"/>
            <w:vAlign w:val="bottom"/>
          </w:tcPr>
          <w:p>
            <w:pPr>
              <w:spacing w:after="0"/>
              <w:rPr>
                <w:sz w:val="17"/>
                <w:szCs w:val="17"/>
                <w:color w:val="auto"/>
              </w:rPr>
            </w:pPr>
          </w:p>
        </w:tc>
      </w:tr>
      <w:tr>
        <w:trPr>
          <w:trHeight w:val="207"/>
        </w:trPr>
        <w:tc>
          <w:tcPr>
            <w:tcW w:w="6360" w:type="dxa"/>
            <w:vAlign w:val="bottom"/>
            <w:shd w:val="clear" w:color="auto" w:fill="E0E0E0"/>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E0E0E0"/>
          </w:tcPr>
          <w:p>
            <w:pPr>
              <w:spacing w:after="0"/>
              <w:rPr>
                <w:sz w:val="17"/>
                <w:szCs w:val="17"/>
                <w:color w:val="auto"/>
              </w:rPr>
            </w:pPr>
          </w:p>
        </w:tc>
        <w:tc>
          <w:tcPr>
            <w:tcW w:w="260" w:type="dxa"/>
            <w:vAlign w:val="bottom"/>
            <w:tcBorders>
              <w:bottom w:val="single" w:sz="8" w:color="auto"/>
            </w:tcBorders>
            <w:shd w:val="clear" w:color="auto" w:fill="E0E0E0"/>
          </w:tcPr>
          <w:p>
            <w:pPr>
              <w:spacing w:after="0"/>
              <w:rPr>
                <w:sz w:val="17"/>
                <w:szCs w:val="17"/>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7"/>
                <w:szCs w:val="17"/>
                <w:color w:val="auto"/>
              </w:rPr>
            </w:pPr>
          </w:p>
        </w:tc>
        <w:tc>
          <w:tcPr>
            <w:tcW w:w="280" w:type="dxa"/>
            <w:vAlign w:val="bottom"/>
            <w:tcBorders>
              <w:bottom w:val="single" w:sz="8" w:color="auto"/>
            </w:tcBorders>
            <w:shd w:val="clear" w:color="auto" w:fill="E0E0E0"/>
          </w:tcPr>
          <w:p>
            <w:pPr>
              <w:spacing w:after="0"/>
              <w:rPr>
                <w:sz w:val="17"/>
                <w:szCs w:val="17"/>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E0E0E0"/>
          </w:tcPr>
          <w:p>
            <w:pPr>
              <w:spacing w:after="0"/>
              <w:rPr>
                <w:sz w:val="17"/>
                <w:szCs w:val="17"/>
                <w:color w:val="auto"/>
              </w:rPr>
            </w:pPr>
          </w:p>
        </w:tc>
        <w:tc>
          <w:tcPr>
            <w:tcW w:w="280" w:type="dxa"/>
            <w:vAlign w:val="bottom"/>
            <w:tcBorders>
              <w:bottom w:val="single" w:sz="8" w:color="auto"/>
            </w:tcBorders>
            <w:shd w:val="clear" w:color="auto" w:fill="E0E0E0"/>
          </w:tcPr>
          <w:p>
            <w:pPr>
              <w:spacing w:after="0"/>
              <w:rPr>
                <w:sz w:val="17"/>
                <w:szCs w:val="17"/>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E0E0E0"/>
          </w:tcPr>
          <w:p>
            <w:pPr>
              <w:spacing w:after="0"/>
              <w:rPr>
                <w:sz w:val="17"/>
                <w:szCs w:val="17"/>
                <w:color w:val="auto"/>
              </w:rPr>
            </w:pPr>
          </w:p>
        </w:tc>
      </w:tr>
      <w:tr>
        <w:trPr>
          <w:trHeight w:val="197"/>
        </w:trPr>
        <w:tc>
          <w:tcPr>
            <w:tcW w:w="6360" w:type="dxa"/>
            <w:vAlign w:val="bottom"/>
          </w:tcPr>
          <w:p>
            <w:pPr>
              <w:ind w:left="200"/>
              <w:spacing w:after="0" w:line="197" w:lineRule="exact"/>
              <w:rPr>
                <w:sz w:val="20"/>
                <w:szCs w:val="20"/>
                <w:color w:val="auto"/>
              </w:rPr>
            </w:pPr>
            <w:r>
              <w:rPr>
                <w:rFonts w:ascii="Arial" w:cs="Arial" w:eastAsia="Arial" w:hAnsi="Arial"/>
                <w:sz w:val="18"/>
                <w:szCs w:val="18"/>
                <w:color w:val="auto"/>
              </w:rPr>
              <w:t>Cash, cash equivalents and restricted cash</w:t>
            </w: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654,608</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7"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351,177</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7"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389,360</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0800"/>
          </w:cols>
          <w:pgMar w:left="720" w:top="1156" w:right="720" w:bottom="186" w:gutter="0" w:footer="0" w:header="0"/>
          <w:type w:val="continuous"/>
        </w:sectPr>
      </w:pPr>
    </w:p>
    <w:bookmarkStart w:id="117" w:name="page118"/>
    <w:bookmarkEnd w:id="117"/>
    <w:p>
      <w:pPr>
        <w:jc w:val="center"/>
        <w:ind w:right="-19"/>
        <w:spacing w:after="0"/>
        <w:rPr>
          <w:sz w:val="20"/>
          <w:szCs w:val="20"/>
          <w:color w:val="auto"/>
        </w:rPr>
      </w:pPr>
      <w:r>
        <w:rPr>
          <w:rFonts w:ascii="Arial" w:cs="Arial" w:eastAsia="Arial" w:hAnsi="Arial"/>
          <w:sz w:val="20"/>
          <w:szCs w:val="20"/>
          <w:b w:val="1"/>
          <w:bCs w:val="1"/>
          <w:color w:val="auto"/>
        </w:rPr>
        <w:t>FLYWIRE CORPORATION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Business Overview and Summary of Significant Accounting Policies</w:t>
      </w:r>
    </w:p>
    <w:p>
      <w:pPr>
        <w:spacing w:after="0" w:line="204"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40"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Follow-On Public Offering</w:t>
      </w:r>
    </w:p>
    <w:p>
      <w:pPr>
        <w:spacing w:after="0" w:line="196" w:lineRule="exact"/>
        <w:rPr>
          <w:sz w:val="20"/>
          <w:szCs w:val="20"/>
          <w:color w:val="auto"/>
        </w:rPr>
      </w:pPr>
    </w:p>
    <w:p>
      <w:pPr>
        <w:ind w:right="200" w:firstLine="490"/>
        <w:spacing w:after="0" w:line="250" w:lineRule="auto"/>
        <w:rPr>
          <w:sz w:val="20"/>
          <w:szCs w:val="20"/>
          <w:color w:val="auto"/>
        </w:rPr>
      </w:pPr>
      <w:r>
        <w:rPr>
          <w:rFonts w:ascii="Arial" w:cs="Arial" w:eastAsia="Arial" w:hAnsi="Arial"/>
          <w:sz w:val="20"/>
          <w:szCs w:val="20"/>
          <w:color w:val="auto"/>
        </w:rPr>
        <w:t>On August 9, 2023, the Company entered into an Underwriting Agreement with Goldman Sachs &amp; Co. LLC, as representative of the several Underwriters, in connection with the offer and sale by the Company of 8,000,000 shares of voting common stock of the Company, par value $0.0001 per share, at a price to the public of $32.00 per share. In addition, pursuant to the terms of the Underwriting Agreement, the Company granted the Underwriters' Option to purchase up to 1,200,000 additional shares of Common Stock (collectively, the Public Offering).</w:t>
      </w:r>
    </w:p>
    <w:p>
      <w:pPr>
        <w:spacing w:after="0" w:line="152"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On August 14, 2023, the Company sold 8,000,000 shares of its voting common stock and on September 12, 2023, the Underwriters exercised the Underwriters’ Option in part and purchased additional 500,000 shares of the Company's voting common stock, in each instance at a price to the public of $32.00 per share. The Company raised $260.1 million in net proceeds, after deducting underwriting discounts and commissions of $10.9 million and other offering costs of $1.1 million.</w:t>
      </w:r>
    </w:p>
    <w:p>
      <w:pPr>
        <w:spacing w:after="0" w:line="152" w:lineRule="exact"/>
        <w:rPr>
          <w:sz w:val="20"/>
          <w:szCs w:val="20"/>
          <w:color w:val="auto"/>
        </w:rPr>
      </w:pPr>
    </w:p>
    <w:p>
      <w:pPr>
        <w:ind w:right="180" w:firstLine="490"/>
        <w:spacing w:after="0" w:line="261" w:lineRule="auto"/>
        <w:rPr>
          <w:sz w:val="20"/>
          <w:szCs w:val="20"/>
          <w:color w:val="auto"/>
        </w:rPr>
      </w:pPr>
      <w:r>
        <w:rPr>
          <w:rFonts w:ascii="Arial" w:cs="Arial" w:eastAsia="Arial" w:hAnsi="Arial"/>
          <w:sz w:val="20"/>
          <w:szCs w:val="20"/>
          <w:color w:val="auto"/>
        </w:rPr>
        <w:t>The Company intends to use the net proceeds from the Public Offering for general corporate purposes, which may include expanding its current business through acquisitions of, or investments in, other businesses, products or technologies.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 (IPO)</w:t>
      </w:r>
    </w:p>
    <w:p>
      <w:pPr>
        <w:spacing w:after="0" w:line="196"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auto"/>
        </w:rPr>
        <w:t>On May 28, 2021, in connection with the Company’s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46" w:lineRule="exact"/>
        <w:rPr>
          <w:sz w:val="20"/>
          <w:szCs w:val="20"/>
          <w:color w:val="auto"/>
        </w:rPr>
      </w:pPr>
    </w:p>
    <w:p>
      <w:pPr>
        <w:ind w:right="280" w:firstLine="490"/>
        <w:spacing w:after="0" w:line="250" w:lineRule="auto"/>
        <w:rPr>
          <w:sz w:val="20"/>
          <w:szCs w:val="20"/>
          <w:color w:val="auto"/>
        </w:rPr>
      </w:pPr>
      <w:r>
        <w:rPr>
          <w:rFonts w:ascii="Arial" w:cs="Arial" w:eastAsia="Arial" w:hAnsi="Arial"/>
          <w:sz w:val="20"/>
          <w:szCs w:val="20"/>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underwriters' option to purchase additional shares. The Company received $263.8 million in net proceeds from the IPO, after deducting underwriting discounts and commissions of $19.4 million and other offering costs of $4.9 million.</w:t>
      </w:r>
    </w:p>
    <w:p>
      <w:pPr>
        <w:spacing w:after="0" w:line="152" w:lineRule="exact"/>
        <w:rPr>
          <w:sz w:val="20"/>
          <w:szCs w:val="20"/>
          <w:color w:val="auto"/>
        </w:rPr>
      </w:pPr>
    </w:p>
    <w:p>
      <w:pPr>
        <w:ind w:right="240" w:firstLine="490"/>
        <w:spacing w:after="0" w:line="259" w:lineRule="auto"/>
        <w:rPr>
          <w:sz w:val="20"/>
          <w:szCs w:val="20"/>
          <w:color w:val="auto"/>
        </w:rPr>
      </w:pPr>
      <w:r>
        <w:rPr>
          <w:rFonts w:ascii="Arial" w:cs="Arial" w:eastAsia="Arial" w:hAnsi="Arial"/>
          <w:sz w:val="19"/>
          <w:szCs w:val="19"/>
          <w:color w:val="auto"/>
        </w:rPr>
        <w:t>Prior to the IPO, the Company issued Series A convertible preferred stock, Series B convertible preferred stock, Series B1-NV convertible preferred stock, Series B1 convertible preferred stock, Series C convertible preferred stock, Series D convertible preferred stock, Series E-1 redeemable convertible preferred stock and Series E-2 redeemable convertible preferred stock. 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62,214,406 shares of voting common stock and 5,988,378 shares of non-voting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w:t>
      </w:r>
    </w:p>
    <w:p>
      <w:pPr>
        <w:sectPr>
          <w:pgSz w:w="12240" w:h="15840" w:orient="portrait"/>
          <w:cols w:equalWidth="0" w:num="1">
            <w:col w:w="10780"/>
          </w:cols>
          <w:pgMar w:left="720" w:top="115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0780"/>
          </w:cols>
          <w:pgMar w:left="720" w:top="1156" w:right="740" w:bottom="186" w:gutter="0" w:footer="0" w:header="0"/>
          <w:type w:val="continuous"/>
        </w:sectPr>
      </w:pPr>
    </w:p>
    <w:bookmarkStart w:id="118" w:name="page119"/>
    <w:bookmarkEnd w:id="118"/>
    <w:p>
      <w:pPr>
        <w:ind w:right="1040"/>
        <w:spacing w:after="0" w:line="282" w:lineRule="auto"/>
        <w:rPr>
          <w:sz w:val="20"/>
          <w:szCs w:val="20"/>
          <w:color w:val="auto"/>
        </w:rPr>
      </w:pPr>
      <w:r>
        <w:rPr>
          <w:rFonts w:ascii="Arial" w:cs="Arial" w:eastAsia="Arial" w:hAnsi="Arial"/>
          <w:sz w:val="20"/>
          <w:szCs w:val="20"/>
          <w:color w:val="auto"/>
        </w:rPr>
        <w:t>stock and the associated preferred stock warrant liabilities were remeasured to its fair value of $6.3 million and reclassified to additional paid-in capital.</w:t>
      </w:r>
    </w:p>
    <w:p>
      <w:pPr>
        <w:spacing w:after="0" w:line="120" w:lineRule="exact"/>
        <w:rPr>
          <w:sz w:val="20"/>
          <w:szCs w:val="20"/>
          <w:color w:val="auto"/>
        </w:rPr>
      </w:pPr>
    </w:p>
    <w:p>
      <w:pPr>
        <w:ind w:right="360" w:firstLine="490"/>
        <w:spacing w:after="0" w:line="261" w:lineRule="auto"/>
        <w:rPr>
          <w:sz w:val="20"/>
          <w:szCs w:val="20"/>
          <w:color w:val="auto"/>
        </w:rPr>
      </w:pPr>
      <w:r>
        <w:rPr>
          <w:rFonts w:ascii="Arial" w:cs="Arial" w:eastAsia="Arial" w:hAnsi="Arial"/>
          <w:sz w:val="20"/>
          <w:szCs w:val="20"/>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Split</w:t>
      </w:r>
    </w:p>
    <w:p>
      <w:pPr>
        <w:spacing w:after="0" w:line="196"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In May 2021, the Company filed an amendment to its amended and restated certificate of incorporation to effect a 3-for-1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consolidated financial statements have been retroactively adjusted to reflect the effect of the stock split for all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 and Principles of Consolidation</w:t>
      </w:r>
    </w:p>
    <w:p>
      <w:pPr>
        <w:spacing w:after="0" w:line="196" w:lineRule="exact"/>
        <w:rPr>
          <w:sz w:val="20"/>
          <w:szCs w:val="20"/>
          <w:color w:val="auto"/>
        </w:rPr>
      </w:pPr>
    </w:p>
    <w:p>
      <w:pPr>
        <w:jc w:val="both"/>
        <w:ind w:right="340" w:firstLine="490"/>
        <w:spacing w:after="0" w:line="261" w:lineRule="auto"/>
        <w:rPr>
          <w:sz w:val="20"/>
          <w:szCs w:val="20"/>
          <w:color w:val="auto"/>
        </w:rPr>
      </w:pPr>
      <w:r>
        <w:rPr>
          <w:rFonts w:ascii="Arial" w:cs="Arial" w:eastAsia="Arial" w:hAnsi="Arial"/>
          <w:sz w:val="20"/>
          <w:szCs w:val="20"/>
          <w:color w:val="auto"/>
        </w:rPr>
        <w:t>The accompanying consolidated financial statements include the accounts of the Company and its wholly owned subsidiaries and have been prepared in accordance with generally accepted accounting principles in the United States (GAAP). Intercompany accounts and transactions have been eliminated upon consolidation.</w:t>
      </w:r>
    </w:p>
    <w:p>
      <w:pPr>
        <w:spacing w:after="0" w:line="140"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Beginning with the quarter ended June 30, 2023, the Company included Contingent consideration and Contingent consideration, net of current portion within Accrued expenses and other current liabilities and Other liabilities, respectively, in the Company's consolidated balance sheet. Accrued expenses and other current liabilities and Other liabilities for the year ended December 31, 2022 were recast to conform to the updated presentation.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Information</w:t>
      </w:r>
    </w:p>
    <w:p>
      <w:pPr>
        <w:spacing w:after="0" w:line="196"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20"/>
          <w:szCs w:val="20"/>
          <w:i w:val="1"/>
          <w:iCs w:val="1"/>
          <w:color w:val="auto"/>
        </w:rPr>
        <w:t>Note 2 - Revenue and Recognition</w:t>
      </w:r>
      <w:r>
        <w:rPr>
          <w:rFonts w:ascii="Arial" w:cs="Arial" w:eastAsia="Arial" w:hAnsi="Arial"/>
          <w:sz w:val="20"/>
          <w:szCs w:val="20"/>
          <w:color w:val="auto"/>
        </w:rPr>
        <w:t xml:space="preserve"> for information regarding the Company's revenue by geographic area.</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96" w:lineRule="exact"/>
        <w:rPr>
          <w:sz w:val="20"/>
          <w:szCs w:val="20"/>
          <w:color w:val="auto"/>
        </w:rPr>
      </w:pPr>
    </w:p>
    <w:p>
      <w:pPr>
        <w:ind w:right="100" w:firstLine="490"/>
        <w:spacing w:after="0" w:line="244" w:lineRule="auto"/>
        <w:rPr>
          <w:sz w:val="20"/>
          <w:szCs w:val="20"/>
          <w:color w:val="auto"/>
        </w:rPr>
      </w:pPr>
      <w:r>
        <w:rPr>
          <w:rFonts w:ascii="Arial" w:cs="Arial" w:eastAsia="Arial" w:hAnsi="Arial"/>
          <w:sz w:val="20"/>
          <w:szCs w:val="20"/>
          <w:color w:val="auto"/>
        </w:rPr>
        <w:t>The preparation of consolidated financial statements in conformity with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certain stock-based compensation awards, the valuation of the preferred stock warrant liability up until the date of the Company’s IPO, contingent consideration, the valuation of acquired intangible assets and their useful lives, the estimate of credit losses on accounts receivable and unbilled receivables, the impairment assessment of goodwill,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may be changes in circumstances, facts and experience. Changes in estimates are recorded in the period in which they become known. Actual results may differ from those estimates or assumptions.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the Conflict between Israel and Hamas</w:t>
      </w:r>
    </w:p>
    <w:p>
      <w:pPr>
        <w:spacing w:after="0" w:line="196"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auto"/>
        </w:rPr>
        <w:t>The Company has an office in Tel Aviv, Israel, which is one of the Company’s software development and product centers. As of the issuance date of these consolidated financial statements, the conflict between Israel and Hamas has not had a material impact on the Company’s revenue, results of operations or financial position. The Company is engaged</w:t>
      </w:r>
    </w:p>
    <w:p>
      <w:pPr>
        <w:sectPr>
          <w:pgSz w:w="12240" w:h="15840" w:orient="portrait"/>
          <w:cols w:equalWidth="0" w:num="1">
            <w:col w:w="10800"/>
          </w:cols>
          <w:pgMar w:left="720" w:top="1160" w:right="720" w:bottom="186"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0800"/>
          </w:cols>
          <w:pgMar w:left="720" w:top="1160" w:right="720" w:bottom="186" w:gutter="0" w:footer="0" w:header="0"/>
          <w:type w:val="continuous"/>
        </w:sectPr>
      </w:pPr>
    </w:p>
    <w:bookmarkStart w:id="119" w:name="page120"/>
    <w:bookmarkEnd w:id="119"/>
    <w:p>
      <w:pPr>
        <w:ind w:right="160"/>
        <w:spacing w:after="0" w:line="254" w:lineRule="auto"/>
        <w:rPr>
          <w:sz w:val="20"/>
          <w:szCs w:val="20"/>
          <w:color w:val="auto"/>
        </w:rPr>
      </w:pPr>
      <w:r>
        <w:rPr>
          <w:rFonts w:ascii="Arial" w:cs="Arial" w:eastAsia="Arial" w:hAnsi="Arial"/>
          <w:sz w:val="20"/>
          <w:szCs w:val="20"/>
          <w:color w:val="auto"/>
        </w:rPr>
        <w:t>in active workforce management and efforts to preserve the health and safety of its Israeli FlyMates. However, since the Tel Aviv office is a healthcare engineering hub, the Company may experience customer service issues if there is a major problem as a result of the conflict and the Company is not able to service its platform on a timely basis. Further, the conflict may create a global challenge in outsourcing or hiring engineering talent.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the Conflict between Russia and Ukraine</w:t>
      </w:r>
    </w:p>
    <w:p>
      <w:pPr>
        <w:spacing w:after="0" w:line="196"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The Company does not have any operations, or long-lived assets, in Ukraine or Russia. As of the issuance date of these consolidated financial statements, the current conflict between Russia and Ukraine has not had a material impact on the Company’s revenue, results of operations or financial position. However, the Company notes Ukraine is a major engineering hub and the Company may from time to time utilize technology resources from Ukraine on a contracted basis.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Inflation</w:t>
      </w:r>
    </w:p>
    <w:p>
      <w:pPr>
        <w:spacing w:after="0" w:line="19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Inflation did not have a material effect on the Company's cash flows and results of operations during the year ended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Out-of-period Adjustment</w:t>
      </w:r>
    </w:p>
    <w:p>
      <w:pPr>
        <w:spacing w:after="0" w:line="196"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During the fourth quarter of 2021, the Company identified immaterial errors related to direct and indirect taxes in its historical financial statements. The cumulative effect of the errors generated in the fiscal year 2017 through the third quarter of 2021 was corrected during the fourth quarter of 2021, resulting in an increase to net loss for the fiscal year 2021 of $1.0 million. The Company concluded that the errors were not material to any prior period consolidated financial statements and the correction of the errors was not material to the consolidated financial statements for the year ended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 Financial Instruments and Significant Clients</w:t>
      </w:r>
    </w:p>
    <w:p>
      <w:pPr>
        <w:spacing w:after="0" w:line="196" w:lineRule="exact"/>
        <w:rPr>
          <w:sz w:val="20"/>
          <w:szCs w:val="20"/>
          <w:color w:val="auto"/>
        </w:rPr>
      </w:pPr>
    </w:p>
    <w:p>
      <w:pPr>
        <w:ind w:right="40" w:firstLine="490"/>
        <w:spacing w:after="0" w:line="282" w:lineRule="auto"/>
        <w:rPr>
          <w:sz w:val="20"/>
          <w:szCs w:val="20"/>
          <w:color w:val="auto"/>
        </w:rPr>
      </w:pPr>
      <w:r>
        <w:rPr>
          <w:rFonts w:ascii="Arial" w:cs="Arial" w:eastAsia="Arial" w:hAnsi="Arial"/>
          <w:sz w:val="20"/>
          <w:szCs w:val="20"/>
          <w:color w:val="auto"/>
        </w:rPr>
        <w:t>Financial instruments that potentially subject the Company to concentration of credit risk consists principally of cash, cash equivalents, accounts receivable, unbilled receivables and funds receivable from payment partners.</w:t>
      </w:r>
    </w:p>
    <w:p>
      <w:pPr>
        <w:spacing w:after="0" w:line="120"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auto"/>
        </w:rPr>
        <w:t>The Company maintains its cash and cash equivalents with financial institutions that management believes are of high credit quality. Our cash equivalents include money market funds, which are AAA-rated and comprised of liquid, high-quality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Our access to our cash and cash equivalents and client funds could be significantly impacted in volatile markets given our concentration in government money market funds.</w:t>
      </w:r>
    </w:p>
    <w:p>
      <w:pPr>
        <w:spacing w:after="0" w:line="162"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during the years ended December 31, 2023, 2022 and 2021.</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2240" w:h="15840" w:orient="portrait"/>
          <w:cols w:equalWidth="0" w:num="1">
            <w:col w:w="10800"/>
          </w:cols>
          <w:pgMar w:left="720" w:top="1160" w:right="720" w:bottom="186" w:gutter="0" w:footer="0" w:header="0"/>
          <w:type w:val="continuous"/>
        </w:sectPr>
      </w:pPr>
    </w:p>
    <w:bookmarkStart w:id="120" w:name="page121"/>
    <w:bookmarkEnd w:id="120"/>
    <w:p>
      <w:pPr>
        <w:ind w:right="80" w:firstLine="490"/>
        <w:spacing w:after="0" w:line="282" w:lineRule="auto"/>
        <w:rPr>
          <w:sz w:val="20"/>
          <w:szCs w:val="20"/>
          <w:color w:val="auto"/>
        </w:rPr>
      </w:pPr>
      <w:r>
        <w:rPr>
          <w:rFonts w:ascii="Arial" w:cs="Arial" w:eastAsia="Arial" w:hAnsi="Arial"/>
          <w:sz w:val="20"/>
          <w:szCs w:val="20"/>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74"/>
        </w:trPr>
        <w:tc>
          <w:tcPr>
            <w:tcW w:w="7420" w:type="dxa"/>
            <w:vAlign w:val="bottom"/>
            <w:tcBorders>
              <w:bottom w:val="single" w:sz="8" w:color="E0E0E0"/>
            </w:tcBorders>
          </w:tcPr>
          <w:p>
            <w:pPr>
              <w:spacing w:after="0"/>
              <w:rPr>
                <w:sz w:val="15"/>
                <w:szCs w:val="15"/>
                <w:color w:val="auto"/>
              </w:rPr>
            </w:pPr>
          </w:p>
        </w:tc>
        <w:tc>
          <w:tcPr>
            <w:tcW w:w="10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7"/>
              <w:spacing w:after="0" w:line="174"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Client A</w:t>
            </w:r>
          </w:p>
        </w:tc>
        <w:tc>
          <w:tcPr>
            <w:tcW w:w="1020" w:type="dxa"/>
            <w:vAlign w:val="bottom"/>
            <w:shd w:val="clear" w:color="auto" w:fill="E0E0E0"/>
          </w:tcPr>
          <w:p>
            <w:pPr>
              <w:spacing w:after="0"/>
              <w:rPr>
                <w:sz w:val="19"/>
                <w:szCs w:val="19"/>
                <w:color w:val="auto"/>
              </w:rPr>
            </w:pPr>
          </w:p>
        </w:tc>
        <w:tc>
          <w:tcPr>
            <w:tcW w:w="580" w:type="dxa"/>
            <w:vAlign w:val="bottom"/>
            <w:shd w:val="clear" w:color="auto" w:fill="E0E0E0"/>
          </w:tcPr>
          <w:p>
            <w:pPr>
              <w:jc w:val="center"/>
              <w:ind w:left="407"/>
              <w:spacing w:after="0" w:line="220" w:lineRule="exact"/>
              <w:rPr>
                <w:sz w:val="20"/>
                <w:szCs w:val="20"/>
                <w:color w:val="auto"/>
              </w:rPr>
            </w:pPr>
            <w:r>
              <w:rPr>
                <w:rFonts w:ascii="Arial" w:cs="Arial" w:eastAsia="Arial" w:hAnsi="Arial"/>
                <w:sz w:val="20"/>
                <w:szCs w:val="20"/>
                <w:color w:val="auto"/>
              </w:rPr>
              <w:t>*</w:t>
            </w:r>
          </w:p>
        </w:tc>
        <w:tc>
          <w:tcPr>
            <w:tcW w:w="140" w:type="dxa"/>
            <w:vAlign w:val="bottom"/>
            <w:shd w:val="clear" w:color="auto" w:fill="E0E0E0"/>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13%</w:t>
            </w:r>
          </w:p>
        </w:tc>
      </w:tr>
      <w:tr>
        <w:trPr>
          <w:trHeight w:val="271"/>
        </w:trPr>
        <w:tc>
          <w:tcPr>
            <w:tcW w:w="7420" w:type="dxa"/>
            <w:vAlign w:val="bottom"/>
          </w:tcPr>
          <w:p>
            <w:pPr>
              <w:spacing w:after="0"/>
              <w:rPr>
                <w:sz w:val="20"/>
                <w:szCs w:val="20"/>
                <w:color w:val="auto"/>
              </w:rPr>
            </w:pPr>
            <w:r>
              <w:rPr>
                <w:rFonts w:ascii="Arial" w:cs="Arial" w:eastAsia="Arial" w:hAnsi="Arial"/>
                <w:sz w:val="20"/>
                <w:szCs w:val="20"/>
                <w:color w:val="auto"/>
              </w:rPr>
              <w:t>Client B</w:t>
            </w:r>
          </w:p>
        </w:tc>
        <w:tc>
          <w:tcPr>
            <w:tcW w:w="1020" w:type="dxa"/>
            <w:vAlign w:val="bottom"/>
          </w:tcPr>
          <w:p>
            <w:pPr>
              <w:spacing w:after="0"/>
              <w:rPr>
                <w:sz w:val="23"/>
                <w:szCs w:val="23"/>
                <w:color w:val="auto"/>
              </w:rPr>
            </w:pPr>
          </w:p>
        </w:tc>
        <w:tc>
          <w:tcPr>
            <w:tcW w:w="580" w:type="dxa"/>
            <w:vAlign w:val="bottom"/>
          </w:tcPr>
          <w:p>
            <w:pPr>
              <w:jc w:val="center"/>
              <w:ind w:left="407"/>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5810250</wp:posOffset>
                </wp:positionH>
                <wp:positionV relativeFrom="paragraph">
                  <wp:posOffset>-317500</wp:posOffset>
                </wp:positionV>
                <wp:extent cx="918845" cy="14605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146050"/>
                        </a:xfrm>
                        <a:prstGeom prst="rect">
                          <a:avLst/>
                        </a:prstGeom>
                        <a:solidFill>
                          <a:srgbClr val="E0E0E0"/>
                        </a:solidFill>
                      </wps:spPr>
                      <wps:bodyPr/>
                    </wps:wsp>
                  </a:graphicData>
                </a:graphic>
              </wp:anchor>
            </w:drawing>
          </mc:Choice>
          <mc:Fallback>
            <w:pict>
              <v:rect id="Shape 46" o:spid="_x0000_s1071" style="position:absolute;margin-left:457.5pt;margin-top:-25pt;width:72.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67310</wp:posOffset>
                </wp:positionV>
                <wp:extent cx="232283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3pt" to="181.45pt,5.3pt" o:allowincell="f" strokecolor="#000000" strokeweight="0.75pt"/>
            </w:pict>
          </mc:Fallback>
        </mc:AlternateConten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Less than 10% of total balance.</w:t>
      </w:r>
    </w:p>
    <w:p>
      <w:pPr>
        <w:spacing w:after="0" w:line="195"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40"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60" w:type="dxa"/>
            <w:vAlign w:val="bottom"/>
            <w:tcBorders>
              <w:bottom w:val="single" w:sz="8" w:color="E0E0E0"/>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100"/>
              <w:spacing w:after="0" w:line="174" w:lineRule="exact"/>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43"/>
              <w:spacing w:after="0" w:line="174"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r>
      <w:tr>
        <w:trPr>
          <w:trHeight w:val="220"/>
        </w:trPr>
        <w:tc>
          <w:tcPr>
            <w:tcW w:w="73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Partner A</w:t>
            </w:r>
          </w:p>
        </w:tc>
        <w:tc>
          <w:tcPr>
            <w:tcW w:w="1080" w:type="dxa"/>
            <w:vAlign w:val="bottom"/>
          </w:tcPr>
          <w:p>
            <w:pPr>
              <w:spacing w:after="0"/>
              <w:rPr>
                <w:sz w:val="19"/>
                <w:szCs w:val="19"/>
                <w:color w:val="auto"/>
              </w:rPr>
            </w:pPr>
          </w:p>
        </w:tc>
        <w:tc>
          <w:tcPr>
            <w:tcW w:w="720" w:type="dxa"/>
            <w:vAlign w:val="bottom"/>
            <w:gridSpan w:val="2"/>
          </w:tcPr>
          <w:p>
            <w:pPr>
              <w:jc w:val="right"/>
              <w:ind w:right="160"/>
              <w:spacing w:after="0" w:line="220" w:lineRule="exact"/>
              <w:rPr>
                <w:sz w:val="20"/>
                <w:szCs w:val="20"/>
                <w:color w:val="auto"/>
              </w:rPr>
            </w:pPr>
            <w:r>
              <w:rPr>
                <w:rFonts w:ascii="Arial" w:cs="Arial" w:eastAsia="Arial" w:hAnsi="Arial"/>
                <w:sz w:val="20"/>
                <w:szCs w:val="20"/>
                <w:color w:val="auto"/>
              </w:rPr>
              <w:t>14%</w:t>
            </w:r>
          </w:p>
        </w:tc>
        <w:tc>
          <w:tcPr>
            <w:tcW w:w="164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12%</w:t>
            </w:r>
          </w:p>
        </w:tc>
      </w:tr>
      <w:tr>
        <w:trPr>
          <w:trHeight w:val="230"/>
        </w:trPr>
        <w:tc>
          <w:tcPr>
            <w:tcW w:w="7360" w:type="dxa"/>
            <w:vAlign w:val="bottom"/>
          </w:tcPr>
          <w:p>
            <w:pPr>
              <w:spacing w:after="0"/>
              <w:rPr>
                <w:sz w:val="20"/>
                <w:szCs w:val="20"/>
                <w:color w:val="auto"/>
              </w:rPr>
            </w:pPr>
            <w:r>
              <w:rPr>
                <w:rFonts w:ascii="Arial" w:cs="Arial" w:eastAsia="Arial" w:hAnsi="Arial"/>
                <w:sz w:val="20"/>
                <w:szCs w:val="20"/>
                <w:color w:val="auto"/>
              </w:rPr>
              <w:t>Partner B</w:t>
            </w:r>
          </w:p>
        </w:tc>
        <w:tc>
          <w:tcPr>
            <w:tcW w:w="10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20"/>
                <w:szCs w:val="20"/>
                <w:color w:val="auto"/>
              </w:rPr>
              <w:t>15%</w:t>
            </w:r>
          </w:p>
        </w:tc>
        <w:tc>
          <w:tcPr>
            <w:tcW w:w="1640" w:type="dxa"/>
            <w:vAlign w:val="bottom"/>
            <w:gridSpan w:val="2"/>
          </w:tcPr>
          <w:p>
            <w:pPr>
              <w:jc w:val="right"/>
              <w:ind w:right="20"/>
              <w:spacing w:after="0"/>
              <w:rPr>
                <w:sz w:val="20"/>
                <w:szCs w:val="20"/>
                <w:color w:val="auto"/>
              </w:rPr>
            </w:pPr>
            <w:r>
              <w:rPr>
                <w:rFonts w:ascii="Arial" w:cs="Arial" w:eastAsia="Arial" w:hAnsi="Arial"/>
                <w:sz w:val="20"/>
                <w:szCs w:val="20"/>
                <w:color w:val="auto"/>
              </w:rPr>
              <w:t>16%</w:t>
            </w:r>
          </w:p>
        </w:tc>
      </w:tr>
      <w:tr>
        <w:trPr>
          <w:trHeight w:val="230"/>
        </w:trPr>
        <w:tc>
          <w:tcPr>
            <w:tcW w:w="844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Partner C</w:t>
            </w:r>
          </w:p>
        </w:tc>
        <w:tc>
          <w:tcPr>
            <w:tcW w:w="72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13%</w:t>
            </w:r>
          </w:p>
        </w:tc>
        <w:tc>
          <w:tcPr>
            <w:tcW w:w="14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E0E0E0"/>
          </w:tcPr>
          <w:p>
            <w:pPr>
              <w:spacing w:after="0"/>
              <w:rPr>
                <w:sz w:val="19"/>
                <w:szCs w:val="19"/>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20"/>
                <w:szCs w:val="20"/>
                <w:color w:val="auto"/>
              </w:rPr>
              <w:t>Partner D</w:t>
            </w:r>
          </w:p>
        </w:tc>
        <w:tc>
          <w:tcPr>
            <w:tcW w:w="720" w:type="dxa"/>
            <w:vAlign w:val="bottom"/>
            <w:gridSpan w:val="2"/>
          </w:tcPr>
          <w:p>
            <w:pPr>
              <w:jc w:val="right"/>
              <w:ind w:right="160"/>
              <w:spacing w:after="0"/>
              <w:rPr>
                <w:sz w:val="20"/>
                <w:szCs w:val="20"/>
                <w:color w:val="auto"/>
              </w:rPr>
            </w:pPr>
            <w:r>
              <w:rPr>
                <w:rFonts w:ascii="Arial" w:cs="Arial" w:eastAsia="Arial" w:hAnsi="Arial"/>
                <w:sz w:val="20"/>
                <w:szCs w:val="20"/>
                <w:color w:val="auto"/>
              </w:rPr>
              <w:t>11%</w:t>
            </w:r>
          </w:p>
        </w:tc>
        <w:tc>
          <w:tcPr>
            <w:tcW w:w="1640" w:type="dxa"/>
            <w:vAlign w:val="bottom"/>
            <w:gridSpan w:val="2"/>
          </w:tcPr>
          <w:p>
            <w:pPr>
              <w:jc w:val="right"/>
              <w:ind w:right="20"/>
              <w:spacing w:after="0"/>
              <w:rPr>
                <w:sz w:val="20"/>
                <w:szCs w:val="20"/>
                <w:color w:val="auto"/>
              </w:rPr>
            </w:pPr>
            <w:r>
              <w:rPr>
                <w:rFonts w:ascii="Arial" w:cs="Arial" w:eastAsia="Arial" w:hAnsi="Arial"/>
                <w:sz w:val="20"/>
                <w:szCs w:val="20"/>
                <w:color w:val="auto"/>
              </w:rPr>
              <w:t>17%</w:t>
            </w:r>
          </w:p>
        </w:tc>
      </w:tr>
      <w:tr>
        <w:trPr>
          <w:trHeight w:val="230"/>
        </w:trPr>
        <w:tc>
          <w:tcPr>
            <w:tcW w:w="844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Partner E</w:t>
            </w:r>
          </w:p>
        </w:tc>
        <w:tc>
          <w:tcPr>
            <w:tcW w:w="72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20%</w:t>
            </w:r>
          </w:p>
        </w:tc>
        <w:tc>
          <w:tcPr>
            <w:tcW w:w="164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4678680</wp:posOffset>
                </wp:positionH>
                <wp:positionV relativeFrom="paragraph">
                  <wp:posOffset>-729615</wp:posOffset>
                </wp:positionV>
                <wp:extent cx="918845" cy="146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146050"/>
                        </a:xfrm>
                        <a:prstGeom prst="rect">
                          <a:avLst/>
                        </a:prstGeom>
                        <a:solidFill>
                          <a:srgbClr val="E0E0E0"/>
                        </a:solidFill>
                      </wps:spPr>
                      <wps:bodyPr/>
                    </wps:wsp>
                  </a:graphicData>
                </a:graphic>
              </wp:anchor>
            </w:drawing>
          </mc:Choice>
          <mc:Fallback>
            <w:pict>
              <v:rect id="Shape 48" o:spid="_x0000_s1073" style="position:absolute;margin-left:368.4pt;margin-top:-57.4499pt;width:72.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5597525</wp:posOffset>
                </wp:positionH>
                <wp:positionV relativeFrom="paragraph">
                  <wp:posOffset>-735965</wp:posOffset>
                </wp:positionV>
                <wp:extent cx="212725" cy="1524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25" cy="152400"/>
                        </a:xfrm>
                        <a:prstGeom prst="rect">
                          <a:avLst/>
                        </a:prstGeom>
                        <a:solidFill>
                          <a:srgbClr val="E0E0E0"/>
                        </a:solidFill>
                      </wps:spPr>
                      <wps:bodyPr/>
                    </wps:wsp>
                  </a:graphicData>
                </a:graphic>
              </wp:anchor>
            </w:drawing>
          </mc:Choice>
          <mc:Fallback>
            <w:pict>
              <v:rect id="Shape 49" o:spid="_x0000_s1074" style="position:absolute;margin-left:440.75pt;margin-top:-57.9499pt;width:16.7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5810250</wp:posOffset>
                </wp:positionH>
                <wp:positionV relativeFrom="paragraph">
                  <wp:posOffset>-729615</wp:posOffset>
                </wp:positionV>
                <wp:extent cx="918845" cy="146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146050"/>
                        </a:xfrm>
                        <a:prstGeom prst="rect">
                          <a:avLst/>
                        </a:prstGeom>
                        <a:solidFill>
                          <a:srgbClr val="E0E0E0"/>
                        </a:solidFill>
                      </wps:spPr>
                      <wps:bodyPr/>
                    </wps:wsp>
                  </a:graphicData>
                </a:graphic>
              </wp:anchor>
            </w:drawing>
          </mc:Choice>
          <mc:Fallback>
            <w:pict>
              <v:rect id="Shape 50" o:spid="_x0000_s1075" style="position:absolute;margin-left:457.5pt;margin-top:-57.4499pt;width:72.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93345</wp:posOffset>
                </wp:positionV>
                <wp:extent cx="232283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35pt" to="181.45pt,7.35pt" o:allowincell="f" strokecolor="#000000" strokeweight="0.75pt"/>
            </w:pict>
          </mc:Fallback>
        </mc:AlternateConten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Less than 10% of total balance.</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During the years ended December 31, 2023, 2022 and 2021, no client accounted for 10% or more of total revenue.</w:t>
      </w:r>
    </w:p>
    <w:p>
      <w:pPr>
        <w:spacing w:after="0" w:line="200" w:lineRule="exact"/>
        <w:rPr>
          <w:sz w:val="20"/>
          <w:szCs w:val="20"/>
          <w:color w:val="auto"/>
        </w:rPr>
      </w:pPr>
    </w:p>
    <w:p>
      <w:pPr>
        <w:ind w:right="820" w:firstLine="490"/>
        <w:spacing w:after="0" w:line="261" w:lineRule="auto"/>
        <w:rPr>
          <w:sz w:val="20"/>
          <w:szCs w:val="20"/>
          <w:color w:val="auto"/>
        </w:rPr>
      </w:pPr>
      <w:r>
        <w:rPr>
          <w:rFonts w:ascii="Arial" w:cs="Arial" w:eastAsia="Arial" w:hAnsi="Arial"/>
          <w:sz w:val="20"/>
          <w:szCs w:val="20"/>
          <w:color w:val="auto"/>
        </w:rPr>
        <w:t>During the year ended December 31, 2023, revenue from clients located in the United States and Canada (Americas), Europe, the Middle East and Africa (EMEA) and the Asia and Pacific region (APAC) in the aggregate accounted for 55.2%, 30.0% and 14.8% of the Company’s total revenues, respectively.</w:t>
      </w:r>
    </w:p>
    <w:p>
      <w:pPr>
        <w:spacing w:after="0" w:line="140"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auto"/>
        </w:rPr>
        <w:t>During the year ended December 31, 2022, revenue from clients located in Americas, EMEA and APAC in the aggregate accounted for 67.2%, 23.9% and 8.9% of the Company’s total revenues, respectively.</w:t>
      </w:r>
    </w:p>
    <w:p>
      <w:pPr>
        <w:spacing w:after="0" w:line="120"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auto"/>
        </w:rPr>
        <w:t>During the year ended December 31, 2021, revenue from clients located in Americas, EMEA and APAC in the aggregate accounted for 79.4%, 16.9%, and 3.7% of the Company’s total revenues,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Equivalents and Restricted Cash</w:t>
      </w:r>
    </w:p>
    <w:p>
      <w:pPr>
        <w:spacing w:after="0" w:line="196"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auto"/>
        </w:rPr>
        <w:t>Cash equivalents consist of short-term, highly liquid investments with stated maturities of three months or less from the date of purchase. Our cash equivalents include money market funds, which are AAA-rated and comprised of liquid, high-quality debt securities issued by the U.S. government.</w:t>
      </w:r>
    </w:p>
    <w:p>
      <w:pPr>
        <w:spacing w:after="0" w:line="140"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Restricted cash consists of amounts required to be maintained to cover certain banks’ or clients’ credit risk exposure related to facilitating payments for the Company. As of December 31, 2023 and 2022, the Company had $0 and $2.0 million of restricted cash,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196"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auto"/>
        </w:rPr>
        <w:t>Accounts receivable represent client obligations that are unconditional. Accounts receivable are presented net of an estimated allowance for credit losses for amounts that may not be collectible over the estimated life of the assets. The Company’s accounts receivable do not bear interest and generally does not require collateral or other security to support related receivables. The Company establishes an allowance for credit losses for estimated losses expected from amounts that may not be collectible, through a provision for expected credit losses.</w:t>
      </w:r>
    </w:p>
    <w:p>
      <w:pPr>
        <w:spacing w:after="0" w:line="152" w:lineRule="exact"/>
        <w:rPr>
          <w:sz w:val="20"/>
          <w:szCs w:val="20"/>
          <w:color w:val="auto"/>
        </w:rPr>
      </w:pPr>
    </w:p>
    <w:p>
      <w:pPr>
        <w:ind w:right="260" w:firstLine="490"/>
        <w:spacing w:after="0" w:line="254" w:lineRule="auto"/>
        <w:rPr>
          <w:sz w:val="20"/>
          <w:szCs w:val="20"/>
          <w:color w:val="auto"/>
        </w:rPr>
      </w:pPr>
      <w:r>
        <w:rPr>
          <w:rFonts w:ascii="Arial" w:cs="Arial" w:eastAsia="Arial" w:hAnsi="Arial"/>
          <w:sz w:val="20"/>
          <w:szCs w:val="20"/>
          <w:color w:val="auto"/>
        </w:rPr>
        <w:t xml:space="preserve">On January 1, 2022, Flywire adopted under the modified retrospective approach Accounting Standards Update (ASU) 2016-13, </w:t>
      </w:r>
      <w:r>
        <w:rPr>
          <w:rFonts w:ascii="Arial" w:cs="Arial" w:eastAsia="Arial" w:hAnsi="Arial"/>
          <w:sz w:val="20"/>
          <w:szCs w:val="20"/>
          <w:i w:val="1"/>
          <w:iCs w:val="1"/>
          <w:color w:val="auto"/>
        </w:rPr>
        <w:t>Financial Instruments - Credit Losses (Topic 326): Measurement of Credit Losses on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w:t>
      </w:r>
      <w:r>
        <w:rPr>
          <w:rFonts w:ascii="Arial" w:cs="Arial" w:eastAsia="Arial" w:hAnsi="Arial"/>
          <w:sz w:val="20"/>
          <w:szCs w:val="20"/>
          <w:color w:val="auto"/>
        </w:rPr>
        <w:t>and subsequent related ASUs using January 1, 2022 as the date of initial application. The adoption of ASU</w:t>
      </w:r>
      <w:r>
        <w:rPr>
          <w:rFonts w:ascii="Arial" w:cs="Arial" w:eastAsia="Arial" w:hAnsi="Arial"/>
          <w:sz w:val="20"/>
          <w:szCs w:val="20"/>
          <w:i w:val="1"/>
          <w:iCs w:val="1"/>
          <w:color w:val="auto"/>
        </w:rPr>
        <w:t xml:space="preserve"> </w:t>
      </w:r>
      <w:r>
        <w:rPr>
          <w:rFonts w:ascii="Arial" w:cs="Arial" w:eastAsia="Arial" w:hAnsi="Arial"/>
          <w:sz w:val="20"/>
          <w:szCs w:val="20"/>
          <w:color w:val="auto"/>
        </w:rPr>
        <w:t>2016-13 did not have a material impact on the Company's consolidated financial statements and disclosures.</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0800"/>
          </w:cols>
          <w:pgMar w:left="720" w:top="1160" w:right="720" w:bottom="186" w:gutter="0" w:footer="0" w:header="0"/>
          <w:type w:val="continuous"/>
        </w:sectPr>
      </w:pPr>
    </w:p>
    <w:bookmarkStart w:id="121" w:name="page122"/>
    <w:bookmarkEnd w:id="121"/>
    <w:p>
      <w:pPr>
        <w:ind w:right="200" w:firstLine="490"/>
        <w:spacing w:after="0" w:line="246" w:lineRule="auto"/>
        <w:rPr>
          <w:sz w:val="20"/>
          <w:szCs w:val="20"/>
          <w:color w:val="auto"/>
        </w:rPr>
      </w:pPr>
      <w:r>
        <w:rPr>
          <w:rFonts w:ascii="Arial" w:cs="Arial" w:eastAsia="Arial" w:hAnsi="Arial"/>
          <w:sz w:val="20"/>
          <w:szCs w:val="20"/>
          <w:color w:val="auto"/>
        </w:rPr>
        <w:t>Following the adoption of ASU 2016-13, the allowance is determined by applying a loss-rate method based on an aging schedule using the Company's historical loss rates. The Company also considers reasonable and supportable current and forecasted information in determining its estimated loss rates, such as external forecasts, macroeconomic trends, or other factors that are associated with the credit quality of the Company’s customer base. The adequacy of the allowance for credit losses is evaluated on a regular basis. Account balances are written off after all means of collection are exhausted and the balance is deemed uncollectible. Subsequent recoveries, if any, are credited to the allowance. Adjustments to the allowance for credit losses are recorded within general and administrative expenses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 net</w:t>
      </w:r>
    </w:p>
    <w:p>
      <w:pPr>
        <w:spacing w:after="0" w:line="196" w:lineRule="exact"/>
        <w:rPr>
          <w:sz w:val="20"/>
          <w:szCs w:val="20"/>
          <w:color w:val="auto"/>
        </w:rPr>
      </w:pPr>
    </w:p>
    <w:p>
      <w:pPr>
        <w:ind w:right="120" w:firstLine="490"/>
        <w:spacing w:after="0" w:line="245" w:lineRule="auto"/>
        <w:rPr>
          <w:sz w:val="20"/>
          <w:szCs w:val="20"/>
          <w:color w:val="auto"/>
        </w:rPr>
      </w:pPr>
      <w:r>
        <w:rPr>
          <w:rFonts w:ascii="Arial" w:cs="Arial" w:eastAsia="Arial" w:hAnsi="Arial"/>
          <w:sz w:val="20"/>
          <w:szCs w:val="20"/>
          <w:color w:val="auto"/>
        </w:rPr>
        <w:t>Property and equipment consist primarily of computer equipment and software, internal-use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196"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The Company continually evaluates the recoverability of long-lived asset (asset group) when events and changes in circumstances indicate that the carrying amount of the long-lived asset group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 net</w:t>
      </w:r>
    </w:p>
    <w:p>
      <w:pPr>
        <w:spacing w:after="0" w:line="196" w:lineRule="exact"/>
        <w:rPr>
          <w:sz w:val="20"/>
          <w:szCs w:val="20"/>
          <w:color w:val="auto"/>
        </w:rPr>
      </w:pPr>
    </w:p>
    <w:p>
      <w:pPr>
        <w:ind w:right="400" w:firstLine="490"/>
        <w:spacing w:after="0" w:line="254" w:lineRule="auto"/>
        <w:rPr>
          <w:sz w:val="20"/>
          <w:szCs w:val="20"/>
          <w:color w:val="auto"/>
        </w:rPr>
      </w:pPr>
      <w:r>
        <w:rPr>
          <w:rFonts w:ascii="Arial" w:cs="Arial" w:eastAsia="Arial" w:hAnsi="Arial"/>
          <w:sz w:val="20"/>
          <w:szCs w:val="20"/>
          <w:color w:val="auto"/>
        </w:rPr>
        <w:t>Intangible assets consist of acquired developed technology, acquired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46"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The Company estimates the fair value of acquired developed technology and trade name and associated trademarks under the income approach using the relief-from-royalty method. The relief-from-royalty method estimates the cost savings that accrue to the owner of an intangible asset who would otherwise have to 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Company estimates the fair value of acquired relationships under the income approach using the multi-period excess earnings method. The multi-period excess earnings method estimates the present value of the incremental after-tax cash flows solely attributable to the intangible asset. The Company values noncompete agreements using the with and without method. This method compares the projected discounted cash flows in two distinct scenarios: first, it assumes that the covenant not-to-compete is in-place and, second, it assumes that the covenant not-to-compete is not in-place. A probability adjustment factor is then applied to the difference between the two scenarios to determine the fair value of the noncompete agreement. The estimated fair values of these intangible assets reflect various assumptions including discount rates, revenue growth rates, operating margins, terminal values and other prospective financial information.</w:t>
      </w:r>
    </w:p>
    <w:p>
      <w:pPr>
        <w:spacing w:after="0" w:line="160"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Intangible assets are amortized using a method that reflects the pattern in which the economic benefits of the intangible asset are expected to be realized over their estimated useful lives ranging from one to fifteen years. 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w:t>
      </w:r>
    </w:p>
    <w:p>
      <w:pPr>
        <w:sectPr>
          <w:pgSz w:w="12240" w:h="15840" w:orient="portrait"/>
          <w:cols w:equalWidth="0" w:num="1">
            <w:col w:w="10800"/>
          </w:cols>
          <w:pgMar w:left="720" w:top="1160" w:right="720" w:bottom="186"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0800"/>
          </w:cols>
          <w:pgMar w:left="720" w:top="1160" w:right="720" w:bottom="186" w:gutter="0" w:footer="0" w:header="0"/>
          <w:type w:val="continuous"/>
        </w:sectPr>
      </w:pPr>
    </w:p>
    <w:bookmarkStart w:id="122" w:name="page123"/>
    <w:bookmarkEnd w:id="122"/>
    <w:p>
      <w:pPr>
        <w:ind w:right="80"/>
        <w:spacing w:after="0" w:line="261" w:lineRule="auto"/>
        <w:rPr>
          <w:sz w:val="20"/>
          <w:szCs w:val="20"/>
          <w:color w:val="auto"/>
        </w:rPr>
      </w:pPr>
      <w:r>
        <w:rPr>
          <w:rFonts w:ascii="Arial" w:cs="Arial" w:eastAsia="Arial" w:hAnsi="Arial"/>
          <w:sz w:val="20"/>
          <w:szCs w:val="20"/>
          <w:color w:val="auto"/>
        </w:rPr>
        <w:t>useful lives of definite-lived trademarks and trade names are based on the Company’s plans to phase out the trademarks and trade names in the applicable markets. The useful lives for noncompete agreements are determined based on the term of the related agreements.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 significant residual value is estimated for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Software Developed for Internal-Use</w:t>
      </w:r>
    </w:p>
    <w:p>
      <w:pPr>
        <w:spacing w:after="0" w:line="196"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The Company capitalizes costs related to internal-use software during the application development stage including third-party consulting costs and compensation expenses related to FlyMates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internal-use software for impairment.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Software developed for internal-use is amortized straight-line over its estimated useful life of five years.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196"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auto"/>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 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196" w:lineRule="exact"/>
        <w:rPr>
          <w:sz w:val="20"/>
          <w:szCs w:val="20"/>
          <w:color w:val="auto"/>
        </w:rPr>
      </w:pPr>
    </w:p>
    <w:p>
      <w:pPr>
        <w:ind w:right="120" w:firstLine="490"/>
        <w:spacing w:after="0" w:line="243" w:lineRule="auto"/>
        <w:rPr>
          <w:sz w:val="20"/>
          <w:szCs w:val="20"/>
          <w:color w:val="auto"/>
        </w:rPr>
      </w:pPr>
      <w:r>
        <w:rPr>
          <w:rFonts w:ascii="Arial" w:cs="Arial" w:eastAsia="Arial" w:hAnsi="Arial"/>
          <w:sz w:val="20"/>
          <w:szCs w:val="20"/>
          <w:color w:val="auto"/>
        </w:rPr>
        <w:t xml:space="preserve">On January 1, 2022, Flywire adopted ASU 2016-02, </w:t>
      </w:r>
      <w:r>
        <w:rPr>
          <w:rFonts w:ascii="Arial" w:cs="Arial" w:eastAsia="Arial" w:hAnsi="Arial"/>
          <w:sz w:val="20"/>
          <w:szCs w:val="20"/>
          <w:i w:val="1"/>
          <w:iCs w:val="1"/>
          <w:color w:val="auto"/>
        </w:rPr>
        <w:t>Leases (Topic 842),</w:t>
      </w:r>
      <w:r>
        <w:rPr>
          <w:rFonts w:ascii="Arial" w:cs="Arial" w:eastAsia="Arial" w:hAnsi="Arial"/>
          <w:sz w:val="20"/>
          <w:szCs w:val="20"/>
          <w:color w:val="auto"/>
        </w:rPr>
        <w:t xml:space="preserve"> and subsequent related ASUs using January 1, 2022 as the date of initial application. ASU 2016-02 sets out the principles for the recognition, measurement, presentation and disclosure of leases for both parties to a contract (i.e., lessees and lessors). The Company elected the modified retrospective transition option which allowed for application of Topic 842 at the adoption date. Therefore, comparative prior period financial information was not adjusted and will continue to be reported under the previous Accounting Standards Codification (ASC) 840, </w:t>
      </w:r>
      <w:r>
        <w:rPr>
          <w:rFonts w:ascii="Arial" w:cs="Arial" w:eastAsia="Arial" w:hAnsi="Arial"/>
          <w:sz w:val="20"/>
          <w:szCs w:val="20"/>
          <w:i w:val="1"/>
          <w:iCs w:val="1"/>
          <w:color w:val="auto"/>
        </w:rPr>
        <w:t>Leases</w:t>
      </w:r>
      <w:r>
        <w:rPr>
          <w:rFonts w:ascii="Arial" w:cs="Arial" w:eastAsia="Arial" w:hAnsi="Arial"/>
          <w:sz w:val="20"/>
          <w:szCs w:val="20"/>
          <w:color w:val="auto"/>
        </w:rPr>
        <w:t>. No cumulative-effect adjustment to the opening accumulated deficit balance as of January 1, 2022 was necessary as a result of adopting the new standard. The Company elected the “package of practical expedients” permitted under the transition guidance which allowed the Company not to reassess (i) whether any expired or existing contracts are, or contain, leases, (ii) the lease classification for any expired or existing leases and (iii) initial direct costs for any existing leases. The Company also elected the practical expedient not to separate lease and non-lease components, as well as the short-term lease recognition exemption and will not recognize right-of-use (ROU) assets or lease liabilities for leases with a term less than 12 months. As a result of the adoption, the Company recognized ROU assets of $3.0 million in Other assets and a corresponding lease liability of $3.6 million in Other liabilities as of January 1, 2022. The ROU assets were adjusted per Topic 842 transition guidance for the existing deferred rent balance.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for Leases after the Adoption of ASC 842</w:t>
      </w:r>
    </w:p>
    <w:p>
      <w:pPr>
        <w:sectPr>
          <w:pgSz w:w="12240" w:h="15840" w:orient="portrait"/>
          <w:cols w:equalWidth="0" w:num="1">
            <w:col w:w="10780"/>
          </w:cols>
          <w:pgMar w:left="720" w:top="1160" w:right="740" w:bottom="186"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0780"/>
          </w:cols>
          <w:pgMar w:left="720" w:top="1160" w:right="740" w:bottom="186" w:gutter="0" w:footer="0" w:header="0"/>
          <w:type w:val="continuous"/>
        </w:sectPr>
      </w:pPr>
    </w:p>
    <w:bookmarkStart w:id="123" w:name="page124"/>
    <w:bookmarkEnd w:id="123"/>
    <w:p>
      <w:pPr>
        <w:ind w:right="20" w:firstLine="490"/>
        <w:spacing w:after="0" w:line="243" w:lineRule="auto"/>
        <w:rPr>
          <w:sz w:val="20"/>
          <w:szCs w:val="20"/>
          <w:color w:val="auto"/>
        </w:rPr>
      </w:pPr>
      <w:r>
        <w:rPr>
          <w:rFonts w:ascii="Arial" w:cs="Arial" w:eastAsia="Arial" w:hAnsi="Arial"/>
          <w:sz w:val="20"/>
          <w:szCs w:val="20"/>
          <w:color w:val="auto"/>
        </w:rPr>
        <w:t xml:space="preserve">The new leasing standard requires recognition of leases on the consolidated balance sheets as ROU assets and lease liabilities. ROU assets represent the Company's right to use underlying assets for the lease terms and lease liabilities represent our obligation to make lease payments arising from the leases. ROU assets are included in Other assets and 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operating lease expense associated with operating leases is recognized as a single lease cost on a straight-line basis over the lease term and is included in general and administrative expenses in the consolidated statements of operations and comprehensive loss. Refer to </w:t>
      </w:r>
      <w:r>
        <w:rPr>
          <w:rFonts w:ascii="Arial" w:cs="Arial" w:eastAsia="Arial" w:hAnsi="Arial"/>
          <w:sz w:val="20"/>
          <w:szCs w:val="20"/>
          <w:i w:val="1"/>
          <w:iCs w:val="1"/>
          <w:color w:val="auto"/>
        </w:rPr>
        <w:t>Note 15 - Leases</w:t>
      </w:r>
      <w:r>
        <w:rPr>
          <w:rFonts w:ascii="Arial" w:cs="Arial" w:eastAsia="Arial" w:hAnsi="Arial"/>
          <w:sz w:val="20"/>
          <w:szCs w:val="20"/>
          <w:color w:val="auto"/>
        </w:rPr>
        <w:t xml:space="preserve"> for more details on the Company's operating leases.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for Leases for Periods Prior to Adoption of ASC 842</w:t>
      </w:r>
    </w:p>
    <w:p>
      <w:pPr>
        <w:spacing w:after="0" w:line="192" w:lineRule="exact"/>
        <w:rPr>
          <w:sz w:val="20"/>
          <w:szCs w:val="20"/>
          <w:color w:val="auto"/>
        </w:rPr>
      </w:pPr>
    </w:p>
    <w:p>
      <w:pPr>
        <w:jc w:val="both"/>
        <w:ind w:right="360" w:firstLine="490"/>
        <w:spacing w:after="0" w:line="261" w:lineRule="auto"/>
        <w:rPr>
          <w:sz w:val="20"/>
          <w:szCs w:val="20"/>
          <w:color w:val="auto"/>
        </w:rPr>
      </w:pPr>
      <w:r>
        <w:rPr>
          <w:rFonts w:ascii="Arial" w:cs="Arial" w:eastAsia="Arial" w:hAnsi="Arial"/>
          <w:sz w:val="20"/>
          <w:szCs w:val="20"/>
          <w:color w:val="auto"/>
        </w:rPr>
        <w:t>Prior to ASC 842 adoption, operating lease arrangements were recorded off-balance sheet and ROU assets and liabilities were not recognized. Operating lease expense was recognized on a straight-line basis over the term of each lease and free rent periods were recorded as a deferred rent liability.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96"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not considered a business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spacing w:after="0" w:line="157" w:lineRule="exact"/>
        <w:rPr>
          <w:sz w:val="20"/>
          <w:szCs w:val="20"/>
          <w:color w:val="auto"/>
        </w:rPr>
      </w:pPr>
    </w:p>
    <w:p>
      <w:pPr>
        <w:ind w:right="300" w:firstLine="490"/>
        <w:spacing w:after="0" w:line="250" w:lineRule="auto"/>
        <w:rPr>
          <w:sz w:val="20"/>
          <w:szCs w:val="20"/>
          <w:color w:val="auto"/>
        </w:rPr>
      </w:pPr>
      <w:r>
        <w:rPr>
          <w:rFonts w:ascii="Arial" w:cs="Arial" w:eastAsia="Arial" w:hAnsi="Arial"/>
          <w:sz w:val="20"/>
          <w:szCs w:val="20"/>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52"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 xml:space="preserve">The Company early adopted ASU 2021-08, </w:t>
      </w:r>
      <w:r>
        <w:rPr>
          <w:rFonts w:ascii="Arial" w:cs="Arial" w:eastAsia="Arial" w:hAnsi="Arial"/>
          <w:sz w:val="20"/>
          <w:szCs w:val="20"/>
          <w:i w:val="1"/>
          <w:iCs w:val="1"/>
          <w:color w:val="auto"/>
        </w:rPr>
        <w:t>Business Combinations (Topic 805): Accounting for Contract Assets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Contract Liabilities from Contracts with Customers </w:t>
      </w:r>
      <w:r>
        <w:rPr>
          <w:rFonts w:ascii="Arial" w:cs="Arial" w:eastAsia="Arial" w:hAnsi="Arial"/>
          <w:sz w:val="20"/>
          <w:szCs w:val="20"/>
          <w:color w:val="auto"/>
        </w:rPr>
        <w:t>as of October 1, 2021. ASU 2021-08 amends ASC 805 to add contract</w:t>
      </w:r>
      <w:r>
        <w:rPr>
          <w:rFonts w:ascii="Arial" w:cs="Arial" w:eastAsia="Arial" w:hAnsi="Arial"/>
          <w:sz w:val="20"/>
          <w:szCs w:val="20"/>
          <w:i w:val="1"/>
          <w:iCs w:val="1"/>
          <w:color w:val="auto"/>
        </w:rPr>
        <w:t xml:space="preserve"> </w:t>
      </w:r>
      <w:r>
        <w:rPr>
          <w:rFonts w:ascii="Arial" w:cs="Arial" w:eastAsia="Arial" w:hAnsi="Arial"/>
          <w:sz w:val="20"/>
          <w:szCs w:val="20"/>
          <w:color w:val="auto"/>
        </w:rPr>
        <w:t>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Under ASU 2021-08, contract assets and contract liabilities are accounted as if the acquirer entered into the original contract at the same time and same date as the acquiree.</w:t>
      </w:r>
    </w:p>
    <w:p>
      <w:pPr>
        <w:spacing w:after="0" w:line="153"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royalty rates, 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157"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loss until the contingent consideration is settled.</w:t>
      </w:r>
    </w:p>
    <w:p>
      <w:pPr>
        <w:sectPr>
          <w:pgSz w:w="12240" w:h="15840" w:orient="portrait"/>
          <w:cols w:equalWidth="0" w:num="1">
            <w:col w:w="10780"/>
          </w:cols>
          <w:pgMar w:left="720" w:top="1160" w:right="740" w:bottom="186"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0780"/>
          </w:cols>
          <w:pgMar w:left="720" w:top="1160" w:right="740" w:bottom="186" w:gutter="0" w:footer="0" w:header="0"/>
          <w:type w:val="continuous"/>
        </w:sectPr>
      </w:pPr>
    </w:p>
    <w:bookmarkStart w:id="124" w:name="page125"/>
    <w:bookmarkEnd w:id="124"/>
    <w:p>
      <w:pPr>
        <w:ind w:right="100" w:firstLine="490"/>
        <w:spacing w:after="0" w:line="250" w:lineRule="auto"/>
        <w:rPr>
          <w:sz w:val="20"/>
          <w:szCs w:val="20"/>
          <w:color w:val="auto"/>
        </w:rPr>
      </w:pPr>
      <w:r>
        <w:rPr>
          <w:rFonts w:ascii="Arial" w:cs="Arial" w:eastAsia="Arial" w:hAnsi="Arial"/>
          <w:sz w:val="20"/>
          <w:szCs w:val="20"/>
          <w:color w:val="auto"/>
        </w:rPr>
        <w:t xml:space="preserve">The fair value of the contingent consideration in the Company's consolidated balance sheets was determined using either an option pricing model that reflects the Company’s expectations about the probability of payment based on facts and circumstances that existed at the acquisition closing date or a scenario-based method formed on the likelihoods of achieving each of the milestones. See </w:t>
      </w:r>
      <w:r>
        <w:rPr>
          <w:rFonts w:ascii="Arial" w:cs="Arial" w:eastAsia="Arial" w:hAnsi="Arial"/>
          <w:sz w:val="20"/>
          <w:szCs w:val="20"/>
          <w:i w:val="1"/>
          <w:iCs w:val="1"/>
          <w:color w:val="auto"/>
        </w:rPr>
        <w:t>Note 4 - Fair Value Measurements</w:t>
      </w:r>
      <w:r>
        <w:rPr>
          <w:rFonts w:ascii="Arial" w:cs="Arial" w:eastAsia="Arial" w:hAnsi="Arial"/>
          <w:sz w:val="20"/>
          <w:szCs w:val="20"/>
          <w:color w:val="auto"/>
        </w:rPr>
        <w:t xml:space="preserve"> for inputs used to fair value contingent consideration.</w:t>
      </w:r>
    </w:p>
    <w:p>
      <w:pPr>
        <w:spacing w:after="0" w:line="152" w:lineRule="exact"/>
        <w:rPr>
          <w:sz w:val="20"/>
          <w:szCs w:val="20"/>
          <w:color w:val="auto"/>
        </w:rPr>
      </w:pPr>
    </w:p>
    <w:p>
      <w:pPr>
        <w:ind w:right="560" w:firstLine="490"/>
        <w:spacing w:after="0" w:line="282" w:lineRule="auto"/>
        <w:rPr>
          <w:sz w:val="20"/>
          <w:szCs w:val="20"/>
          <w:color w:val="auto"/>
        </w:rPr>
      </w:pPr>
      <w:r>
        <w:rPr>
          <w:rFonts w:ascii="Arial" w:cs="Arial" w:eastAsia="Arial" w:hAnsi="Arial"/>
          <w:sz w:val="20"/>
          <w:szCs w:val="20"/>
          <w:color w:val="auto"/>
        </w:rPr>
        <w:t>Transaction costs related to business combinations are expensed as incurred and are included in general and administrative expense in consolidated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Acquisition</w:t>
      </w:r>
    </w:p>
    <w:p>
      <w:pPr>
        <w:spacing w:after="0" w:line="196"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20"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196" w:lineRule="exact"/>
        <w:rPr>
          <w:sz w:val="20"/>
          <w:szCs w:val="20"/>
          <w:color w:val="auto"/>
        </w:rPr>
      </w:pPr>
    </w:p>
    <w:p>
      <w:pPr>
        <w:ind w:right="20" w:firstLine="490"/>
        <w:spacing w:after="0" w:line="264" w:lineRule="auto"/>
        <w:rPr>
          <w:sz w:val="20"/>
          <w:szCs w:val="20"/>
          <w:color w:val="auto"/>
        </w:rPr>
      </w:pPr>
      <w:r>
        <w:rPr>
          <w:rFonts w:ascii="Arial" w:cs="Arial" w:eastAsia="Arial" w:hAnsi="Arial"/>
          <w:sz w:val="19"/>
          <w:szCs w:val="19"/>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Level 1 - Quoted prices in active markets for identical assets or liabilities.</w:t>
      </w:r>
    </w:p>
    <w:p>
      <w:pPr>
        <w:spacing w:after="0" w:line="200" w:lineRule="exact"/>
        <w:rPr>
          <w:sz w:val="20"/>
          <w:szCs w:val="20"/>
          <w:color w:val="auto"/>
        </w:rPr>
      </w:pPr>
    </w:p>
    <w:p>
      <w:pPr>
        <w:jc w:val="both"/>
        <w:ind w:left="620" w:right="140"/>
        <w:spacing w:after="0" w:line="261" w:lineRule="auto"/>
        <w:rPr>
          <w:sz w:val="20"/>
          <w:szCs w:val="20"/>
          <w:color w:val="auto"/>
        </w:rPr>
      </w:pPr>
      <w:r>
        <w:rPr>
          <w:rFonts w:ascii="Arial" w:cs="Arial" w:eastAsia="Arial" w:hAnsi="Arial"/>
          <w:sz w:val="20"/>
          <w:szCs w:val="20"/>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0" w:lineRule="exact"/>
        <w:rPr>
          <w:sz w:val="20"/>
          <w:szCs w:val="20"/>
          <w:color w:val="auto"/>
        </w:rPr>
      </w:pPr>
    </w:p>
    <w:p>
      <w:pPr>
        <w:ind w:left="620" w:right="100"/>
        <w:spacing w:after="0" w:line="261" w:lineRule="auto"/>
        <w:rPr>
          <w:sz w:val="20"/>
          <w:szCs w:val="20"/>
          <w:color w:val="auto"/>
        </w:rPr>
      </w:pPr>
      <w:r>
        <w:rPr>
          <w:rFonts w:ascii="Arial" w:cs="Arial" w:eastAsia="Arial" w:hAnsi="Arial"/>
          <w:sz w:val="20"/>
          <w:szCs w:val="20"/>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40"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 Warrant Liability</w:t>
      </w:r>
    </w:p>
    <w:p>
      <w:pPr>
        <w:spacing w:after="0" w:line="196" w:lineRule="exact"/>
        <w:rPr>
          <w:sz w:val="20"/>
          <w:szCs w:val="20"/>
          <w:color w:val="auto"/>
        </w:rPr>
      </w:pPr>
    </w:p>
    <w:p>
      <w:pPr>
        <w:ind w:right="140" w:firstLine="490"/>
        <w:spacing w:after="0" w:line="260" w:lineRule="auto"/>
        <w:rPr>
          <w:sz w:val="20"/>
          <w:szCs w:val="20"/>
          <w:color w:val="auto"/>
        </w:rPr>
      </w:pPr>
      <w:r>
        <w:rPr>
          <w:rFonts w:ascii="Arial" w:cs="Arial" w:eastAsia="Arial" w:hAnsi="Arial"/>
          <w:sz w:val="19"/>
          <w:szCs w:val="19"/>
          <w:color w:val="auto"/>
        </w:rPr>
        <w:t>In connection with the Company's financing arrangements, the Company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the Company's consolidated balance sheets as these were free standing instruments that could require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The preferred stock warrants were converted immediately prior to the closing of the IPO into warrants to purchase shares of the Company’s voting common</w:t>
      </w:r>
    </w:p>
    <w:p>
      <w:pPr>
        <w:sectPr>
          <w:pgSz w:w="12240" w:h="15840" w:orient="portrait"/>
          <w:cols w:equalWidth="0" w:num="1">
            <w:col w:w="10760"/>
          </w:cols>
          <w:pgMar w:left="720" w:top="1160" w:right="760" w:bottom="186"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0760"/>
          </w:cols>
          <w:pgMar w:left="720" w:top="1160" w:right="760" w:bottom="186" w:gutter="0" w:footer="0" w:header="0"/>
          <w:type w:val="continuous"/>
        </w:sectPr>
      </w:pPr>
    </w:p>
    <w:bookmarkStart w:id="125" w:name="page126"/>
    <w:bookmarkEnd w:id="125"/>
    <w:p>
      <w:pPr>
        <w:ind w:right="120"/>
        <w:spacing w:after="0" w:line="282" w:lineRule="auto"/>
        <w:rPr>
          <w:sz w:val="20"/>
          <w:szCs w:val="20"/>
          <w:color w:val="auto"/>
        </w:rPr>
      </w:pPr>
      <w:r>
        <w:rPr>
          <w:rFonts w:ascii="Arial" w:cs="Arial" w:eastAsia="Arial" w:hAnsi="Arial"/>
          <w:sz w:val="20"/>
          <w:szCs w:val="20"/>
          <w:color w:val="auto"/>
        </w:rPr>
        <w:t>stock and the associated preferred stock warrant liabilities were remeasured to its fair value and reclassified to additional paid-in capital. As of December 31, 2023 and 2022, there were no preferred stock warrants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Translation and Transactions</w:t>
      </w:r>
    </w:p>
    <w:p>
      <w:pPr>
        <w:spacing w:after="0" w:line="196"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and Australian subsidiaries, is the U.S. Dollar. The functional currency for the U.K. and the Australian subsidiaries is considered to be the local currency and, accordingly, translation adjustments for these entities are included as a component of accumulated other comprehensive income (loss) in the Company’s consolidated balance sheets. Gains and losses from the remeasurement of foreign currency transactions into the functional currency are recognized as in the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Instruments and Hedging</w:t>
      </w:r>
    </w:p>
    <w:p>
      <w:pPr>
        <w:spacing w:after="0" w:line="196" w:lineRule="exact"/>
        <w:rPr>
          <w:sz w:val="20"/>
          <w:szCs w:val="20"/>
          <w:color w:val="auto"/>
        </w:rPr>
      </w:pPr>
    </w:p>
    <w:p>
      <w:pPr>
        <w:ind w:right="120" w:firstLine="490"/>
        <w:spacing w:after="0" w:line="254" w:lineRule="auto"/>
        <w:rPr>
          <w:sz w:val="20"/>
          <w:szCs w:val="20"/>
          <w:color w:val="auto"/>
        </w:rPr>
      </w:pPr>
      <w:r>
        <w:rPr>
          <w:rFonts w:ascii="Arial" w:cs="Arial" w:eastAsia="Arial" w:hAnsi="Arial"/>
          <w:sz w:val="20"/>
          <w:szCs w:val="20"/>
          <w:color w:val="auto"/>
        </w:rPr>
        <w:t>The Company generates revenues and incurs expenses by processing payments in foreign currencies. Changes in the value of foreign currencies could impact the Company’s consolidated statements of operations and comprehensive loss. To mitigate the volatility related to fluctuations in the foreign exchange rates, the Company enters into non-deliverable forward foreign currency contracts.</w:t>
      </w:r>
    </w:p>
    <w:p>
      <w:pPr>
        <w:spacing w:after="0" w:line="146" w:lineRule="exact"/>
        <w:rPr>
          <w:sz w:val="20"/>
          <w:szCs w:val="20"/>
          <w:color w:val="auto"/>
        </w:rPr>
      </w:pPr>
    </w:p>
    <w:p>
      <w:pPr>
        <w:ind w:right="200" w:firstLine="546"/>
        <w:spacing w:after="0" w:line="248" w:lineRule="auto"/>
        <w:rPr>
          <w:sz w:val="20"/>
          <w:szCs w:val="20"/>
          <w:color w:val="auto"/>
        </w:rPr>
      </w:pPr>
      <w:r>
        <w:rPr>
          <w:rFonts w:ascii="Arial" w:cs="Arial" w:eastAsia="Arial" w:hAnsi="Arial"/>
          <w:sz w:val="20"/>
          <w:szCs w:val="20"/>
          <w:color w:val="auto"/>
        </w:rPr>
        <w:t>The Company’s foreign currency forward contracts economically hedge certain risk but are not designated as hedges for financial reporting purposes. All changes in the fair value of these derivative instruments are recorded as foreign currency transaction gains or losses and are included as a component of general and administrative in the consolidated statements of operations and comprehensive loss. The Company records all derivative instruments in the consolidated balance sheet at their fair values in prepaid expenses and other current assets and accrued expenses and other current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96" w:lineRule="exact"/>
        <w:rPr>
          <w:sz w:val="20"/>
          <w:szCs w:val="20"/>
          <w:color w:val="auto"/>
        </w:rPr>
      </w:pPr>
    </w:p>
    <w:p>
      <w:pPr>
        <w:ind w:right="100" w:firstLine="490"/>
        <w:spacing w:after="0" w:line="261" w:lineRule="auto"/>
        <w:rPr>
          <w:sz w:val="20"/>
          <w:szCs w:val="20"/>
          <w:color w:val="auto"/>
        </w:rPr>
      </w:pPr>
      <w:r>
        <w:rPr>
          <w:rFonts w:ascii="Arial" w:cs="Arial" w:eastAsia="Arial" w:hAnsi="Arial"/>
          <w:sz w:val="20"/>
          <w:szCs w:val="20"/>
          <w:color w:val="auto"/>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spacing w:after="0" w:line="140" w:lineRule="exact"/>
        <w:rPr>
          <w:sz w:val="20"/>
          <w:szCs w:val="20"/>
          <w:color w:val="auto"/>
        </w:rPr>
      </w:pPr>
    </w:p>
    <w:p>
      <w:pPr>
        <w:ind w:left="1960" w:hanging="799"/>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Identify the contract(s) with a customer.</w:t>
      </w:r>
    </w:p>
    <w:p>
      <w:pPr>
        <w:spacing w:after="0" w:line="200" w:lineRule="exact"/>
        <w:rPr>
          <w:rFonts w:ascii="Arial" w:cs="Arial" w:eastAsia="Arial" w:hAnsi="Arial"/>
          <w:sz w:val="20"/>
          <w:szCs w:val="20"/>
          <w:color w:val="auto"/>
        </w:rPr>
      </w:pPr>
    </w:p>
    <w:p>
      <w:pPr>
        <w:ind w:left="1960" w:hanging="843"/>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Identify the performance obligations in the contract.</w:t>
      </w:r>
    </w:p>
    <w:p>
      <w:pPr>
        <w:spacing w:after="0" w:line="200" w:lineRule="exact"/>
        <w:rPr>
          <w:rFonts w:ascii="Arial" w:cs="Arial" w:eastAsia="Arial" w:hAnsi="Arial"/>
          <w:sz w:val="20"/>
          <w:szCs w:val="20"/>
          <w:color w:val="auto"/>
        </w:rPr>
      </w:pPr>
    </w:p>
    <w:p>
      <w:pPr>
        <w:ind w:left="1960" w:hanging="887"/>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Determine the transaction price.</w:t>
      </w:r>
    </w:p>
    <w:p>
      <w:pPr>
        <w:spacing w:after="0" w:line="200" w:lineRule="exact"/>
        <w:rPr>
          <w:rFonts w:ascii="Arial" w:cs="Arial" w:eastAsia="Arial" w:hAnsi="Arial"/>
          <w:sz w:val="20"/>
          <w:szCs w:val="20"/>
          <w:color w:val="auto"/>
        </w:rPr>
      </w:pPr>
    </w:p>
    <w:p>
      <w:pPr>
        <w:ind w:left="1960" w:hanging="899"/>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w:t>
      </w:r>
    </w:p>
    <w:p>
      <w:pPr>
        <w:spacing w:after="0" w:line="200" w:lineRule="exact"/>
        <w:rPr>
          <w:rFonts w:ascii="Arial" w:cs="Arial" w:eastAsia="Arial" w:hAnsi="Arial"/>
          <w:sz w:val="20"/>
          <w:szCs w:val="20"/>
          <w:color w:val="auto"/>
        </w:rPr>
      </w:pPr>
    </w:p>
    <w:p>
      <w:pPr>
        <w:ind w:left="1960" w:hanging="854"/>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Recognize revenue as the entity satisfies a performance obligation.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Company derives revenue primarily from transactions and platform and usage-based fees.</w:t>
      </w:r>
    </w:p>
    <w:p>
      <w:pPr>
        <w:spacing w:after="0" w:line="200" w:lineRule="exact"/>
        <w:rPr>
          <w:sz w:val="20"/>
          <w:szCs w:val="20"/>
          <w:color w:val="auto"/>
        </w:rPr>
      </w:pPr>
    </w:p>
    <w:p>
      <w:pPr>
        <w:ind w:left="620" w:right="20" w:firstLine="490"/>
        <w:spacing w:after="0" w:line="258" w:lineRule="auto"/>
        <w:rPr>
          <w:sz w:val="20"/>
          <w:szCs w:val="20"/>
          <w:color w:val="auto"/>
        </w:rPr>
      </w:pPr>
      <w:r>
        <w:rPr>
          <w:rFonts w:ascii="Arial" w:cs="Arial" w:eastAsia="Arial" w:hAnsi="Arial"/>
          <w:sz w:val="19"/>
          <w:szCs w:val="19"/>
          <w:i w:val="1"/>
          <w:iCs w:val="1"/>
          <w:color w:val="auto"/>
        </w:rPr>
        <w:t xml:space="preserve">Transaction Revenue </w:t>
      </w:r>
      <w:r>
        <w:rPr>
          <w:rFonts w:ascii="Arial" w:cs="Arial" w:eastAsia="Arial" w:hAnsi="Arial"/>
          <w:sz w:val="19"/>
          <w:szCs w:val="19"/>
          <w:color w:val="auto"/>
        </w:rPr>
        <w:t>- relate to fees charged for payment processing services provided to educational</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institutions, healthcare 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146" w:lineRule="exact"/>
        <w:rPr>
          <w:sz w:val="20"/>
          <w:szCs w:val="20"/>
          <w:color w:val="auto"/>
        </w:rPr>
      </w:pPr>
    </w:p>
    <w:p>
      <w:pPr>
        <w:ind w:left="620" w:right="300" w:firstLine="490"/>
        <w:spacing w:after="0" w:line="310" w:lineRule="auto"/>
        <w:rPr>
          <w:sz w:val="20"/>
          <w:szCs w:val="20"/>
          <w:color w:val="auto"/>
        </w:rPr>
      </w:pPr>
      <w:r>
        <w:rPr>
          <w:rFonts w:ascii="Arial" w:cs="Arial" w:eastAsia="Arial" w:hAnsi="Arial"/>
          <w:sz w:val="19"/>
          <w:szCs w:val="19"/>
          <w:color w:val="auto"/>
        </w:rPr>
        <w:t>The money can be wired directly from the client’s customer to the Company; however, in certain situations when the client’s customer resides in a country where the Company does not have an active bank account, the</w:t>
      </w:r>
    </w:p>
    <w:p>
      <w:pPr>
        <w:sectPr>
          <w:pgSz w:w="12240" w:h="15840" w:orient="portrait"/>
          <w:cols w:equalWidth="0" w:num="1">
            <w:col w:w="10780"/>
          </w:cols>
          <w:pgMar w:left="720" w:top="1160" w:right="740" w:bottom="186"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10780"/>
          </w:cols>
          <w:pgMar w:left="720" w:top="1160" w:right="740" w:bottom="186" w:gutter="0" w:footer="0" w:header="0"/>
          <w:type w:val="continuous"/>
        </w:sectPr>
      </w:pPr>
    </w:p>
    <w:bookmarkStart w:id="126" w:name="page127"/>
    <w:bookmarkEnd w:id="126"/>
    <w:p>
      <w:pPr>
        <w:ind w:left="620" w:right="380"/>
        <w:spacing w:after="0" w:line="250" w:lineRule="auto"/>
        <w:rPr>
          <w:sz w:val="20"/>
          <w:szCs w:val="20"/>
          <w:color w:val="auto"/>
        </w:rPr>
      </w:pPr>
      <w:r>
        <w:rPr>
          <w:rFonts w:ascii="Arial" w:cs="Arial" w:eastAsia="Arial" w:hAnsi="Arial"/>
          <w:sz w:val="20"/>
          <w:szCs w:val="20"/>
          <w:color w:val="auto"/>
        </w:rPr>
        <w:t>Company uses third-party service providers (Partners) to collect wired funds before remitting the funds to the Company. On a recurring basis, the Partner invoices the Company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52" w:lineRule="exact"/>
        <w:rPr>
          <w:sz w:val="20"/>
          <w:szCs w:val="20"/>
          <w:color w:val="auto"/>
        </w:rPr>
      </w:pPr>
    </w:p>
    <w:p>
      <w:pPr>
        <w:ind w:left="620" w:firstLine="490"/>
        <w:spacing w:after="0" w:line="247" w:lineRule="auto"/>
        <w:rPr>
          <w:sz w:val="20"/>
          <w:szCs w:val="20"/>
          <w:color w:val="auto"/>
        </w:rPr>
      </w:pPr>
      <w:r>
        <w:rPr>
          <w:rFonts w:ascii="Arial" w:cs="Arial" w:eastAsia="Arial" w:hAnsi="Arial"/>
          <w:sz w:val="20"/>
          <w:szCs w:val="20"/>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clients,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153" w:lineRule="exact"/>
        <w:rPr>
          <w:sz w:val="20"/>
          <w:szCs w:val="20"/>
          <w:color w:val="auto"/>
        </w:rPr>
      </w:pPr>
    </w:p>
    <w:p>
      <w:pPr>
        <w:ind w:left="620" w:right="160" w:firstLine="490"/>
        <w:spacing w:after="0" w:line="264" w:lineRule="auto"/>
        <w:rPr>
          <w:sz w:val="20"/>
          <w:szCs w:val="20"/>
          <w:color w:val="auto"/>
        </w:rPr>
      </w:pPr>
      <w:r>
        <w:rPr>
          <w:rFonts w:ascii="Arial" w:cs="Arial" w:eastAsia="Arial" w:hAnsi="Arial"/>
          <w:sz w:val="19"/>
          <w:szCs w:val="19"/>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138" w:lineRule="exact"/>
        <w:rPr>
          <w:sz w:val="20"/>
          <w:szCs w:val="20"/>
          <w:color w:val="auto"/>
        </w:rPr>
      </w:pPr>
    </w:p>
    <w:p>
      <w:pPr>
        <w:ind w:left="620" w:right="260" w:firstLine="490"/>
        <w:spacing w:after="0" w:line="250" w:lineRule="auto"/>
        <w:rPr>
          <w:sz w:val="20"/>
          <w:szCs w:val="20"/>
          <w:color w:val="auto"/>
        </w:rPr>
      </w:pPr>
      <w:r>
        <w:rPr>
          <w:rFonts w:ascii="Arial" w:cs="Arial" w:eastAsia="Arial" w:hAnsi="Arial"/>
          <w:sz w:val="20"/>
          <w:szCs w:val="20"/>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152" w:lineRule="exact"/>
        <w:rPr>
          <w:sz w:val="20"/>
          <w:szCs w:val="20"/>
          <w:color w:val="auto"/>
        </w:rPr>
      </w:pPr>
    </w:p>
    <w:p>
      <w:pPr>
        <w:ind w:left="620" w:right="60" w:firstLine="490"/>
        <w:spacing w:after="0" w:line="250" w:lineRule="auto"/>
        <w:rPr>
          <w:sz w:val="20"/>
          <w:szCs w:val="20"/>
          <w:color w:val="auto"/>
        </w:rPr>
      </w:pPr>
      <w:r>
        <w:rPr>
          <w:rFonts w:ascii="Arial" w:cs="Arial" w:eastAsia="Arial" w:hAnsi="Arial"/>
          <w:sz w:val="20"/>
          <w:szCs w:val="20"/>
          <w:color w:val="auto"/>
        </w:rPr>
        <w:t xml:space="preserve">The Company also earns revenue from interest on funds held for customers, which do not represent revenues recognized in the scope of ASC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As the Company processes payment transactions, customer funds are initially deposited into the Company’s bank accounts that are separate from the Company’s operating cash accounts until remitted to the customers. Interest is earned from interest bearing deposit accounts.</w:t>
      </w:r>
    </w:p>
    <w:p>
      <w:pPr>
        <w:spacing w:after="0" w:line="152" w:lineRule="exact"/>
        <w:rPr>
          <w:sz w:val="20"/>
          <w:szCs w:val="20"/>
          <w:color w:val="auto"/>
        </w:rPr>
      </w:pPr>
    </w:p>
    <w:p>
      <w:pPr>
        <w:ind w:left="620" w:right="180" w:firstLine="490"/>
        <w:spacing w:after="0" w:line="250" w:lineRule="auto"/>
        <w:rPr>
          <w:sz w:val="20"/>
          <w:szCs w:val="20"/>
          <w:color w:val="auto"/>
        </w:rPr>
      </w:pPr>
      <w:r>
        <w:rPr>
          <w:rFonts w:ascii="Arial" w:cs="Arial" w:eastAsia="Arial" w:hAnsi="Arial"/>
          <w:sz w:val="20"/>
          <w:szCs w:val="20"/>
          <w:i w:val="1"/>
          <w:iCs w:val="1"/>
          <w:color w:val="auto"/>
        </w:rPr>
        <w:t xml:space="preserve">Platform and usage-based fee revenue </w:t>
      </w:r>
      <w:r>
        <w:rPr>
          <w:rFonts w:ascii="Arial" w:cs="Arial" w:eastAsia="Arial" w:hAnsi="Arial"/>
          <w:sz w:val="20"/>
          <w:szCs w:val="20"/>
          <w:color w:val="auto"/>
        </w:rPr>
        <w:t>- relate to fees earned for utilizing the Company’s platform to collect</w:t>
      </w:r>
      <w:r>
        <w:rPr>
          <w:rFonts w:ascii="Arial" w:cs="Arial" w:eastAsia="Arial" w:hAnsi="Arial"/>
          <w:sz w:val="20"/>
          <w:szCs w:val="20"/>
          <w:i w:val="1"/>
          <w:iCs w:val="1"/>
          <w:color w:val="auto"/>
        </w:rPr>
        <w:t xml:space="preserve"> </w:t>
      </w:r>
      <w:r>
        <w:rPr>
          <w:rFonts w:ascii="Arial" w:cs="Arial" w:eastAsia="Arial" w:hAnsi="Arial"/>
          <w:sz w:val="20"/>
          <w:szCs w:val="20"/>
          <w:color w:val="auto"/>
        </w:rPr>
        <w:t>their accounts 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Performance Obligations</w:t>
      </w:r>
    </w:p>
    <w:p>
      <w:pPr>
        <w:spacing w:after="0" w:line="192" w:lineRule="exact"/>
        <w:rPr>
          <w:sz w:val="20"/>
          <w:szCs w:val="20"/>
          <w:color w:val="auto"/>
        </w:rPr>
      </w:pPr>
    </w:p>
    <w:p>
      <w:pPr>
        <w:jc w:val="both"/>
        <w:ind w:right="300" w:firstLine="490"/>
        <w:spacing w:after="0" w:line="261" w:lineRule="auto"/>
        <w:rPr>
          <w:sz w:val="20"/>
          <w:szCs w:val="20"/>
          <w:color w:val="auto"/>
        </w:rPr>
      </w:pPr>
      <w:r>
        <w:rPr>
          <w:rFonts w:ascii="Arial" w:cs="Arial" w:eastAsia="Arial" w:hAnsi="Arial"/>
          <w:sz w:val="20"/>
          <w:szCs w:val="20"/>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140"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14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For those arrangements that include fixed consideration, the fixed component is recognized ratably over the service period while variable consideration is recognized in the period earned.</w:t>
      </w:r>
    </w:p>
    <w:p>
      <w:pPr>
        <w:spacing w:after="0" w:line="120"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ectPr>
          <w:pgSz w:w="12240" w:h="15840" w:orient="portrait"/>
          <w:cols w:equalWidth="0" w:num="1">
            <w:col w:w="10780"/>
          </w:cols>
          <w:pgMar w:left="720" w:top="1160"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125</w:t>
      </w:r>
    </w:p>
    <w:p>
      <w:pPr>
        <w:sectPr>
          <w:pgSz w:w="12240" w:h="15840" w:orient="portrait"/>
          <w:cols w:equalWidth="0" w:num="1">
            <w:col w:w="10780"/>
          </w:cols>
          <w:pgMar w:left="720" w:top="1160" w:right="740" w:bottom="186"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i w:val="1"/>
          <w:iCs w:val="1"/>
          <w:color w:val="auto"/>
        </w:rPr>
        <w:t>Variable Consideration</w:t>
      </w:r>
    </w:p>
    <w:p>
      <w:pPr>
        <w:spacing w:after="0" w:line="192"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Payment Terms</w:t>
      </w:r>
    </w:p>
    <w:p>
      <w:pPr>
        <w:spacing w:after="0" w:line="192" w:lineRule="exact"/>
        <w:rPr>
          <w:sz w:val="20"/>
          <w:szCs w:val="20"/>
          <w:color w:val="auto"/>
        </w:rPr>
      </w:pPr>
    </w:p>
    <w:p>
      <w:pPr>
        <w:ind w:right="320" w:firstLine="490"/>
        <w:spacing w:after="0" w:line="261" w:lineRule="auto"/>
        <w:rPr>
          <w:sz w:val="20"/>
          <w:szCs w:val="20"/>
          <w:color w:val="auto"/>
        </w:rPr>
      </w:pPr>
      <w:r>
        <w:rPr>
          <w:rFonts w:ascii="Arial" w:cs="Arial" w:eastAsia="Arial" w:hAnsi="Arial"/>
          <w:sz w:val="20"/>
          <w:szCs w:val="20"/>
          <w:color w:val="auto"/>
        </w:rPr>
        <w:t>The Company’s payment terms vary by type of client, client’s customer and services offered and ranges between one and 60 days. Typically, the Company charges either a fixed fee, a fixed fee per transaction or percentage of transaction value or a combination of both.</w:t>
      </w:r>
    </w:p>
    <w:p>
      <w:pPr>
        <w:spacing w:after="0" w:line="140"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2023, 2022 and 2021.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 Recognition Policies</w:t>
      </w:r>
    </w:p>
    <w:p>
      <w:pPr>
        <w:spacing w:after="0" w:line="192"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92" w:lineRule="exact"/>
        <w:rPr>
          <w:sz w:val="20"/>
          <w:szCs w:val="20"/>
          <w:color w:val="auto"/>
        </w:rPr>
      </w:pPr>
    </w:p>
    <w:p>
      <w:pPr>
        <w:ind w:right="220" w:firstLine="490"/>
        <w:spacing w:after="0" w:line="250" w:lineRule="auto"/>
        <w:rPr>
          <w:sz w:val="20"/>
          <w:szCs w:val="20"/>
          <w:color w:val="auto"/>
        </w:rPr>
      </w:pPr>
      <w:r>
        <w:rPr>
          <w:rFonts w:ascii="Arial" w:cs="Arial" w:eastAsia="Arial" w:hAnsi="Arial"/>
          <w:sz w:val="20"/>
          <w:szCs w:val="20"/>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2 - Revenue and Recognition</w:t>
      </w:r>
      <w:r>
        <w:rPr>
          <w:rFonts w:ascii="Arial" w:cs="Arial" w:eastAsia="Arial" w:hAnsi="Arial"/>
          <w:sz w:val="20"/>
          <w:szCs w:val="20"/>
          <w:color w:val="auto"/>
        </w:rPr>
        <w:t xml:space="preserve"> for additional information on revenue recognition.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 Processing Services Costs</w:t>
      </w:r>
    </w:p>
    <w:p>
      <w:pPr>
        <w:spacing w:after="0" w:line="196"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to our FlyMates who provide implementation services to its clients.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Technology and Development</w:t>
      </w:r>
    </w:p>
    <w:p>
      <w:pPr>
        <w:spacing w:after="0" w:line="19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and Marketing</w:t>
      </w:r>
    </w:p>
    <w:p>
      <w:pPr>
        <w:spacing w:after="0" w:line="196" w:lineRule="exact"/>
        <w:rPr>
          <w:sz w:val="20"/>
          <w:szCs w:val="20"/>
          <w:color w:val="auto"/>
        </w:rPr>
      </w:pPr>
    </w:p>
    <w:p>
      <w:pPr>
        <w:ind w:right="720" w:firstLine="490"/>
        <w:spacing w:after="0" w:line="310" w:lineRule="auto"/>
        <w:rPr>
          <w:sz w:val="20"/>
          <w:szCs w:val="20"/>
          <w:color w:val="auto"/>
        </w:rPr>
      </w:pPr>
      <w:r>
        <w:rPr>
          <w:rFonts w:ascii="Arial" w:cs="Arial" w:eastAsia="Arial" w:hAnsi="Arial"/>
          <w:sz w:val="19"/>
          <w:szCs w:val="19"/>
          <w:color w:val="auto"/>
        </w:rPr>
        <w:t>Selling and marketing expenses consist of personnel-related expenses, including stock-based compensation expense, sales commissions, amortization of acquired customer relationship intangible assets, marketing program</w:t>
      </w:r>
    </w:p>
    <w:p>
      <w:pPr>
        <w:sectPr>
          <w:pgSz w:w="12240" w:h="15840" w:orient="portrait"/>
          <w:cols w:equalWidth="0" w:num="1">
            <w:col w:w="10800"/>
          </w:cols>
          <w:pgMar w:left="720" w:top="1168" w:right="720" w:bottom="186"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10800"/>
          </w:cols>
          <w:pgMar w:left="720" w:top="1168" w:right="720" w:bottom="186" w:gutter="0" w:footer="0" w:header="0"/>
          <w:type w:val="continuous"/>
        </w:sectPr>
      </w:pPr>
    </w:p>
    <w:bookmarkStart w:id="128" w:name="page129"/>
    <w:bookmarkEnd w:id="128"/>
    <w:p>
      <w:pPr>
        <w:ind w:right="280"/>
        <w:spacing w:after="0" w:line="282" w:lineRule="auto"/>
        <w:rPr>
          <w:sz w:val="20"/>
          <w:szCs w:val="20"/>
          <w:color w:val="auto"/>
        </w:rPr>
      </w:pPr>
      <w:r>
        <w:rPr>
          <w:rFonts w:ascii="Arial" w:cs="Arial" w:eastAsia="Arial" w:hAnsi="Arial"/>
          <w:sz w:val="20"/>
          <w:szCs w:val="20"/>
          <w:color w:val="auto"/>
        </w:rPr>
        <w:t>expenses, travel-related expenses and costs to market and promote the Company's solutions through advertisements, marketing events, partnership arrangements, and direct client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196" w:lineRule="exact"/>
        <w:rPr>
          <w:sz w:val="20"/>
          <w:szCs w:val="20"/>
          <w:color w:val="auto"/>
        </w:rPr>
      </w:pPr>
    </w:p>
    <w:p>
      <w:pPr>
        <w:ind w:right="200" w:firstLine="490"/>
        <w:spacing w:after="0" w:line="261" w:lineRule="auto"/>
        <w:rPr>
          <w:sz w:val="20"/>
          <w:szCs w:val="20"/>
          <w:color w:val="auto"/>
        </w:rPr>
      </w:pPr>
      <w:r>
        <w:rPr>
          <w:rFonts w:ascii="Arial" w:cs="Arial" w:eastAsia="Arial" w:hAnsi="Arial"/>
          <w:sz w:val="20"/>
          <w:szCs w:val="20"/>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Advertising Costs</w:t>
      </w:r>
    </w:p>
    <w:p>
      <w:pPr>
        <w:spacing w:after="0" w:line="196" w:lineRule="exact"/>
        <w:rPr>
          <w:sz w:val="20"/>
          <w:szCs w:val="20"/>
          <w:color w:val="auto"/>
        </w:rPr>
      </w:pPr>
    </w:p>
    <w:p>
      <w:pPr>
        <w:jc w:val="both"/>
        <w:ind w:right="100" w:firstLine="490"/>
        <w:spacing w:after="0" w:line="261" w:lineRule="auto"/>
        <w:rPr>
          <w:sz w:val="20"/>
          <w:szCs w:val="20"/>
          <w:color w:val="auto"/>
        </w:rPr>
      </w:pPr>
      <w:r>
        <w:rPr>
          <w:rFonts w:ascii="Arial" w:cs="Arial" w:eastAsia="Arial" w:hAnsi="Arial"/>
          <w:sz w:val="20"/>
          <w:szCs w:val="20"/>
          <w:color w:val="auto"/>
        </w:rPr>
        <w:t>Advertising costs are expensed as incurred and are included in selling and marketing expenses in the consolidated statements of operations and comprehensive loss. Advertising expenses were $6.6 million, $4.9 million and $3.2 million for the years ended December 31, 2023, 2022 and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96" w:lineRule="exact"/>
        <w:rPr>
          <w:sz w:val="20"/>
          <w:szCs w:val="20"/>
          <w:color w:val="auto"/>
        </w:rPr>
      </w:pPr>
    </w:p>
    <w:p>
      <w:pPr>
        <w:jc w:val="both"/>
        <w:ind w:right="160" w:firstLine="490"/>
        <w:spacing w:after="0" w:line="261" w:lineRule="auto"/>
        <w:rPr>
          <w:sz w:val="20"/>
          <w:szCs w:val="20"/>
          <w:color w:val="auto"/>
        </w:rPr>
      </w:pPr>
      <w:r>
        <w:rPr>
          <w:rFonts w:ascii="Arial" w:cs="Arial" w:eastAsia="Arial" w:hAnsi="Arial"/>
          <w:sz w:val="20"/>
          <w:szCs w:val="20"/>
          <w:color w:val="auto"/>
        </w:rPr>
        <w:t>The Company recognizes compensation cost for all stock-based compensation awards made to employees, net of an estimated forfeiture rate and recognizes compensation cost only for those shares expected to vest over the requisite service period of the award.</w:t>
      </w:r>
    </w:p>
    <w:p>
      <w:pPr>
        <w:spacing w:after="0" w:line="140" w:lineRule="exact"/>
        <w:rPr>
          <w:sz w:val="20"/>
          <w:szCs w:val="20"/>
          <w:color w:val="auto"/>
        </w:rPr>
      </w:pPr>
    </w:p>
    <w:p>
      <w:pPr>
        <w:ind w:right="40" w:firstLine="490"/>
        <w:spacing w:after="0" w:line="282" w:lineRule="auto"/>
        <w:rPr>
          <w:sz w:val="20"/>
          <w:szCs w:val="20"/>
          <w:color w:val="auto"/>
        </w:rPr>
      </w:pPr>
      <w:r>
        <w:rPr>
          <w:rFonts w:ascii="Arial" w:cs="Arial" w:eastAsia="Arial" w:hAnsi="Arial"/>
          <w:sz w:val="20"/>
          <w:szCs w:val="20"/>
          <w:color w:val="auto"/>
        </w:rPr>
        <w:t>The Company determines compensation expense associated with restricted stock units and restricted stock awards based on the fair value of the Company's common stock on the date of the grant.</w:t>
      </w:r>
    </w:p>
    <w:p>
      <w:pPr>
        <w:spacing w:after="0" w:line="120"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The Company determines compensation expense associated with options to purchase shares of common stock and Employee Stock Purchase Plan (ESPP) based on the grant date fair value method using the Black-Scholes valuation model.</w:t>
      </w:r>
    </w:p>
    <w:p>
      <w:pPr>
        <w:spacing w:after="0" w:line="140"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auto"/>
        </w:rPr>
        <w:t>The Black-Scholes valuation model requires judgments and estimates. Such estimates include the exercise price, expected volatility, expected term, risk free rate and expected dividend yield. Any changes to those estimates may have a significant impact on the stock-based compensation expense recorded and could materially impact the Company’s results of operations.</w:t>
      </w:r>
    </w:p>
    <w:p>
      <w:pPr>
        <w:spacing w:after="0" w:line="14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Prior to the Company's IPO, the fair value of shares of common stock was determined by the Company’s board of directors, with input from management and the assistance of a third-party valuation specialist. The Company’s board of directors exercised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 Following the Company’s IPO, its board of directors no longer estimate the fair value of the Company’s common stock as the fair value of the Company’s common stock is determined based on the closing quoted market price of the Company’s common stock.</w:t>
      </w:r>
    </w:p>
    <w:p>
      <w:pPr>
        <w:spacing w:after="0" w:line="162"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The expected volatility is estimated based on the historical volatility of the Company’s common stock. However, since the Company’s IPO occurred in 2021, the Company lacked sufficient Company-specific historical and implied volatility information for its stock options granted in 2022 and 2021; therefore, the Company estimated its expected stock volatility based on the historical volatility of publicly traded peer companies.</w:t>
      </w:r>
    </w:p>
    <w:p>
      <w:pPr>
        <w:spacing w:after="0" w:line="146" w:lineRule="exact"/>
        <w:rPr>
          <w:sz w:val="20"/>
          <w:szCs w:val="20"/>
          <w:color w:val="auto"/>
        </w:rPr>
      </w:pPr>
    </w:p>
    <w:p>
      <w:pPr>
        <w:ind w:right="280" w:firstLine="490"/>
        <w:spacing w:after="0" w:line="261" w:lineRule="auto"/>
        <w:rPr>
          <w:sz w:val="20"/>
          <w:szCs w:val="20"/>
          <w:color w:val="auto"/>
        </w:rPr>
      </w:pPr>
      <w:r>
        <w:rPr>
          <w:rFonts w:ascii="Arial" w:cs="Arial" w:eastAsia="Arial" w:hAnsi="Arial"/>
          <w:sz w:val="20"/>
          <w:szCs w:val="20"/>
          <w:color w:val="auto"/>
        </w:rPr>
        <w:t>The expected term represents the period that stock-based awards are expected to be outstanding. The expected term for options grants is determined using the simplified method. The simplified method deems the term to be the average of the time-to-vesting and the contractual life of the stock-based awards.</w:t>
      </w:r>
    </w:p>
    <w:p>
      <w:pPr>
        <w:spacing w:after="0" w:line="140" w:lineRule="exact"/>
        <w:rPr>
          <w:sz w:val="20"/>
          <w:szCs w:val="20"/>
          <w:color w:val="auto"/>
        </w:rPr>
      </w:pPr>
    </w:p>
    <w:p>
      <w:pPr>
        <w:ind w:right="40" w:firstLine="490"/>
        <w:spacing w:after="0" w:line="282" w:lineRule="auto"/>
        <w:rPr>
          <w:sz w:val="20"/>
          <w:szCs w:val="20"/>
          <w:color w:val="auto"/>
        </w:rPr>
      </w:pPr>
      <w:r>
        <w:rPr>
          <w:rFonts w:ascii="Arial" w:cs="Arial" w:eastAsia="Arial" w:hAnsi="Arial"/>
          <w:sz w:val="20"/>
          <w:szCs w:val="20"/>
          <w:color w:val="auto"/>
        </w:rPr>
        <w:t>The risk-free interest rate is determined by reference to the U.S. Treasury yield curve in effect at the time of grant of the award for time periods approximately equal to the expected term of the award.</w:t>
      </w:r>
    </w:p>
    <w:p>
      <w:pPr>
        <w:spacing w:after="0" w:line="120" w:lineRule="exact"/>
        <w:rPr>
          <w:sz w:val="20"/>
          <w:szCs w:val="20"/>
          <w:color w:val="auto"/>
        </w:rPr>
      </w:pPr>
    </w:p>
    <w:p>
      <w:pPr>
        <w:ind w:right="180" w:firstLine="490"/>
        <w:spacing w:after="0" w:line="282" w:lineRule="auto"/>
        <w:rPr>
          <w:sz w:val="20"/>
          <w:szCs w:val="20"/>
          <w:color w:val="auto"/>
        </w:rPr>
      </w:pPr>
      <w:r>
        <w:rPr>
          <w:rFonts w:ascii="Arial" w:cs="Arial" w:eastAsia="Arial" w:hAnsi="Arial"/>
          <w:sz w:val="20"/>
          <w:szCs w:val="20"/>
          <w:color w:val="auto"/>
        </w:rPr>
        <w:t>Expected dividend yield is zero based on the fact that the Company does not have a history of declaring or paying cash dividends.</w:t>
      </w:r>
    </w:p>
    <w:p>
      <w:pPr>
        <w:spacing w:after="0" w:line="120" w:lineRule="exact"/>
        <w:rPr>
          <w:sz w:val="20"/>
          <w:szCs w:val="20"/>
          <w:color w:val="auto"/>
        </w:rPr>
      </w:pPr>
    </w:p>
    <w:p>
      <w:pPr>
        <w:ind w:right="140" w:firstLine="490"/>
        <w:spacing w:after="0" w:line="282" w:lineRule="auto"/>
        <w:rPr>
          <w:sz w:val="20"/>
          <w:szCs w:val="20"/>
          <w:color w:val="auto"/>
        </w:rPr>
      </w:pPr>
      <w:r>
        <w:rPr>
          <w:rFonts w:ascii="Arial" w:cs="Arial" w:eastAsia="Arial" w:hAnsi="Arial"/>
          <w:sz w:val="20"/>
          <w:szCs w:val="20"/>
          <w:color w:val="auto"/>
        </w:rPr>
        <w:t>Compensation expense is recognized using a straight-line amortization method over the requisite service period of the award, which is generally the vesting term of four years for stock options and restricted stock awards, one to four</w:t>
      </w:r>
    </w:p>
    <w:p>
      <w:pPr>
        <w:sectPr>
          <w:pgSz w:w="12240" w:h="15840" w:orient="portrait"/>
          <w:cols w:equalWidth="0" w:num="1">
            <w:col w:w="10740"/>
          </w:cols>
          <w:pgMar w:left="720" w:top="1160" w:right="780" w:bottom="186" w:gutter="0" w:footer="0" w:header="0"/>
        </w:sectPr>
      </w:pP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10740"/>
          </w:cols>
          <w:pgMar w:left="720" w:top="1160" w:right="780" w:bottom="186" w:gutter="0" w:footer="0" w:header="0"/>
          <w:type w:val="continuous"/>
        </w:sectPr>
      </w:pPr>
    </w:p>
    <w:bookmarkStart w:id="129" w:name="page130"/>
    <w:bookmarkEnd w:id="129"/>
    <w:p>
      <w:pPr>
        <w:ind w:right="300"/>
        <w:spacing w:after="0" w:line="281" w:lineRule="auto"/>
        <w:rPr>
          <w:sz w:val="20"/>
          <w:szCs w:val="20"/>
          <w:color w:val="auto"/>
        </w:rPr>
      </w:pPr>
      <w:r>
        <w:rPr>
          <w:rFonts w:ascii="Arial" w:cs="Arial" w:eastAsia="Arial" w:hAnsi="Arial"/>
          <w:sz w:val="19"/>
          <w:szCs w:val="19"/>
          <w:color w:val="auto"/>
        </w:rPr>
        <w:t>years for restricted stock units and the offering period of 6 months for ESPP. The Company has elected to estimate the expected forfeiture rate and recognize expense only for those shares expected to vest. The expected forfeiture rate is estimated based on historical experience, which was determined to be 5% for the year ending December 31, 2023.</w:t>
      </w:r>
    </w:p>
    <w:p>
      <w:pPr>
        <w:spacing w:after="0" w:line="123" w:lineRule="exact"/>
        <w:rPr>
          <w:sz w:val="20"/>
          <w:szCs w:val="20"/>
          <w:color w:val="auto"/>
        </w:rPr>
      </w:pPr>
    </w:p>
    <w:p>
      <w:pPr>
        <w:ind w:right="660" w:firstLine="490"/>
        <w:spacing w:after="0" w:line="282" w:lineRule="auto"/>
        <w:rPr>
          <w:sz w:val="20"/>
          <w:szCs w:val="20"/>
          <w:color w:val="auto"/>
        </w:rPr>
      </w:pPr>
      <w:r>
        <w:rPr>
          <w:rFonts w:ascii="Arial" w:cs="Arial" w:eastAsia="Arial" w:hAnsi="Arial"/>
          <w:sz w:val="20"/>
          <w:szCs w:val="20"/>
          <w:color w:val="auto"/>
        </w:rPr>
        <w:t>The Company classifies stock-based compensation expense in its consolidated statements of operations and comprehensive loss in the same manner in which the award recipient’s payroll costs are classified.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96"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Company accounts for income taxes using the asset and liability method, which requires the recognition of deferred tax assets and liabilities for the expected future tax consequences of temporary differences between the financial statement and the tax basis of assets and liabilities, as measured by enacted tax rates anticipated to be in effect when these differences are expected to reverse.</w:t>
      </w:r>
    </w:p>
    <w:p>
      <w:pPr>
        <w:spacing w:after="0" w:line="146"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140" w:lineRule="exact"/>
        <w:rPr>
          <w:sz w:val="20"/>
          <w:szCs w:val="20"/>
          <w:color w:val="auto"/>
        </w:rPr>
      </w:pPr>
    </w:p>
    <w:p>
      <w:pPr>
        <w:ind w:right="180" w:firstLine="490"/>
        <w:spacing w:after="0" w:line="248" w:lineRule="auto"/>
        <w:rPr>
          <w:sz w:val="20"/>
          <w:szCs w:val="20"/>
          <w:color w:val="auto"/>
        </w:rPr>
      </w:pPr>
      <w:r>
        <w:rPr>
          <w:rFonts w:ascii="Arial" w:cs="Arial" w:eastAsia="Arial" w:hAnsi="Arial"/>
          <w:sz w:val="20"/>
          <w:szCs w:val="20"/>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spacing w:after="0" w:line="154" w:lineRule="exact"/>
        <w:rPr>
          <w:sz w:val="20"/>
          <w:szCs w:val="20"/>
          <w:color w:val="auto"/>
        </w:rPr>
      </w:pPr>
    </w:p>
    <w:p>
      <w:pPr>
        <w:ind w:right="200" w:firstLine="490"/>
        <w:spacing w:after="0" w:line="282" w:lineRule="auto"/>
        <w:rPr>
          <w:sz w:val="20"/>
          <w:szCs w:val="20"/>
          <w:color w:val="auto"/>
        </w:rPr>
      </w:pPr>
      <w:r>
        <w:rPr>
          <w:rFonts w:ascii="Arial" w:cs="Arial" w:eastAsia="Arial" w:hAnsi="Arial"/>
          <w:sz w:val="20"/>
          <w:szCs w:val="20"/>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120" w:lineRule="exact"/>
        <w:rPr>
          <w:sz w:val="20"/>
          <w:szCs w:val="20"/>
          <w:color w:val="auto"/>
        </w:rPr>
      </w:pPr>
    </w:p>
    <w:p>
      <w:pPr>
        <w:ind w:right="100" w:firstLine="490"/>
        <w:spacing w:after="0" w:line="261" w:lineRule="auto"/>
        <w:rPr>
          <w:sz w:val="20"/>
          <w:szCs w:val="20"/>
          <w:color w:val="auto"/>
        </w:rPr>
      </w:pPr>
      <w:r>
        <w:rPr>
          <w:rFonts w:ascii="Arial" w:cs="Arial" w:eastAsia="Arial" w:hAnsi="Arial"/>
          <w:sz w:val="20"/>
          <w:szCs w:val="20"/>
          <w:color w:val="auto"/>
        </w:rPr>
        <w:t>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Loss</w:t>
      </w:r>
    </w:p>
    <w:p>
      <w:pPr>
        <w:spacing w:after="0" w:line="196" w:lineRule="exact"/>
        <w:rPr>
          <w:sz w:val="20"/>
          <w:szCs w:val="20"/>
          <w:color w:val="auto"/>
        </w:rPr>
      </w:pPr>
    </w:p>
    <w:p>
      <w:pPr>
        <w:ind w:right="220" w:firstLine="490"/>
        <w:spacing w:after="0" w:line="261" w:lineRule="auto"/>
        <w:rPr>
          <w:sz w:val="20"/>
          <w:szCs w:val="20"/>
          <w:color w:val="auto"/>
        </w:rPr>
      </w:pPr>
      <w:r>
        <w:rPr>
          <w:rFonts w:ascii="Arial" w:cs="Arial" w:eastAsia="Arial" w:hAnsi="Arial"/>
          <w:sz w:val="20"/>
          <w:szCs w:val="20"/>
          <w:color w:val="auto"/>
        </w:rPr>
        <w:t>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 per Share</w:t>
      </w:r>
    </w:p>
    <w:p>
      <w:pPr>
        <w:spacing w:after="0" w:line="19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The Company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income (loss) attributable to common stockholders was not allocated to the convertible preferred stock or the redeemable convertible preferred stock as the preferred stockholders did not have a contractual obligation to share in the Company’s losses.</w:t>
      </w:r>
    </w:p>
    <w:p>
      <w:pPr>
        <w:spacing w:after="0" w:line="154"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including all potentially dilutive common shares, if the effect of such shares is dilutive.</w:t>
      </w:r>
    </w:p>
    <w:p>
      <w:pPr>
        <w:spacing w:after="0" w:line="153" w:lineRule="exact"/>
        <w:rPr>
          <w:sz w:val="20"/>
          <w:szCs w:val="20"/>
          <w:color w:val="auto"/>
        </w:rPr>
      </w:pPr>
    </w:p>
    <w:p>
      <w:pPr>
        <w:jc w:val="both"/>
        <w:ind w:right="200" w:firstLine="490"/>
        <w:spacing w:after="0" w:line="261" w:lineRule="auto"/>
        <w:rPr>
          <w:sz w:val="20"/>
          <w:szCs w:val="20"/>
          <w:color w:val="auto"/>
        </w:rPr>
      </w:pPr>
      <w:r>
        <w:rPr>
          <w:rFonts w:ascii="Arial" w:cs="Arial" w:eastAsia="Arial" w:hAnsi="Arial"/>
          <w:sz w:val="20"/>
          <w:szCs w:val="20"/>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w:t>
      </w:r>
    </w:p>
    <w:p>
      <w:pPr>
        <w:sectPr>
          <w:pgSz w:w="12240" w:h="15840" w:orient="portrait"/>
          <w:cols w:equalWidth="0" w:num="1">
            <w:col w:w="10800"/>
          </w:cols>
          <w:pgMar w:left="720" w:top="1160" w:right="720" w:bottom="186"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10800"/>
          </w:cols>
          <w:pgMar w:left="720" w:top="1160" w:right="720" w:bottom="186" w:gutter="0" w:footer="0" w:header="0"/>
          <w:type w:val="continuous"/>
        </w:sectPr>
      </w:pPr>
    </w:p>
    <w:bookmarkStart w:id="130" w:name="page131"/>
    <w:bookmarkEnd w:id="130"/>
    <w:p>
      <w:pPr>
        <w:ind w:right="100"/>
        <w:spacing w:after="0" w:line="261" w:lineRule="auto"/>
        <w:rPr>
          <w:sz w:val="20"/>
          <w:szCs w:val="20"/>
          <w:color w:val="auto"/>
        </w:rPr>
      </w:pPr>
      <w:r>
        <w:rPr>
          <w:rFonts w:ascii="Arial" w:cs="Arial" w:eastAsia="Arial" w:hAnsi="Arial"/>
          <w:sz w:val="20"/>
          <w:szCs w:val="20"/>
          <w:color w:val="auto"/>
        </w:rPr>
        <w:t>loss attributable to common stockholders for the years ended December 31, 2023, 2022 and 2021; accordingly, basic net loss per share attributable to common stockholders was the same as diluted net loss per share attributable to common stockholders.</w:t>
      </w:r>
    </w:p>
    <w:p>
      <w:pPr>
        <w:spacing w:after="0" w:line="140" w:lineRule="exact"/>
        <w:rPr>
          <w:sz w:val="20"/>
          <w:szCs w:val="20"/>
          <w:color w:val="auto"/>
        </w:rPr>
      </w:pPr>
    </w:p>
    <w:p>
      <w:pPr>
        <w:ind w:right="280" w:firstLine="490"/>
        <w:spacing w:after="0" w:line="250" w:lineRule="auto"/>
        <w:rPr>
          <w:sz w:val="20"/>
          <w:szCs w:val="20"/>
          <w:color w:val="auto"/>
        </w:rPr>
      </w:pPr>
      <w:r>
        <w:rPr>
          <w:rFonts w:ascii="Arial" w:cs="Arial" w:eastAsia="Arial" w:hAnsi="Arial"/>
          <w:sz w:val="20"/>
          <w:szCs w:val="20"/>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196"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auto"/>
        </w:rPr>
        <w:t>The following ASU was issued by the Financial Accounting Standards Board (FASB) and adopted by Flywire during the year ended December 31, 2023:</w:t>
      </w:r>
    </w:p>
    <w:p>
      <w:pPr>
        <w:spacing w:after="0" w:line="12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 xml:space="preserve">ASU 2020-04, </w:t>
      </w:r>
      <w:r>
        <w:rPr>
          <w:rFonts w:ascii="Arial" w:cs="Arial" w:eastAsia="Arial" w:hAnsi="Arial"/>
          <w:sz w:val="20"/>
          <w:szCs w:val="20"/>
          <w:i w:val="1"/>
          <w:iCs w:val="1"/>
          <w:color w:val="auto"/>
        </w:rPr>
        <w:t>Reference Rate Reform (Topic 848): Facilitation of the Effects of Reference Rate Reform on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Reporting</w:t>
      </w:r>
      <w:r>
        <w:rPr>
          <w:rFonts w:ascii="Arial" w:cs="Arial" w:eastAsia="Arial" w:hAnsi="Arial"/>
          <w:sz w:val="20"/>
          <w:szCs w:val="20"/>
          <w:color w:val="auto"/>
        </w:rPr>
        <w:t>: ASU 2020-04 provides optional guidance to ease the potential burden in accounting for (or recognizing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effects of) reference rate reform on financial reporting in response to concerns about structural risks of the cessation of London Interbank Offered Rate (LIBOR). It also provides optional expedients and exceptions for applying GAAP to contracts, hedging relationships and other transactions affected by reference rate reform if certain criteria are met. ASU 2020-04 applies only to contracts and hedging relationships that reference LIBOR or another reference rate expected to be discontinued due to reference rate reform. The Company adopted ASU 2020-04 as of June 30, 2023. The adoption of this standard did not have a material impact on Flywire's consolidated financial statements. Refer to </w:t>
      </w:r>
      <w:r>
        <w:rPr>
          <w:rFonts w:ascii="Arial" w:cs="Arial" w:eastAsia="Arial" w:hAnsi="Arial"/>
          <w:sz w:val="20"/>
          <w:szCs w:val="20"/>
          <w:i w:val="1"/>
          <w:iCs w:val="1"/>
          <w:color w:val="auto"/>
        </w:rPr>
        <w:t>Note 10 - Debt</w:t>
      </w:r>
      <w:r>
        <w:rPr>
          <w:rFonts w:ascii="Arial" w:cs="Arial" w:eastAsia="Arial" w:hAnsi="Arial"/>
          <w:sz w:val="20"/>
          <w:szCs w:val="20"/>
          <w:color w:val="auto"/>
        </w:rPr>
        <w:t xml:space="preserve"> for additional details on the transition from the LIBOR benchmark rate to the Secured Overnight Financing Rate (SOFR) benchmark rate.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Pronouncements Not Yet Adopted as of December 31, 2023</w:t>
      </w:r>
    </w:p>
    <w:p>
      <w:pPr>
        <w:spacing w:after="0" w:line="196" w:lineRule="exact"/>
        <w:rPr>
          <w:sz w:val="20"/>
          <w:szCs w:val="20"/>
          <w:color w:val="auto"/>
        </w:rPr>
      </w:pPr>
    </w:p>
    <w:p>
      <w:pPr>
        <w:ind w:right="120" w:firstLine="490"/>
        <w:spacing w:after="0" w:line="246" w:lineRule="auto"/>
        <w:rPr>
          <w:sz w:val="20"/>
          <w:szCs w:val="20"/>
          <w:color w:val="auto"/>
        </w:rPr>
      </w:pPr>
      <w:r>
        <w:rPr>
          <w:rFonts w:ascii="Arial" w:cs="Arial" w:eastAsia="Arial" w:hAnsi="Arial"/>
          <w:sz w:val="20"/>
          <w:szCs w:val="20"/>
          <w:color w:val="auto"/>
        </w:rPr>
        <w:t>ASU 2023-07</w:t>
      </w:r>
      <w:r>
        <w:rPr>
          <w:rFonts w:ascii="Arial" w:cs="Arial" w:eastAsia="Arial" w:hAnsi="Arial"/>
          <w:sz w:val="20"/>
          <w:szCs w:val="20"/>
          <w:i w:val="1"/>
          <w:iCs w:val="1"/>
          <w:color w:val="auto"/>
        </w:rPr>
        <w:t>, Segment Reporting (Topic 280): Improvements to Reportable Segment Disclosures:</w:t>
      </w:r>
      <w:r>
        <w:rPr>
          <w:rFonts w:ascii="Arial" w:cs="Arial" w:eastAsia="Arial" w:hAnsi="Arial"/>
          <w:sz w:val="20"/>
          <w:szCs w:val="20"/>
          <w:color w:val="auto"/>
        </w:rPr>
        <w:t xml:space="preserve"> ASU 2023-07 improves reportable segment disclosure requirements, primarily through enhanced disclosures about significant segment expenses. ASU also enhances interim disclosure requirements, clarifies circumstances in which an entity can disclose multiple segment measures of profit or loss, provides new segment disclosure requirements for entities with a single reportable and contains other disclosure requirements. ASU 2023-07 is effective for Flywire for the annual period beginning on January 1, 2024 and interim periods beginning on January 1, 2025. Early adoption is permitted. ASU 2023-07 should be applied retrospectively to all prior periods presented in the financial statements. The Company is currently evaluating the impact of this standard on its consolidated financial statements and disclosures.</w:t>
      </w:r>
    </w:p>
    <w:p>
      <w:pPr>
        <w:spacing w:after="0" w:line="154"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auto"/>
        </w:rPr>
        <w:t xml:space="preserve">ASU 2023-09, </w:t>
      </w:r>
      <w:r>
        <w:rPr>
          <w:rFonts w:ascii="Arial" w:cs="Arial" w:eastAsia="Arial" w:hAnsi="Arial"/>
          <w:sz w:val="20"/>
          <w:szCs w:val="20"/>
          <w:i w:val="1"/>
          <w:iCs w:val="1"/>
          <w:color w:val="auto"/>
        </w:rPr>
        <w:t>Income Taxes (Topic 740): Improvements to Income Tax Disclosures:</w:t>
      </w:r>
      <w:r>
        <w:rPr>
          <w:rFonts w:ascii="Arial" w:cs="Arial" w:eastAsia="Arial" w:hAnsi="Arial"/>
          <w:sz w:val="20"/>
          <w:szCs w:val="20"/>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Revenue and Recognition</w:t>
      </w:r>
    </w:p>
    <w:p>
      <w:pPr>
        <w:spacing w:after="0" w:line="204" w:lineRule="exact"/>
        <w:rPr>
          <w:sz w:val="20"/>
          <w:szCs w:val="20"/>
          <w:color w:val="auto"/>
        </w:rPr>
      </w:pPr>
    </w:p>
    <w:p>
      <w:pPr>
        <w:ind w:right="20" w:firstLine="490"/>
        <w:spacing w:after="0" w:line="282" w:lineRule="auto"/>
        <w:rPr>
          <w:sz w:val="20"/>
          <w:szCs w:val="20"/>
          <w:color w:val="auto"/>
        </w:rPr>
      </w:pPr>
      <w:r>
        <w:rPr>
          <w:rFonts w:ascii="Arial" w:cs="Arial" w:eastAsia="Arial" w:hAnsi="Arial"/>
          <w:sz w:val="20"/>
          <w:szCs w:val="20"/>
          <w:color w:val="auto"/>
        </w:rPr>
        <w:t>The following table presents revenue disaggregated by geographical area and major solutions. The categorization of revenue by geographical location is determined based on location of where the client resides.</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10800"/>
          </w:cols>
          <w:pgMar w:left="720" w:top="1160" w:right="720" w:bottom="186"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4"/>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2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spacing w:after="0"/>
              <w:rPr>
                <w:sz w:val="20"/>
                <w:szCs w:val="20"/>
                <w:color w:val="auto"/>
              </w:rPr>
            </w:pPr>
            <w:r>
              <w:rPr>
                <w:rFonts w:ascii="Arial" w:cs="Arial" w:eastAsia="Arial" w:hAnsi="Arial"/>
                <w:sz w:val="20"/>
                <w:szCs w:val="20"/>
                <w:b w:val="1"/>
                <w:bCs w:val="1"/>
                <w:color w:val="auto"/>
              </w:rPr>
              <w:t>Primary geographical markets</w:t>
            </w:r>
          </w:p>
        </w:tc>
        <w:tc>
          <w:tcPr>
            <w:tcW w:w="17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20"/>
                <w:szCs w:val="20"/>
                <w:color w:val="auto"/>
              </w:rPr>
              <w:t>Americas</w:t>
            </w:r>
          </w:p>
        </w:tc>
        <w:tc>
          <w:tcPr>
            <w:tcW w:w="20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222,580</w:t>
            </w:r>
          </w:p>
        </w:tc>
        <w:tc>
          <w:tcPr>
            <w:tcW w:w="5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194,429</w:t>
            </w:r>
          </w:p>
        </w:tc>
        <w:tc>
          <w:tcPr>
            <w:tcW w:w="5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159,621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spacing w:after="0"/>
              <w:rPr>
                <w:sz w:val="20"/>
                <w:szCs w:val="20"/>
                <w:color w:val="auto"/>
              </w:rPr>
            </w:pPr>
            <w:r>
              <w:rPr>
                <w:rFonts w:ascii="Arial" w:cs="Arial" w:eastAsia="Arial" w:hAnsi="Arial"/>
                <w:sz w:val="20"/>
                <w:szCs w:val="20"/>
                <w:color w:val="auto"/>
              </w:rPr>
              <w:t>EMEA</w:t>
            </w:r>
          </w:p>
        </w:tc>
        <w:tc>
          <w:tcPr>
            <w:tcW w:w="17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120,840</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69,185</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34,072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APAC</w:t>
            </w:r>
          </w:p>
        </w:tc>
        <w:tc>
          <w:tcPr>
            <w:tcW w:w="174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59,674</w:t>
            </w:r>
          </w:p>
        </w:tc>
        <w:tc>
          <w:tcPr>
            <w:tcW w:w="26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25,761</w:t>
            </w:r>
          </w:p>
        </w:tc>
        <w:tc>
          <w:tcPr>
            <w:tcW w:w="26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7,456</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E0E0E0"/>
          </w:tcPr>
          <w:p>
            <w:pPr>
              <w:ind w:left="280"/>
              <w:spacing w:after="0" w:line="220" w:lineRule="exact"/>
              <w:rPr>
                <w:sz w:val="20"/>
                <w:szCs w:val="20"/>
                <w:color w:val="auto"/>
              </w:rPr>
            </w:pPr>
            <w:r>
              <w:rPr>
                <w:rFonts w:ascii="Arial" w:cs="Arial" w:eastAsia="Arial" w:hAnsi="Arial"/>
                <w:sz w:val="20"/>
                <w:szCs w:val="20"/>
                <w:b w:val="1"/>
                <w:bCs w:val="1"/>
                <w:color w:val="auto"/>
              </w:rPr>
              <w:t>Total revenue</w:t>
            </w:r>
          </w:p>
        </w:tc>
        <w:tc>
          <w:tcPr>
            <w:tcW w:w="174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b w:val="1"/>
                <w:bCs w:val="1"/>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b w:val="1"/>
                <w:bCs w:val="1"/>
                <w:color w:val="auto"/>
              </w:rPr>
              <w:t>403,094</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80"/>
              <w:spacing w:after="0" w:line="220"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b w:val="1"/>
                <w:bCs w:val="1"/>
                <w:color w:val="auto"/>
              </w:rPr>
              <w:t>289,375</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b w:val="1"/>
                <w:bCs w:val="1"/>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b w:val="1"/>
                <w:bCs w:val="1"/>
                <w:color w:val="auto"/>
              </w:rPr>
              <w:t>201,149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20"/>
                <w:szCs w:val="20"/>
                <w:b w:val="1"/>
                <w:bCs w:val="1"/>
                <w:color w:val="auto"/>
              </w:rPr>
              <w:t>Major solutions</w:t>
            </w: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spacing w:after="0"/>
              <w:rPr>
                <w:sz w:val="20"/>
                <w:szCs w:val="20"/>
                <w:color w:val="auto"/>
              </w:rPr>
            </w:pPr>
            <w:r>
              <w:rPr>
                <w:rFonts w:ascii="Arial" w:cs="Arial" w:eastAsia="Arial" w:hAnsi="Arial"/>
                <w:sz w:val="20"/>
                <w:szCs w:val="20"/>
                <w:color w:val="auto"/>
              </w:rPr>
              <w:t>Transactions</w:t>
            </w:r>
          </w:p>
        </w:tc>
        <w:tc>
          <w:tcPr>
            <w:tcW w:w="202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329,721</w:t>
            </w:r>
          </w:p>
        </w:tc>
        <w:tc>
          <w:tcPr>
            <w:tcW w:w="54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224,149</w:t>
            </w:r>
          </w:p>
        </w:tc>
        <w:tc>
          <w:tcPr>
            <w:tcW w:w="54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147,994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Platform and usage-based fees</w:t>
            </w:r>
          </w:p>
        </w:tc>
        <w:tc>
          <w:tcPr>
            <w:tcW w:w="174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73,373</w:t>
            </w:r>
          </w:p>
        </w:tc>
        <w:tc>
          <w:tcPr>
            <w:tcW w:w="26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65,226</w:t>
            </w:r>
          </w:p>
        </w:tc>
        <w:tc>
          <w:tcPr>
            <w:tcW w:w="26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53,155</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E0E0E0"/>
          </w:tcPr>
          <w:p>
            <w:pPr>
              <w:ind w:left="280"/>
              <w:spacing w:after="0" w:line="220" w:lineRule="exact"/>
              <w:rPr>
                <w:sz w:val="20"/>
                <w:szCs w:val="20"/>
                <w:color w:val="auto"/>
              </w:rPr>
            </w:pPr>
            <w:r>
              <w:rPr>
                <w:rFonts w:ascii="Arial" w:cs="Arial" w:eastAsia="Arial" w:hAnsi="Arial"/>
                <w:sz w:val="20"/>
                <w:szCs w:val="20"/>
                <w:b w:val="1"/>
                <w:bCs w:val="1"/>
                <w:color w:val="auto"/>
              </w:rPr>
              <w:t>Total revenue</w:t>
            </w:r>
          </w:p>
        </w:tc>
        <w:tc>
          <w:tcPr>
            <w:tcW w:w="174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b w:val="1"/>
                <w:bCs w:val="1"/>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b w:val="1"/>
                <w:bCs w:val="1"/>
                <w:color w:val="auto"/>
              </w:rPr>
              <w:t>403,094</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80"/>
              <w:spacing w:after="0" w:line="220"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b w:val="1"/>
                <w:bCs w:val="1"/>
                <w:color w:val="auto"/>
              </w:rPr>
              <w:t>289,375</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b w:val="1"/>
                <w:bCs w:val="1"/>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b w:val="1"/>
                <w:bCs w:val="1"/>
                <w:color w:val="auto"/>
              </w:rPr>
              <w:t>201,149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Balances from Contracts with Clients</w:t>
      </w:r>
    </w:p>
    <w:p>
      <w:pPr>
        <w:spacing w:after="0" w:line="196" w:lineRule="exact"/>
        <w:rPr>
          <w:sz w:val="20"/>
          <w:szCs w:val="20"/>
          <w:color w:val="auto"/>
        </w:rPr>
      </w:pPr>
    </w:p>
    <w:p>
      <w:pPr>
        <w:ind w:right="260" w:firstLine="490"/>
        <w:spacing w:after="0" w:line="282" w:lineRule="auto"/>
        <w:rPr>
          <w:sz w:val="20"/>
          <w:szCs w:val="20"/>
          <w:color w:val="auto"/>
        </w:rPr>
      </w:pPr>
      <w:r>
        <w:rPr>
          <w:rFonts w:ascii="Arial" w:cs="Arial" w:eastAsia="Arial" w:hAnsi="Arial"/>
          <w:sz w:val="20"/>
          <w:szCs w:val="20"/>
          <w:color w:val="auto"/>
        </w:rPr>
        <w:t>The timing of revenue recognition, billing and cash collection results in billed receivables, unbilled receivables and deferred revenue on the consolidated balance sheet.</w:t>
      </w:r>
    </w:p>
    <w:p>
      <w:pPr>
        <w:spacing w:after="0" w:line="120"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w:t>
      </w:r>
    </w:p>
    <w:p>
      <w:pPr>
        <w:spacing w:after="0" w:line="140" w:lineRule="exact"/>
        <w:rPr>
          <w:sz w:val="20"/>
          <w:szCs w:val="20"/>
          <w:color w:val="auto"/>
        </w:rPr>
      </w:pPr>
    </w:p>
    <w:p>
      <w:pPr>
        <w:ind w:right="560" w:firstLine="490"/>
        <w:spacing w:after="0" w:line="310" w:lineRule="auto"/>
        <w:rPr>
          <w:sz w:val="20"/>
          <w:szCs w:val="20"/>
          <w:color w:val="auto"/>
        </w:rPr>
      </w:pPr>
      <w:r>
        <w:rPr>
          <w:rFonts w:ascii="Arial" w:cs="Arial" w:eastAsia="Arial" w:hAnsi="Arial"/>
          <w:sz w:val="19"/>
          <w:szCs w:val="19"/>
          <w:color w:val="auto"/>
        </w:rPr>
        <w:t>In certain instances, the Company delivers services in advance of billing. In this case the Company recognizes unbilled receivables which is not a contract asset as the Company has an unconditional right for payment.</w:t>
      </w:r>
    </w:p>
    <w:p>
      <w:pPr>
        <w:spacing w:after="0" w:line="96"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auto"/>
        </w:rPr>
        <w:t>The following table provides information about accounts receivable, unbilled receivables and deferred revenue from contracts with clients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r>
      <w:tr>
        <w:trPr>
          <w:trHeight w:val="174"/>
        </w:trPr>
        <w:tc>
          <w:tcPr>
            <w:tcW w:w="5100" w:type="dxa"/>
            <w:vAlign w:val="bottom"/>
            <w:tcBorders>
              <w:bottom w:val="single" w:sz="8" w:color="E0E0E0"/>
            </w:tcBorders>
          </w:tcPr>
          <w:p>
            <w:pPr>
              <w:spacing w:after="0"/>
              <w:rPr>
                <w:sz w:val="15"/>
                <w:szCs w:val="15"/>
                <w:color w:val="auto"/>
              </w:rPr>
            </w:pPr>
          </w:p>
        </w:tc>
        <w:tc>
          <w:tcPr>
            <w:tcW w:w="2320" w:type="dxa"/>
            <w:vAlign w:val="bottom"/>
            <w:tcBorders>
              <w:bottom w:val="single" w:sz="8" w:color="E0E0E0"/>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7"/>
              <w:spacing w:after="0" w:line="174" w:lineRule="exact"/>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E0E0E0"/>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4"/>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51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Accounts receivable, net</w:t>
            </w:r>
          </w:p>
        </w:tc>
        <w:tc>
          <w:tcPr>
            <w:tcW w:w="232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18,215</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13,697</w:t>
            </w:r>
          </w:p>
        </w:tc>
        <w:tc>
          <w:tcPr>
            <w:tcW w:w="100" w:type="dxa"/>
            <w:vAlign w:val="bottom"/>
            <w:shd w:val="clear" w:color="auto" w:fill="E0E0E0"/>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Unbilled receivables</w:t>
            </w: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10,689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5,268</w:t>
            </w:r>
          </w:p>
        </w:tc>
        <w:tc>
          <w:tcPr>
            <w:tcW w:w="100" w:type="dxa"/>
            <w:vAlign w:val="bottom"/>
          </w:tcPr>
          <w:p>
            <w:pPr>
              <w:spacing w:after="0"/>
              <w:rPr>
                <w:sz w:val="19"/>
                <w:szCs w:val="19"/>
                <w:color w:val="auto"/>
              </w:rPr>
            </w:pPr>
          </w:p>
        </w:tc>
      </w:tr>
      <w:tr>
        <w:trPr>
          <w:trHeight w:val="230"/>
        </w:trPr>
        <w:tc>
          <w:tcPr>
            <w:tcW w:w="5100" w:type="dxa"/>
            <w:vAlign w:val="bottom"/>
            <w:shd w:val="clear" w:color="auto" w:fill="E0E0E0"/>
          </w:tcPr>
          <w:p>
            <w:pPr>
              <w:spacing w:after="0"/>
              <w:rPr>
                <w:sz w:val="20"/>
                <w:szCs w:val="20"/>
                <w:color w:val="auto"/>
              </w:rPr>
            </w:pPr>
            <w:r>
              <w:rPr>
                <w:rFonts w:ascii="Arial" w:cs="Arial" w:eastAsia="Arial" w:hAnsi="Arial"/>
                <w:sz w:val="20"/>
                <w:szCs w:val="20"/>
                <w:color w:val="auto"/>
              </w:rPr>
              <w:t>Deferred revenue – current</w:t>
            </w:r>
          </w:p>
        </w:tc>
        <w:tc>
          <w:tcPr>
            <w:tcW w:w="23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6,968</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5,223</w:t>
            </w:r>
          </w:p>
        </w:tc>
        <w:tc>
          <w:tcPr>
            <w:tcW w:w="100" w:type="dxa"/>
            <w:vAlign w:val="bottom"/>
            <w:shd w:val="clear" w:color="auto" w:fill="E0E0E0"/>
          </w:tcPr>
          <w:p>
            <w:pPr>
              <w:spacing w:after="0"/>
              <w:rPr>
                <w:sz w:val="19"/>
                <w:szCs w:val="19"/>
                <w:color w:val="auto"/>
              </w:rPr>
            </w:pPr>
          </w:p>
        </w:tc>
      </w:tr>
      <w:tr>
        <w:trPr>
          <w:trHeight w:val="271"/>
        </w:trPr>
        <w:tc>
          <w:tcPr>
            <w:tcW w:w="5100" w:type="dxa"/>
            <w:vAlign w:val="bottom"/>
          </w:tcPr>
          <w:p>
            <w:pPr>
              <w:spacing w:after="0"/>
              <w:rPr>
                <w:sz w:val="20"/>
                <w:szCs w:val="20"/>
                <w:color w:val="auto"/>
              </w:rPr>
            </w:pPr>
            <w:r>
              <w:rPr>
                <w:rFonts w:ascii="Arial" w:cs="Arial" w:eastAsia="Arial" w:hAnsi="Arial"/>
                <w:sz w:val="20"/>
                <w:szCs w:val="20"/>
                <w:color w:val="auto"/>
              </w:rPr>
              <w:t>Deferred revenue – non-current</w:t>
            </w:r>
          </w:p>
        </w:tc>
        <w:tc>
          <w:tcPr>
            <w:tcW w:w="2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169</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131</w:t>
            </w:r>
          </w:p>
        </w:tc>
        <w:tc>
          <w:tcPr>
            <w:tcW w:w="100" w:type="dxa"/>
            <w:vAlign w:val="bottom"/>
          </w:tcPr>
          <w:p>
            <w:pPr>
              <w:spacing w:after="0"/>
              <w:rPr>
                <w:sz w:val="23"/>
                <w:szCs w:val="23"/>
                <w:color w:val="auto"/>
              </w:rPr>
            </w:pPr>
          </w:p>
        </w:tc>
      </w:tr>
    </w:tbl>
    <w:p>
      <w:pPr>
        <w:spacing w:after="0" w:line="140" w:lineRule="exact"/>
        <w:rPr>
          <w:sz w:val="20"/>
          <w:szCs w:val="20"/>
          <w:color w:val="auto"/>
        </w:rPr>
      </w:pPr>
    </w:p>
    <w:p>
      <w:pPr>
        <w:ind w:right="260" w:firstLine="490"/>
        <w:spacing w:after="0" w:line="282" w:lineRule="auto"/>
        <w:rPr>
          <w:sz w:val="20"/>
          <w:szCs w:val="20"/>
          <w:color w:val="auto"/>
        </w:rPr>
      </w:pPr>
      <w:r>
        <w:rPr>
          <w:rFonts w:ascii="Arial" w:cs="Arial" w:eastAsia="Arial" w:hAnsi="Arial"/>
          <w:sz w:val="20"/>
          <w:szCs w:val="20"/>
          <w:color w:val="auto"/>
        </w:rPr>
        <w:t>For the year ended December 31, 2023, the Company recognized $4.8 million in revenue from amounts that were included in deferred revenue as of December 31, 2022.</w:t>
      </w:r>
    </w:p>
    <w:p>
      <w:pPr>
        <w:spacing w:after="0" w:line="120" w:lineRule="exact"/>
        <w:rPr>
          <w:sz w:val="20"/>
          <w:szCs w:val="20"/>
          <w:color w:val="auto"/>
        </w:rPr>
      </w:pPr>
    </w:p>
    <w:p>
      <w:pPr>
        <w:ind w:right="260" w:firstLine="490"/>
        <w:spacing w:after="0" w:line="282" w:lineRule="auto"/>
        <w:rPr>
          <w:sz w:val="20"/>
          <w:szCs w:val="20"/>
          <w:color w:val="auto"/>
        </w:rPr>
      </w:pPr>
      <w:r>
        <w:rPr>
          <w:rFonts w:ascii="Arial" w:cs="Arial" w:eastAsia="Arial" w:hAnsi="Arial"/>
          <w:sz w:val="20"/>
          <w:szCs w:val="20"/>
          <w:color w:val="auto"/>
        </w:rPr>
        <w:t>For the year ended December 31, 2022, the Company recognized $3.7 million in revenue from amounts that were included in deferred revenue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Remaining Performance Obligations</w:t>
      </w:r>
    </w:p>
    <w:p>
      <w:pPr>
        <w:spacing w:after="0" w:line="196"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The Company has performance obligations associated with certain clients' contracts for future services that have not yet been recognized as revenue. As of December 31, 2023, the aggregate amount of transaction price allocated to performance obligations that are unsatisfied or partially unsatisfied, including deferred revenue, was approximately $16.5 million. Of the total remaining performance obligations, the Company expects to recognize approximately 55.4% within a year and 44.6% over the next two to five years thereafter. Actual amounts and timing of revenue recognized may differ due to subsequent contract modifications, renewals and/or terminations.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Costs</w:t>
      </w:r>
    </w:p>
    <w:p>
      <w:pPr>
        <w:spacing w:after="0" w:line="19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Incremental costs for obtaining contracts that are deemed recoverable are capitalized as contract costs and are included in other assets in the consolidated balance sheets. Such costs result from the payment of sales incentives and totaled $3.5 million, $4.0 million and $0.4 million as of December 31, 2023, 2022 and 2021, respectively. Capitalized sales incentives are amortized over the period of benefits, which the Company has determined to be three years. The amortization is included in selling and marketing expense line in the consolidated statements of operations and comprehensive loss, and totaled $1.2 million, $0.4 million and less than $0.1 million for the years ended December 31, 2023, 2022 and 2021, respectively.</w:t>
      </w:r>
    </w:p>
    <w:p>
      <w:pPr>
        <w:sectPr>
          <w:pgSz w:w="12240" w:h="15840" w:orient="portrait"/>
          <w:cols w:equalWidth="0" w:num="1">
            <w:col w:w="10800"/>
          </w:cols>
          <w:pgMar w:left="720" w:top="1161" w:right="720" w:bottom="186"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10800"/>
          </w:cols>
          <w:pgMar w:left="720" w:top="1161" w:right="720" w:bottom="186" w:gutter="0" w:footer="0" w:header="0"/>
          <w:type w:val="continuous"/>
        </w:sectPr>
      </w:pPr>
    </w:p>
    <w:bookmarkStart w:id="132" w:name="page133"/>
    <w:bookmarkEnd w:id="132"/>
    <w:p>
      <w:pPr>
        <w:ind w:firstLine="490"/>
        <w:spacing w:after="0" w:line="244" w:lineRule="auto"/>
        <w:rPr>
          <w:sz w:val="20"/>
          <w:szCs w:val="20"/>
          <w:color w:val="auto"/>
        </w:rPr>
      </w:pPr>
      <w:r>
        <w:rPr>
          <w:rFonts w:ascii="Arial" w:cs="Arial" w:eastAsia="Arial" w:hAnsi="Arial"/>
          <w:sz w:val="20"/>
          <w:szCs w:val="20"/>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$2.3 million, $2.0 million and $1.4 million of costs in 2023, 2022 and 2021, respectively within other assets on the consolidated balance sheets.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$0.6 million, $1.8 million and $0.2 million for the years ended December 31, 2023, 2022 and 2021, respectively. Included in the amortization expense for the year ended December 31, 2022 is $1.5 million resulting from the impairment of customer set-up costs associated with technology integration. There was no impairment of capitalized contract costs during the years ended December 31, 2023 and 2021.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Allowance for Credit Losses</w:t>
      </w:r>
    </w:p>
    <w:p>
      <w:pPr>
        <w:spacing w:after="0" w:line="204" w:lineRule="exact"/>
        <w:rPr>
          <w:sz w:val="20"/>
          <w:szCs w:val="20"/>
          <w:color w:val="auto"/>
        </w:rPr>
      </w:pPr>
    </w:p>
    <w:p>
      <w:pPr>
        <w:ind w:right="20" w:firstLine="490"/>
        <w:spacing w:after="0" w:line="282" w:lineRule="auto"/>
        <w:rPr>
          <w:sz w:val="20"/>
          <w:szCs w:val="20"/>
          <w:color w:val="auto"/>
        </w:rPr>
      </w:pPr>
      <w:r>
        <w:rPr>
          <w:rFonts w:ascii="Arial" w:cs="Arial" w:eastAsia="Arial" w:hAnsi="Arial"/>
          <w:sz w:val="20"/>
          <w:szCs w:val="20"/>
          <w:color w:val="auto"/>
        </w:rPr>
        <w:t>The Company maintains an allowance for credit losses for accounts receivable and unbilled receivables. Changes in the allowance for credit losses for the years ended December 31, 2023, 2022 and 2021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4"/>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4"/>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63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Allowance for credit losses at the beginning of the year</w:t>
            </w:r>
          </w:p>
        </w:tc>
        <w:tc>
          <w:tcPr>
            <w:tcW w:w="20" w:type="dxa"/>
            <w:vAlign w:val="bottom"/>
            <w:shd w:val="clear" w:color="auto" w:fill="E0E0E0"/>
          </w:tcPr>
          <w:p>
            <w:pPr>
              <w:spacing w:after="0"/>
              <w:rPr>
                <w:sz w:val="19"/>
                <w:szCs w:val="19"/>
                <w:color w:val="auto"/>
              </w:rPr>
            </w:pPr>
          </w:p>
        </w:tc>
        <w:tc>
          <w:tcPr>
            <w:tcW w:w="820" w:type="dxa"/>
            <w:vAlign w:val="bottom"/>
            <w:shd w:val="clear" w:color="auto" w:fill="E0E0E0"/>
          </w:tcPr>
          <w:p>
            <w:pPr>
              <w:jc w:val="right"/>
              <w:ind w:right="627"/>
              <w:spacing w:after="0" w:line="220" w:lineRule="exact"/>
              <w:rPr>
                <w:sz w:val="20"/>
                <w:szCs w:val="20"/>
                <w:color w:val="auto"/>
              </w:rPr>
            </w:pPr>
            <w:r>
              <w:rPr>
                <w:rFonts w:ascii="Arial" w:cs="Arial" w:eastAsia="Arial" w:hAnsi="Arial"/>
                <w:sz w:val="20"/>
                <w:szCs w:val="20"/>
                <w:color w:val="auto"/>
                <w:w w:val="71"/>
              </w:rPr>
              <w:t>$</w:t>
            </w:r>
          </w:p>
        </w:tc>
        <w:tc>
          <w:tcPr>
            <w:tcW w:w="4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(212)</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(106)</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(481)</w:t>
            </w:r>
          </w:p>
        </w:tc>
        <w:tc>
          <w:tcPr>
            <w:tcW w:w="100" w:type="dxa"/>
            <w:vAlign w:val="bottom"/>
            <w:shd w:val="clear" w:color="auto" w:fill="E0E0E0"/>
          </w:tcPr>
          <w:p>
            <w:pPr>
              <w:spacing w:after="0"/>
              <w:rPr>
                <w:sz w:val="19"/>
                <w:szCs w:val="19"/>
                <w:color w:val="auto"/>
              </w:rPr>
            </w:pPr>
          </w:p>
        </w:tc>
      </w:tr>
      <w:tr>
        <w:trPr>
          <w:trHeight w:val="230"/>
        </w:trPr>
        <w:tc>
          <w:tcPr>
            <w:tcW w:w="6360" w:type="dxa"/>
            <w:vAlign w:val="bottom"/>
          </w:tcPr>
          <w:p>
            <w:pPr>
              <w:ind w:left="280"/>
              <w:spacing w:after="0"/>
              <w:rPr>
                <w:sz w:val="20"/>
                <w:szCs w:val="20"/>
                <w:color w:val="auto"/>
              </w:rPr>
            </w:pPr>
            <w:r>
              <w:rPr>
                <w:rFonts w:ascii="Arial" w:cs="Arial" w:eastAsia="Arial" w:hAnsi="Arial"/>
                <w:sz w:val="20"/>
                <w:szCs w:val="20"/>
                <w:color w:val="auto"/>
              </w:rPr>
              <w:t>Provision for expected credit losses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w w:val="89"/>
              </w:rPr>
              <w:t>(326)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(165)</w:t>
            </w:r>
          </w:p>
        </w:tc>
        <w:tc>
          <w:tcPr>
            <w:tcW w:w="100" w:type="dxa"/>
            <w:vAlign w:val="bottom"/>
          </w:tcPr>
          <w:p>
            <w:pPr>
              <w:spacing w:after="0"/>
              <w:rPr>
                <w:sz w:val="19"/>
                <w:szCs w:val="19"/>
                <w:color w:val="auto"/>
              </w:rPr>
            </w:pPr>
          </w:p>
        </w:tc>
      </w:tr>
      <w:tr>
        <w:trPr>
          <w:trHeight w:val="230"/>
        </w:trPr>
        <w:tc>
          <w:tcPr>
            <w:tcW w:w="6360" w:type="dxa"/>
            <w:vAlign w:val="bottom"/>
            <w:shd w:val="clear" w:color="auto" w:fill="E0E0E0"/>
          </w:tcPr>
          <w:p>
            <w:pPr>
              <w:ind w:left="280"/>
              <w:spacing w:after="0"/>
              <w:rPr>
                <w:sz w:val="20"/>
                <w:szCs w:val="20"/>
                <w:color w:val="auto"/>
              </w:rPr>
            </w:pPr>
            <w:r>
              <w:rPr>
                <w:rFonts w:ascii="Arial" w:cs="Arial" w:eastAsia="Arial" w:hAnsi="Arial"/>
                <w:sz w:val="20"/>
                <w:szCs w:val="20"/>
                <w:color w:val="auto"/>
              </w:rPr>
              <w:t>Write-offs, net of recoveries</w:t>
            </w:r>
          </w:p>
        </w:tc>
        <w:tc>
          <w:tcPr>
            <w:tcW w:w="20" w:type="dxa"/>
            <w:vAlign w:val="bottom"/>
            <w:shd w:val="clear" w:color="auto" w:fill="E0E0E0"/>
          </w:tcPr>
          <w:p>
            <w:pPr>
              <w:spacing w:after="0"/>
              <w:rPr>
                <w:sz w:val="19"/>
                <w:szCs w:val="19"/>
                <w:color w:val="auto"/>
              </w:rPr>
            </w:pPr>
          </w:p>
        </w:tc>
        <w:tc>
          <w:tcPr>
            <w:tcW w:w="820" w:type="dxa"/>
            <w:vAlign w:val="bottom"/>
            <w:tcBorders>
              <w:bottom w:val="single" w:sz="8" w:color="auto"/>
            </w:tcBorders>
            <w:shd w:val="clear" w:color="auto" w:fill="E0E0E0"/>
          </w:tcPr>
          <w:p>
            <w:pPr>
              <w:spacing w:after="0"/>
              <w:rPr>
                <w:sz w:val="19"/>
                <w:szCs w:val="19"/>
                <w:color w:val="auto"/>
              </w:rPr>
            </w:pPr>
          </w:p>
        </w:tc>
        <w:tc>
          <w:tcPr>
            <w:tcW w:w="4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46</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540</w:t>
            </w:r>
          </w:p>
        </w:tc>
        <w:tc>
          <w:tcPr>
            <w:tcW w:w="100" w:type="dxa"/>
            <w:vAlign w:val="bottom"/>
            <w:shd w:val="clear" w:color="auto" w:fill="E0E0E0"/>
          </w:tcPr>
          <w:p>
            <w:pPr>
              <w:spacing w:after="0"/>
              <w:rPr>
                <w:sz w:val="19"/>
                <w:szCs w:val="19"/>
                <w:color w:val="auto"/>
              </w:rPr>
            </w:pPr>
          </w:p>
        </w:tc>
      </w:tr>
      <w:tr>
        <w:trPr>
          <w:trHeight w:val="220"/>
        </w:trPr>
        <w:tc>
          <w:tcPr>
            <w:tcW w:w="6360" w:type="dxa"/>
            <w:vAlign w:val="bottom"/>
          </w:tcPr>
          <w:p>
            <w:pPr>
              <w:spacing w:after="0" w:line="220" w:lineRule="exact"/>
              <w:rPr>
                <w:sz w:val="20"/>
                <w:szCs w:val="20"/>
                <w:color w:val="auto"/>
              </w:rPr>
            </w:pPr>
            <w:r>
              <w:rPr>
                <w:rFonts w:ascii="Arial" w:cs="Arial" w:eastAsia="Arial" w:hAnsi="Arial"/>
                <w:sz w:val="20"/>
                <w:szCs w:val="20"/>
                <w:color w:val="auto"/>
              </w:rPr>
              <w:t>Allowance for credit losses at the end of the year</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ind w:right="627"/>
              <w:spacing w:after="0" w:line="220" w:lineRule="exact"/>
              <w:rPr>
                <w:sz w:val="20"/>
                <w:szCs w:val="20"/>
                <w:color w:val="auto"/>
              </w:rPr>
            </w:pPr>
            <w:r>
              <w:rPr>
                <w:rFonts w:ascii="Arial" w:cs="Arial" w:eastAsia="Arial" w:hAnsi="Arial"/>
                <w:sz w:val="20"/>
                <w:szCs w:val="20"/>
                <w:color w:val="auto"/>
                <w:w w:val="71"/>
              </w:rPr>
              <w:t>$</w:t>
            </w:r>
          </w:p>
        </w:tc>
        <w:tc>
          <w:tcPr>
            <w:tcW w:w="4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(534)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(212)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Fair Value Measurements</w:t>
      </w:r>
    </w:p>
    <w:p>
      <w:pPr>
        <w:spacing w:after="0" w:line="204" w:lineRule="exact"/>
        <w:rPr>
          <w:sz w:val="20"/>
          <w:szCs w:val="20"/>
          <w:color w:val="auto"/>
        </w:rPr>
      </w:pPr>
    </w:p>
    <w:p>
      <w:pPr>
        <w:ind w:right="780" w:firstLine="490"/>
        <w:spacing w:after="0" w:line="282" w:lineRule="auto"/>
        <w:rPr>
          <w:sz w:val="20"/>
          <w:szCs w:val="20"/>
          <w:color w:val="auto"/>
        </w:rPr>
      </w:pPr>
      <w:r>
        <w:rPr>
          <w:rFonts w:ascii="Arial" w:cs="Arial" w:eastAsia="Arial" w:hAnsi="Arial"/>
          <w:sz w:val="20"/>
          <w:szCs w:val="20"/>
          <w:color w:val="auto"/>
        </w:rPr>
        <w:t>The following tables present the Company’s fair value hierarchy for its financial assets and liabilities that are measured at fair value on a recurring basis as of December 31, 2023 and 2022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98"/>
              </w:rPr>
              <w:t>Measured at NAV</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80" w:type="dxa"/>
            <w:vAlign w:val="bottom"/>
            <w:gridSpan w:val="17"/>
            <w:vMerge w:val="restart"/>
          </w:tcPr>
          <w:p>
            <w:pPr>
              <w:ind w:left="440"/>
              <w:spacing w:after="0"/>
              <w:rPr>
                <w:sz w:val="20"/>
                <w:szCs w:val="20"/>
                <w:color w:val="auto"/>
              </w:rPr>
            </w:pPr>
            <w:r>
              <w:rPr>
                <w:rFonts w:ascii="Arial" w:cs="Arial" w:eastAsia="Arial" w:hAnsi="Arial"/>
                <w:sz w:val="16"/>
                <w:szCs w:val="16"/>
                <w:b w:val="1"/>
                <w:bCs w:val="1"/>
                <w:color w:val="auto"/>
              </w:rPr>
              <w:t>Measured at Fair Value as of December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 of December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17"/>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3"/>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0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line="174" w:lineRule="exact"/>
              <w:rPr>
                <w:sz w:val="20"/>
                <w:szCs w:val="20"/>
                <w:color w:val="auto"/>
              </w:rPr>
            </w:pPr>
            <w:r>
              <w:rPr>
                <w:rFonts w:ascii="Arial" w:cs="Arial" w:eastAsia="Arial" w:hAnsi="Arial"/>
                <w:sz w:val="16"/>
                <w:szCs w:val="16"/>
                <w:b w:val="1"/>
                <w:bCs w:val="1"/>
                <w:color w:val="auto"/>
              </w:rPr>
              <w:t>Level 1</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80"/>
              <w:spacing w:after="0" w:line="174" w:lineRule="exact"/>
              <w:rPr>
                <w:sz w:val="20"/>
                <w:szCs w:val="20"/>
                <w:color w:val="auto"/>
              </w:rPr>
            </w:pPr>
            <w:r>
              <w:rPr>
                <w:rFonts w:ascii="Arial" w:cs="Arial" w:eastAsia="Arial" w:hAnsi="Arial"/>
                <w:sz w:val="16"/>
                <w:szCs w:val="16"/>
                <w:b w:val="1"/>
                <w:bCs w:val="1"/>
                <w:color w:val="auto"/>
              </w:rPr>
              <w:t>Level 2</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80"/>
              <w:spacing w:after="0" w:line="174" w:lineRule="exact"/>
              <w:rPr>
                <w:sz w:val="20"/>
                <w:szCs w:val="20"/>
                <w:color w:val="auto"/>
              </w:rPr>
            </w:pPr>
            <w:r>
              <w:rPr>
                <w:rFonts w:ascii="Arial" w:cs="Arial" w:eastAsia="Arial" w:hAnsi="Arial"/>
                <w:sz w:val="16"/>
                <w:szCs w:val="16"/>
                <w:b w:val="1"/>
                <w:bCs w:val="1"/>
                <w:color w:val="auto"/>
              </w:rPr>
              <w:t>Level 3</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20"/>
              <w:spacing w:after="0" w:line="174" w:lineRule="exact"/>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E0E0E0"/>
          </w:tcPr>
          <w:p>
            <w:pPr>
              <w:spacing w:after="0" w:line="220" w:lineRule="exact"/>
              <w:rPr>
                <w:sz w:val="20"/>
                <w:szCs w:val="20"/>
                <w:color w:val="auto"/>
              </w:rPr>
            </w:pPr>
            <w:r>
              <w:rPr>
                <w:rFonts w:ascii="Arial" w:cs="Arial" w:eastAsia="Arial" w:hAnsi="Arial"/>
                <w:sz w:val="20"/>
                <w:szCs w:val="20"/>
                <w:b w:val="1"/>
                <w:bCs w:val="1"/>
                <w:color w:val="auto"/>
              </w:rPr>
              <w:t>Financial Assets:</w:t>
            </w: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Cash equivalents: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E0E0E0"/>
          </w:tcPr>
          <w:p>
            <w:pPr>
              <w:ind w:left="140"/>
              <w:spacing w:after="0"/>
              <w:rPr>
                <w:sz w:val="20"/>
                <w:szCs w:val="20"/>
                <w:color w:val="auto"/>
              </w:rPr>
            </w:pPr>
            <w:r>
              <w:rPr>
                <w:rFonts w:ascii="Arial" w:cs="Arial" w:eastAsia="Arial" w:hAnsi="Arial"/>
                <w:sz w:val="20"/>
                <w:szCs w:val="20"/>
                <w:color w:val="auto"/>
              </w:rPr>
              <w:t>Money market funds</w:t>
            </w:r>
          </w:p>
        </w:tc>
        <w:tc>
          <w:tcPr>
            <w:tcW w:w="220" w:type="dxa"/>
            <w:vAlign w:val="bottom"/>
            <w:shd w:val="clear" w:color="auto" w:fill="E0E0E0"/>
          </w:tcPr>
          <w:p>
            <w:pPr>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372,912</w:t>
            </w:r>
          </w:p>
        </w:tc>
        <w:tc>
          <w:tcPr>
            <w:tcW w:w="20" w:type="dxa"/>
            <w:vAlign w:val="bottom"/>
          </w:tcPr>
          <w:p>
            <w:pPr>
              <w:spacing w:after="0"/>
              <w:rPr>
                <w:sz w:val="19"/>
                <w:szCs w:val="19"/>
                <w:color w:val="auto"/>
              </w:rPr>
            </w:pP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E0E0E0"/>
          </w:tcPr>
          <w:p>
            <w:pPr>
              <w:ind w:left="660"/>
              <w:spacing w:after="0"/>
              <w:rPr>
                <w:sz w:val="20"/>
                <w:szCs w:val="20"/>
                <w:color w:val="auto"/>
              </w:rPr>
            </w:pPr>
            <w:r>
              <w:rPr>
                <w:rFonts w:ascii="Arial" w:cs="Arial" w:eastAsia="Arial" w:hAnsi="Arial"/>
                <w:sz w:val="20"/>
                <w:szCs w:val="20"/>
                <w:color w:val="auto"/>
                <w:w w:val="99"/>
              </w:rPr>
              <w:t>—</w:t>
            </w: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E0E0E0"/>
          </w:tcPr>
          <w:p>
            <w:pPr>
              <w:ind w:left="680"/>
              <w:spacing w:after="0"/>
              <w:rPr>
                <w:sz w:val="20"/>
                <w:szCs w:val="20"/>
                <w:color w:val="auto"/>
              </w:rPr>
            </w:pPr>
            <w:r>
              <w:rPr>
                <w:rFonts w:ascii="Arial" w:cs="Arial" w:eastAsia="Arial" w:hAnsi="Arial"/>
                <w:sz w:val="20"/>
                <w:szCs w:val="20"/>
                <w:color w:val="auto"/>
                <w:w w:val="99"/>
              </w:rPr>
              <w:t>—</w:t>
            </w: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c>
          <w:tcPr>
            <w:tcW w:w="440" w:type="dxa"/>
            <w:vAlign w:val="bottom"/>
            <w:gridSpan w:val="3"/>
            <w:shd w:val="clear" w:color="auto" w:fill="E0E0E0"/>
          </w:tcPr>
          <w:p>
            <w:pPr>
              <w:jc w:val="right"/>
              <w:ind w:right="45"/>
              <w:spacing w:after="0"/>
              <w:rPr>
                <w:sz w:val="20"/>
                <w:szCs w:val="20"/>
                <w:color w:val="auto"/>
              </w:rPr>
            </w:pPr>
            <w:r>
              <w:rPr>
                <w:rFonts w:ascii="Arial" w:cs="Arial" w:eastAsia="Arial" w:hAnsi="Arial"/>
                <w:sz w:val="20"/>
                <w:szCs w:val="20"/>
                <w:color w:val="auto"/>
              </w:rPr>
              <w:t>$</w:t>
            </w: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372,912</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Foreign exchange contracts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66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8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200" w:type="dxa"/>
            <w:vAlign w:val="bottom"/>
          </w:tcPr>
          <w:p>
            <w:pPr>
              <w:spacing w:after="0"/>
              <w:rPr>
                <w:sz w:val="22"/>
                <w:szCs w:val="22"/>
                <w:color w:val="auto"/>
              </w:rPr>
            </w:pPr>
          </w:p>
        </w:tc>
        <w:tc>
          <w:tcPr>
            <w:tcW w:w="22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372,912</w:t>
            </w:r>
          </w:p>
        </w:tc>
        <w:tc>
          <w:tcPr>
            <w:tcW w:w="220" w:type="dxa"/>
            <w:vAlign w:val="bottom"/>
            <w:gridSpan w:val="2"/>
          </w:tcPr>
          <w:p>
            <w:pPr>
              <w:spacing w:after="0"/>
              <w:rPr>
                <w:sz w:val="22"/>
                <w:szCs w:val="22"/>
                <w:color w:val="auto"/>
              </w:rPr>
            </w:pPr>
          </w:p>
        </w:tc>
        <w:tc>
          <w:tcPr>
            <w:tcW w:w="20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tcPr>
          <w:p>
            <w:pPr>
              <w:ind w:left="660"/>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tcPr>
          <w:p>
            <w:pPr>
              <w:ind w:left="680"/>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16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tcBorders>
            <w:gridSpan w:val="2"/>
          </w:tcPr>
          <w:p>
            <w:pPr>
              <w:jc w:val="right"/>
              <w:ind w:right="45"/>
              <w:spacing w:after="0" w:line="220"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372,928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E0E0E0"/>
            </w:tcBorders>
            <w:shd w:val="clear" w:color="auto" w:fill="E0E0E0"/>
          </w:tcPr>
          <w:p>
            <w:pPr>
              <w:spacing w:after="0" w:line="215" w:lineRule="exact"/>
              <w:rPr>
                <w:sz w:val="20"/>
                <w:szCs w:val="20"/>
                <w:color w:val="auto"/>
              </w:rPr>
            </w:pPr>
            <w:r>
              <w:rPr>
                <w:rFonts w:ascii="Arial" w:cs="Arial" w:eastAsia="Arial" w:hAnsi="Arial"/>
                <w:sz w:val="20"/>
                <w:szCs w:val="20"/>
                <w:b w:val="1"/>
                <w:bCs w:val="1"/>
                <w:color w:val="auto"/>
              </w:rPr>
              <w:t>Financial Liabilities:</w:t>
            </w:r>
          </w:p>
        </w:tc>
        <w:tc>
          <w:tcPr>
            <w:tcW w:w="220" w:type="dxa"/>
            <w:vAlign w:val="bottom"/>
            <w:tcBorders>
              <w:top w:val="single" w:sz="8" w:color="auto"/>
            </w:tcBorders>
            <w:shd w:val="clear" w:color="auto" w:fill="E0E0E0"/>
          </w:tcPr>
          <w:p>
            <w:pPr>
              <w:spacing w:after="0"/>
              <w:rPr>
                <w:sz w:val="18"/>
                <w:szCs w:val="18"/>
                <w:color w:val="auto"/>
              </w:rPr>
            </w:pPr>
          </w:p>
        </w:tc>
        <w:tc>
          <w:tcPr>
            <w:tcW w:w="1100" w:type="dxa"/>
            <w:vAlign w:val="bottom"/>
            <w:tcBorders>
              <w:top w:val="single" w:sz="8" w:color="auto"/>
            </w:tcBorders>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180" w:type="dxa"/>
            <w:vAlign w:val="bottom"/>
            <w:tcBorders>
              <w:top w:val="single" w:sz="8" w:color="auto"/>
            </w:tcBorders>
            <w:shd w:val="clear" w:color="auto" w:fill="E0E0E0"/>
          </w:tcPr>
          <w:p>
            <w:pPr>
              <w:spacing w:after="0"/>
              <w:rPr>
                <w:sz w:val="18"/>
                <w:szCs w:val="18"/>
                <w:color w:val="auto"/>
              </w:rPr>
            </w:pPr>
          </w:p>
        </w:tc>
        <w:tc>
          <w:tcPr>
            <w:tcW w:w="860" w:type="dxa"/>
            <w:vAlign w:val="bottom"/>
            <w:tcBorders>
              <w:top w:val="single" w:sz="8" w:color="auto"/>
            </w:tcBorders>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160" w:type="dxa"/>
            <w:vAlign w:val="bottom"/>
            <w:tcBorders>
              <w:top w:val="single" w:sz="8" w:color="auto"/>
            </w:tcBorders>
            <w:shd w:val="clear" w:color="auto" w:fill="E0E0E0"/>
          </w:tcPr>
          <w:p>
            <w:pPr>
              <w:spacing w:after="0"/>
              <w:rPr>
                <w:sz w:val="18"/>
                <w:szCs w:val="18"/>
                <w:color w:val="auto"/>
              </w:rPr>
            </w:pPr>
          </w:p>
        </w:tc>
        <w:tc>
          <w:tcPr>
            <w:tcW w:w="880" w:type="dxa"/>
            <w:vAlign w:val="bottom"/>
            <w:tcBorders>
              <w:top w:val="single" w:sz="8" w:color="auto"/>
            </w:tcBorders>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160" w:type="dxa"/>
            <w:vAlign w:val="bottom"/>
            <w:tcBorders>
              <w:top w:val="single" w:sz="8" w:color="auto"/>
            </w:tcBorders>
            <w:shd w:val="clear" w:color="auto" w:fill="E0E0E0"/>
          </w:tcPr>
          <w:p>
            <w:pPr>
              <w:spacing w:after="0"/>
              <w:rPr>
                <w:sz w:val="18"/>
                <w:szCs w:val="18"/>
                <w:color w:val="auto"/>
              </w:rPr>
            </w:pPr>
          </w:p>
        </w:tc>
        <w:tc>
          <w:tcPr>
            <w:tcW w:w="880" w:type="dxa"/>
            <w:vAlign w:val="bottom"/>
            <w:tcBorders>
              <w:top w:val="single" w:sz="8" w:color="auto"/>
            </w:tcBorders>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200" w:type="dxa"/>
            <w:vAlign w:val="bottom"/>
            <w:tcBorders>
              <w:top w:val="single" w:sz="8" w:color="auto"/>
            </w:tcBorders>
            <w:shd w:val="clear" w:color="auto" w:fill="E0E0E0"/>
          </w:tcPr>
          <w:p>
            <w:pPr>
              <w:spacing w:after="0"/>
              <w:rPr>
                <w:sz w:val="18"/>
                <w:szCs w:val="18"/>
                <w:color w:val="auto"/>
              </w:rPr>
            </w:pPr>
          </w:p>
        </w:tc>
        <w:tc>
          <w:tcPr>
            <w:tcW w:w="840" w:type="dxa"/>
            <w:vAlign w:val="bottom"/>
            <w:tcBorders>
              <w:top w:val="single" w:sz="8" w:color="auto"/>
            </w:tcBorders>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Contingent consideration</w:t>
            </w:r>
          </w:p>
        </w:tc>
        <w:tc>
          <w:tcPr>
            <w:tcW w:w="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2,882</w:t>
            </w:r>
          </w:p>
        </w:tc>
        <w:tc>
          <w:tcPr>
            <w:tcW w:w="20" w:type="dxa"/>
            <w:vAlign w:val="bottom"/>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2,882</w:t>
            </w:r>
          </w:p>
        </w:tc>
        <w:tc>
          <w:tcPr>
            <w:tcW w:w="20" w:type="dxa"/>
            <w:vAlign w:val="bottom"/>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E0E0E0"/>
          </w:tcPr>
          <w:p>
            <w:pPr>
              <w:ind w:left="660"/>
              <w:spacing w:after="0" w:line="220" w:lineRule="exact"/>
              <w:rPr>
                <w:sz w:val="20"/>
                <w:szCs w:val="20"/>
                <w:color w:val="auto"/>
              </w:rPr>
            </w:pPr>
            <w:r>
              <w:rPr>
                <w:rFonts w:ascii="Arial" w:cs="Arial" w:eastAsia="Arial" w:hAnsi="Arial"/>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E0E0E0"/>
          </w:tcPr>
          <w:p>
            <w:pPr>
              <w:ind w:left="680"/>
              <w:spacing w:after="0" w:line="220" w:lineRule="exact"/>
              <w:rPr>
                <w:sz w:val="20"/>
                <w:szCs w:val="20"/>
                <w:color w:val="auto"/>
              </w:rPr>
            </w:pPr>
            <w:r>
              <w:rPr>
                <w:rFonts w:ascii="Arial" w:cs="Arial" w:eastAsia="Arial" w:hAnsi="Arial"/>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2,882</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2,882</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2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98"/>
              </w:rPr>
              <w:t>Measured at NAV</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17"/>
            <w:vMerge w:val="restart"/>
          </w:tcPr>
          <w:p>
            <w:pPr>
              <w:ind w:left="440"/>
              <w:spacing w:after="0"/>
              <w:rPr>
                <w:sz w:val="20"/>
                <w:szCs w:val="20"/>
                <w:color w:val="auto"/>
              </w:rPr>
            </w:pPr>
            <w:r>
              <w:rPr>
                <w:rFonts w:ascii="Arial" w:cs="Arial" w:eastAsia="Arial" w:hAnsi="Arial"/>
                <w:sz w:val="16"/>
                <w:szCs w:val="16"/>
                <w:b w:val="1"/>
                <w:bCs w:val="1"/>
                <w:color w:val="auto"/>
              </w:rPr>
              <w:t>Measured at Fair Value as of December 31, 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 of December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17"/>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3"/>
              <w:spacing w:after="0"/>
              <w:rPr>
                <w:sz w:val="20"/>
                <w:szCs w:val="20"/>
                <w:color w:val="auto"/>
              </w:rPr>
            </w:pPr>
            <w:r>
              <w:rPr>
                <w:rFonts w:ascii="Arial" w:cs="Arial" w:eastAsia="Arial" w:hAnsi="Arial"/>
                <w:sz w:val="16"/>
                <w:szCs w:val="16"/>
                <w:b w:val="1"/>
                <w:bCs w:val="1"/>
                <w:color w:val="auto"/>
              </w:rPr>
              <w:t>31, 2022: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0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line="174" w:lineRule="exact"/>
              <w:rPr>
                <w:sz w:val="20"/>
                <w:szCs w:val="20"/>
                <w:color w:val="auto"/>
              </w:rPr>
            </w:pPr>
            <w:r>
              <w:rPr>
                <w:rFonts w:ascii="Arial" w:cs="Arial" w:eastAsia="Arial" w:hAnsi="Arial"/>
                <w:sz w:val="16"/>
                <w:szCs w:val="16"/>
                <w:b w:val="1"/>
                <w:bCs w:val="1"/>
                <w:color w:val="auto"/>
              </w:rPr>
              <w:t>Level 1</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80"/>
              <w:spacing w:after="0" w:line="174" w:lineRule="exact"/>
              <w:rPr>
                <w:sz w:val="20"/>
                <w:szCs w:val="20"/>
                <w:color w:val="auto"/>
              </w:rPr>
            </w:pPr>
            <w:r>
              <w:rPr>
                <w:rFonts w:ascii="Arial" w:cs="Arial" w:eastAsia="Arial" w:hAnsi="Arial"/>
                <w:sz w:val="16"/>
                <w:szCs w:val="16"/>
                <w:b w:val="1"/>
                <w:bCs w:val="1"/>
                <w:color w:val="auto"/>
              </w:rPr>
              <w:t>Level 2</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80"/>
              <w:spacing w:after="0" w:line="174" w:lineRule="exact"/>
              <w:rPr>
                <w:sz w:val="20"/>
                <w:szCs w:val="20"/>
                <w:color w:val="auto"/>
              </w:rPr>
            </w:pPr>
            <w:r>
              <w:rPr>
                <w:rFonts w:ascii="Arial" w:cs="Arial" w:eastAsia="Arial" w:hAnsi="Arial"/>
                <w:sz w:val="16"/>
                <w:szCs w:val="16"/>
                <w:b w:val="1"/>
                <w:bCs w:val="1"/>
                <w:color w:val="auto"/>
              </w:rPr>
              <w:t>Level 3</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20"/>
              <w:spacing w:after="0" w:line="174" w:lineRule="exact"/>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E0E0E0"/>
          </w:tcPr>
          <w:p>
            <w:pPr>
              <w:spacing w:after="0" w:line="220" w:lineRule="exact"/>
              <w:rPr>
                <w:sz w:val="20"/>
                <w:szCs w:val="20"/>
                <w:color w:val="auto"/>
              </w:rPr>
            </w:pPr>
            <w:r>
              <w:rPr>
                <w:rFonts w:ascii="Arial" w:cs="Arial" w:eastAsia="Arial" w:hAnsi="Arial"/>
                <w:sz w:val="20"/>
                <w:szCs w:val="20"/>
                <w:b w:val="1"/>
                <w:bCs w:val="1"/>
                <w:color w:val="auto"/>
              </w:rPr>
              <w:t>Financial Assets:</w:t>
            </w: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Cash equivalents: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E0E0E0"/>
          </w:tcPr>
          <w:p>
            <w:pPr>
              <w:ind w:left="140"/>
              <w:spacing w:after="0"/>
              <w:rPr>
                <w:sz w:val="20"/>
                <w:szCs w:val="20"/>
                <w:color w:val="auto"/>
              </w:rPr>
            </w:pPr>
            <w:r>
              <w:rPr>
                <w:rFonts w:ascii="Arial" w:cs="Arial" w:eastAsia="Arial" w:hAnsi="Arial"/>
                <w:sz w:val="20"/>
                <w:szCs w:val="20"/>
                <w:color w:val="auto"/>
              </w:rPr>
              <w:t>Money market funds</w:t>
            </w:r>
          </w:p>
        </w:tc>
        <w:tc>
          <w:tcPr>
            <w:tcW w:w="220" w:type="dxa"/>
            <w:vAlign w:val="bottom"/>
            <w:shd w:val="clear" w:color="auto" w:fill="E0E0E0"/>
          </w:tcPr>
          <w:p>
            <w:pPr>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9,145</w:t>
            </w:r>
          </w:p>
        </w:tc>
        <w:tc>
          <w:tcPr>
            <w:tcW w:w="20" w:type="dxa"/>
            <w:vAlign w:val="bottom"/>
          </w:tcPr>
          <w:p>
            <w:pPr>
              <w:spacing w:after="0"/>
              <w:rPr>
                <w:sz w:val="19"/>
                <w:szCs w:val="19"/>
                <w:color w:val="auto"/>
              </w:rPr>
            </w:pP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E0E0E0"/>
          </w:tcPr>
          <w:p>
            <w:pPr>
              <w:ind w:left="660"/>
              <w:spacing w:after="0"/>
              <w:rPr>
                <w:sz w:val="20"/>
                <w:szCs w:val="20"/>
                <w:color w:val="auto"/>
              </w:rPr>
            </w:pPr>
            <w:r>
              <w:rPr>
                <w:rFonts w:ascii="Arial" w:cs="Arial" w:eastAsia="Arial" w:hAnsi="Arial"/>
                <w:sz w:val="20"/>
                <w:szCs w:val="20"/>
                <w:color w:val="auto"/>
                <w:w w:val="99"/>
              </w:rPr>
              <w:t>—</w:t>
            </w: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E0E0E0"/>
          </w:tcPr>
          <w:p>
            <w:pPr>
              <w:ind w:left="680"/>
              <w:spacing w:after="0"/>
              <w:rPr>
                <w:sz w:val="20"/>
                <w:szCs w:val="20"/>
                <w:color w:val="auto"/>
              </w:rPr>
            </w:pPr>
            <w:r>
              <w:rPr>
                <w:rFonts w:ascii="Arial" w:cs="Arial" w:eastAsia="Arial" w:hAnsi="Arial"/>
                <w:sz w:val="20"/>
                <w:szCs w:val="20"/>
                <w:color w:val="auto"/>
                <w:w w:val="99"/>
              </w:rPr>
              <w:t>—</w:t>
            </w: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c>
          <w:tcPr>
            <w:tcW w:w="440" w:type="dxa"/>
            <w:vAlign w:val="bottom"/>
            <w:gridSpan w:val="3"/>
            <w:shd w:val="clear" w:color="auto" w:fill="E0E0E0"/>
          </w:tcPr>
          <w:p>
            <w:pPr>
              <w:jc w:val="right"/>
              <w:ind w:right="45"/>
              <w:spacing w:after="0"/>
              <w:rPr>
                <w:sz w:val="20"/>
                <w:szCs w:val="20"/>
                <w:color w:val="auto"/>
              </w:rPr>
            </w:pPr>
            <w:r>
              <w:rPr>
                <w:rFonts w:ascii="Arial" w:cs="Arial" w:eastAsia="Arial" w:hAnsi="Arial"/>
                <w:sz w:val="20"/>
                <w:szCs w:val="20"/>
                <w:color w:val="auto"/>
              </w:rPr>
              <w:t>$</w:t>
            </w: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9,145</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vMerge w:val="restart"/>
          </w:tcPr>
          <w:p>
            <w:pPr>
              <w:spacing w:after="0"/>
              <w:rPr>
                <w:sz w:val="20"/>
                <w:szCs w:val="20"/>
                <w:color w:val="auto"/>
              </w:rPr>
            </w:pPr>
            <w:r>
              <w:rPr>
                <w:rFonts w:ascii="Arial" w:cs="Arial" w:eastAsia="Arial" w:hAnsi="Arial"/>
                <w:sz w:val="20"/>
                <w:szCs w:val="20"/>
                <w:b w:val="1"/>
                <w:bCs w:val="1"/>
                <w:color w:val="auto"/>
              </w:rPr>
              <w:t>Financial Liabilities:</w:t>
            </w:r>
          </w:p>
        </w:tc>
        <w:tc>
          <w:tcPr>
            <w:tcW w:w="2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9,145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ind w:left="660"/>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ind w:left="680"/>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5"/>
              <w:spacing w:after="0" w:line="220"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E0E0E0"/>
          </w:tcPr>
          <w:p>
            <w:pPr>
              <w:spacing w:after="0"/>
              <w:rPr>
                <w:sz w:val="20"/>
                <w:szCs w:val="20"/>
                <w:color w:val="auto"/>
              </w:rPr>
            </w:pPr>
            <w:r>
              <w:rPr>
                <w:rFonts w:ascii="Arial" w:cs="Arial" w:eastAsia="Arial" w:hAnsi="Arial"/>
                <w:sz w:val="20"/>
                <w:szCs w:val="20"/>
                <w:color w:val="auto"/>
              </w:rPr>
              <w:t>Foreign exchange contracts</w:t>
            </w:r>
          </w:p>
        </w:tc>
        <w:tc>
          <w:tcPr>
            <w:tcW w:w="220" w:type="dxa"/>
            <w:vAlign w:val="bottom"/>
            <w:shd w:val="clear" w:color="auto" w:fill="E0E0E0"/>
          </w:tcPr>
          <w:p>
            <w:pPr>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E0E0E0"/>
          </w:tcPr>
          <w:p>
            <w:pPr>
              <w:ind w:left="660"/>
              <w:spacing w:after="0"/>
              <w:rPr>
                <w:sz w:val="20"/>
                <w:szCs w:val="20"/>
                <w:color w:val="auto"/>
              </w:rPr>
            </w:pPr>
            <w:r>
              <w:rPr>
                <w:rFonts w:ascii="Arial" w:cs="Arial" w:eastAsia="Arial" w:hAnsi="Arial"/>
                <w:sz w:val="20"/>
                <w:szCs w:val="20"/>
                <w:color w:val="auto"/>
                <w:w w:val="99"/>
              </w:rPr>
              <w:t>—</w:t>
            </w: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E0E0E0"/>
          </w:tcPr>
          <w:p>
            <w:pPr>
              <w:ind w:left="680"/>
              <w:spacing w:after="0"/>
              <w:rPr>
                <w:sz w:val="20"/>
                <w:szCs w:val="20"/>
                <w:color w:val="auto"/>
              </w:rPr>
            </w:pPr>
            <w:r>
              <w:rPr>
                <w:rFonts w:ascii="Arial" w:cs="Arial" w:eastAsia="Arial" w:hAnsi="Arial"/>
                <w:sz w:val="20"/>
                <w:szCs w:val="20"/>
                <w:color w:val="auto"/>
                <w:w w:val="99"/>
              </w:rPr>
              <w:t>—</w:t>
            </w:r>
          </w:p>
        </w:tc>
        <w:tc>
          <w:tcPr>
            <w:tcW w:w="400" w:type="dxa"/>
            <w:vAlign w:val="bottom"/>
            <w:gridSpan w:val="3"/>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133</w:t>
            </w:r>
          </w:p>
        </w:tc>
        <w:tc>
          <w:tcPr>
            <w:tcW w:w="20" w:type="dxa"/>
            <w:vAlign w:val="bottom"/>
            <w:shd w:val="clear" w:color="auto" w:fill="E0E0E0"/>
          </w:tcPr>
          <w:p>
            <w:pPr>
              <w:spacing w:after="0"/>
              <w:rPr>
                <w:sz w:val="19"/>
                <w:szCs w:val="19"/>
                <w:color w:val="auto"/>
              </w:rPr>
            </w:pPr>
          </w:p>
        </w:tc>
        <w:tc>
          <w:tcPr>
            <w:tcW w:w="440" w:type="dxa"/>
            <w:vAlign w:val="bottom"/>
            <w:gridSpan w:val="3"/>
            <w:shd w:val="clear" w:color="auto" w:fill="E0E0E0"/>
          </w:tcPr>
          <w:p>
            <w:pPr>
              <w:jc w:val="right"/>
              <w:ind w:right="45"/>
              <w:spacing w:after="0"/>
              <w:rPr>
                <w:sz w:val="20"/>
                <w:szCs w:val="20"/>
                <w:color w:val="auto"/>
              </w:rPr>
            </w:pPr>
            <w:r>
              <w:rPr>
                <w:rFonts w:ascii="Arial" w:cs="Arial" w:eastAsia="Arial" w:hAnsi="Arial"/>
                <w:sz w:val="20"/>
                <w:szCs w:val="20"/>
                <w:color w:val="auto"/>
              </w:rPr>
              <w:t>$</w:t>
            </w: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133</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Contingent consideration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20" w:type="dxa"/>
            <w:vAlign w:val="bottom"/>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20" w:type="dxa"/>
            <w:vAlign w:val="bottom"/>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E0E0E0"/>
          </w:tcPr>
          <w:p>
            <w:pPr>
              <w:ind w:left="660"/>
              <w:spacing w:after="0" w:line="220" w:lineRule="exact"/>
              <w:rPr>
                <w:sz w:val="20"/>
                <w:szCs w:val="20"/>
                <w:color w:val="auto"/>
              </w:rPr>
            </w:pPr>
            <w:r>
              <w:rPr>
                <w:rFonts w:ascii="Arial" w:cs="Arial" w:eastAsia="Arial" w:hAnsi="Arial"/>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E0E0E0"/>
          </w:tcPr>
          <w:p>
            <w:pPr>
              <w:ind w:left="680"/>
              <w:spacing w:after="0" w:line="220" w:lineRule="exact"/>
              <w:rPr>
                <w:sz w:val="20"/>
                <w:szCs w:val="20"/>
                <w:color w:val="auto"/>
              </w:rPr>
            </w:pPr>
            <w:r>
              <w:rPr>
                <w:rFonts w:ascii="Arial" w:cs="Arial" w:eastAsia="Arial" w:hAnsi="Arial"/>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1,465</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1,465</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00" w:firstLine="490"/>
        <w:spacing w:after="0" w:line="282" w:lineRule="auto"/>
        <w:rPr>
          <w:sz w:val="20"/>
          <w:szCs w:val="20"/>
          <w:color w:val="auto"/>
        </w:rPr>
      </w:pPr>
      <w:r>
        <w:rPr>
          <w:rFonts w:ascii="Arial" w:cs="Arial" w:eastAsia="Arial" w:hAnsi="Arial"/>
          <w:sz w:val="20"/>
          <w:szCs w:val="20"/>
          <w:color w:val="auto"/>
        </w:rPr>
        <w:t>During the years ended December 31, 2023, 2022 and 2021, there were no transfers between Level 1, Level 2 or Level 3.</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10800"/>
          </w:cols>
          <w:pgMar w:left="720" w:top="1160" w:right="720" w:bottom="186"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StudyLink</w:t>
      </w:r>
    </w:p>
    <w:p>
      <w:pPr>
        <w:spacing w:after="0" w:line="192" w:lineRule="exact"/>
        <w:rPr>
          <w:sz w:val="20"/>
          <w:szCs w:val="20"/>
          <w:color w:val="auto"/>
        </w:rPr>
      </w:pPr>
    </w:p>
    <w:p>
      <w:pPr>
        <w:ind w:right="140" w:firstLine="490"/>
        <w:spacing w:after="0" w:line="250" w:lineRule="auto"/>
        <w:rPr>
          <w:sz w:val="20"/>
          <w:szCs w:val="20"/>
          <w:color w:val="auto"/>
        </w:rPr>
      </w:pPr>
      <w:r>
        <w:rPr>
          <w:rFonts w:ascii="Arial" w:cs="Arial" w:eastAsia="Arial" w:hAnsi="Arial"/>
          <w:sz w:val="20"/>
          <w:szCs w:val="20"/>
          <w:color w:val="auto"/>
        </w:rPr>
        <w:t xml:space="preserve">The fair value of the contingent consideration related to the revenue and volume of money movement milestones was determined using an option pricing model and the fair value of the contingent consideration related to the cross-selling and engineering implementation milestones was determined using a scenario-based method. Refer to </w:t>
      </w:r>
      <w:r>
        <w:rPr>
          <w:rFonts w:ascii="Arial" w:cs="Arial" w:eastAsia="Arial" w:hAnsi="Arial"/>
          <w:sz w:val="20"/>
          <w:szCs w:val="20"/>
          <w:i w:val="1"/>
          <w:iCs w:val="1"/>
          <w:color w:val="auto"/>
        </w:rPr>
        <w:t>Note 8 -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Business Combinations </w:t>
      </w:r>
      <w:r>
        <w:rPr>
          <w:rFonts w:ascii="Arial" w:cs="Arial" w:eastAsia="Arial" w:hAnsi="Arial"/>
          <w:sz w:val="20"/>
          <w:szCs w:val="20"/>
          <w:color w:val="auto"/>
        </w:rPr>
        <w:t>for additional details on the StudyLink acquisition. The following table presents the unobservable</w:t>
      </w:r>
      <w:r>
        <w:rPr>
          <w:rFonts w:ascii="Arial" w:cs="Arial" w:eastAsia="Arial" w:hAnsi="Arial"/>
          <w:sz w:val="20"/>
          <w:szCs w:val="20"/>
          <w:i w:val="1"/>
          <w:iCs w:val="1"/>
          <w:color w:val="auto"/>
        </w:rPr>
        <w:t xml:space="preserve"> </w:t>
      </w:r>
      <w:r>
        <w:rPr>
          <w:rFonts w:ascii="Arial" w:cs="Arial" w:eastAsia="Arial" w:hAnsi="Arial"/>
          <w:sz w:val="20"/>
          <w:szCs w:val="20"/>
          <w:color w:val="auto"/>
        </w:rPr>
        <w:t>inputs incorporated into the valuation of contingent consideration as of December 31,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Borders>
              <w:bottom w:val="single" w:sz="8" w:color="E0E0E0"/>
            </w:tcBorders>
          </w:tcPr>
          <w:p>
            <w:pPr>
              <w:spacing w:after="0"/>
              <w:rPr>
                <w:sz w:val="17"/>
                <w:szCs w:val="17"/>
                <w:color w:val="auto"/>
              </w:rPr>
            </w:pPr>
          </w:p>
        </w:tc>
        <w:tc>
          <w:tcPr>
            <w:tcW w:w="274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Year Ended December 31, 2023</w:t>
            </w:r>
          </w:p>
        </w:tc>
      </w:tr>
      <w:tr>
        <w:trPr>
          <w:trHeight w:val="220"/>
        </w:trPr>
        <w:tc>
          <w:tcPr>
            <w:tcW w:w="80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Discount rate</w:t>
            </w:r>
          </w:p>
        </w:tc>
        <w:tc>
          <w:tcPr>
            <w:tcW w:w="27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7.4% - 7.5%</w:t>
            </w:r>
          </w:p>
        </w:tc>
      </w:tr>
      <w:tr>
        <w:trPr>
          <w:trHeight w:val="271"/>
        </w:trPr>
        <w:tc>
          <w:tcPr>
            <w:tcW w:w="8060" w:type="dxa"/>
            <w:vAlign w:val="bottom"/>
          </w:tcPr>
          <w:p>
            <w:pPr>
              <w:spacing w:after="0"/>
              <w:rPr>
                <w:sz w:val="20"/>
                <w:szCs w:val="20"/>
                <w:color w:val="auto"/>
              </w:rPr>
            </w:pPr>
            <w:r>
              <w:rPr>
                <w:rFonts w:ascii="Arial" w:cs="Arial" w:eastAsia="Arial" w:hAnsi="Arial"/>
                <w:sz w:val="20"/>
                <w:szCs w:val="20"/>
                <w:color w:val="auto"/>
              </w:rPr>
              <w:t>Probability of successful achievement*</w:t>
            </w:r>
          </w:p>
        </w:tc>
        <w:tc>
          <w:tcPr>
            <w:tcW w:w="2740" w:type="dxa"/>
            <w:vAlign w:val="bottom"/>
          </w:tcPr>
          <w:p>
            <w:pPr>
              <w:jc w:val="right"/>
              <w:spacing w:after="0"/>
              <w:rPr>
                <w:sz w:val="20"/>
                <w:szCs w:val="20"/>
                <w:color w:val="auto"/>
              </w:rPr>
            </w:pPr>
            <w:r>
              <w:rPr>
                <w:rFonts w:ascii="Arial" w:cs="Arial" w:eastAsia="Arial" w:hAnsi="Arial"/>
                <w:sz w:val="20"/>
                <w:szCs w:val="20"/>
                <w:color w:val="auto"/>
              </w:rPr>
              <w:t>29% - 95%</w:t>
            </w:r>
          </w:p>
        </w:tc>
      </w:tr>
    </w:tbl>
    <w:p>
      <w:pPr>
        <w:spacing w:after="0" w:line="140" w:lineRule="exact"/>
        <w:rPr>
          <w:sz w:val="20"/>
          <w:szCs w:val="20"/>
          <w:color w:val="auto"/>
        </w:rPr>
      </w:pPr>
    </w:p>
    <w:p>
      <w:pPr>
        <w:ind w:right="240" w:firstLine="490"/>
        <w:spacing w:after="0" w:line="254" w:lineRule="auto"/>
        <w:rPr>
          <w:sz w:val="20"/>
          <w:szCs w:val="20"/>
          <w:color w:val="auto"/>
        </w:rPr>
      </w:pPr>
      <w:r>
        <w:rPr>
          <w:rFonts w:ascii="Arial" w:cs="Arial" w:eastAsia="Arial" w:hAnsi="Arial"/>
          <w:sz w:val="20"/>
          <w:szCs w:val="20"/>
          <w:color w:val="auto"/>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Cohort Go</w:t>
      </w:r>
    </w:p>
    <w:p>
      <w:pPr>
        <w:spacing w:after="0" w:line="192"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 xml:space="preserve">During the years ended December 31, 2023 and 2022, the Company made a payment of contingent consideration of $1.7 million and $0.5 million, respectively, in the form of cash, based on Cohort Go's successful and timely achievement of the contracted milestones. No additional contingent consideration is due or payable with respect to the Cohort Go acquisition. Refer to </w:t>
      </w:r>
      <w:r>
        <w:rPr>
          <w:rFonts w:ascii="Arial" w:cs="Arial" w:eastAsia="Arial" w:hAnsi="Arial"/>
          <w:sz w:val="20"/>
          <w:szCs w:val="20"/>
          <w:i w:val="1"/>
          <w:iCs w:val="1"/>
          <w:color w:val="auto"/>
        </w:rPr>
        <w:t>Note 8 - Business Combinations</w:t>
      </w:r>
      <w:r>
        <w:rPr>
          <w:rFonts w:ascii="Arial" w:cs="Arial" w:eastAsia="Arial" w:hAnsi="Arial"/>
          <w:sz w:val="20"/>
          <w:szCs w:val="20"/>
          <w:color w:val="auto"/>
        </w:rPr>
        <w:t xml:space="preserve"> for additional details on the Cohort Go acquisition.</w:t>
      </w:r>
    </w:p>
    <w:p>
      <w:pPr>
        <w:spacing w:after="0" w:line="146"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auto"/>
        </w:rPr>
        <w:t>The fair value of the contingent consideration related to the Cohort Go acquisition was determined using a scenario-based method. The following table presents the unobservable inputs incorporated into the valuation of contingent consideration as of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Borders>
              <w:bottom w:val="single" w:sz="8" w:color="E0E0E0"/>
            </w:tcBorders>
          </w:tcPr>
          <w:p>
            <w:pPr>
              <w:spacing w:after="0"/>
              <w:rPr>
                <w:sz w:val="17"/>
                <w:szCs w:val="17"/>
                <w:color w:val="auto"/>
              </w:rPr>
            </w:pPr>
          </w:p>
        </w:tc>
        <w:tc>
          <w:tcPr>
            <w:tcW w:w="25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Year Ended December 31, 2022</w:t>
            </w:r>
          </w:p>
        </w:tc>
        <w:tc>
          <w:tcPr>
            <w:tcW w:w="200" w:type="dxa"/>
            <w:vAlign w:val="bottom"/>
          </w:tcPr>
          <w:p>
            <w:pPr>
              <w:spacing w:after="0"/>
              <w:rPr>
                <w:sz w:val="17"/>
                <w:szCs w:val="17"/>
                <w:color w:val="auto"/>
              </w:rPr>
            </w:pPr>
          </w:p>
        </w:tc>
      </w:tr>
      <w:tr>
        <w:trPr>
          <w:trHeight w:val="220"/>
        </w:trPr>
        <w:tc>
          <w:tcPr>
            <w:tcW w:w="80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Discount rate</w:t>
            </w:r>
          </w:p>
        </w:tc>
        <w:tc>
          <w:tcPr>
            <w:tcW w:w="278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11.2%</w:t>
            </w:r>
          </w:p>
        </w:tc>
      </w:tr>
      <w:tr>
        <w:trPr>
          <w:trHeight w:val="271"/>
        </w:trPr>
        <w:tc>
          <w:tcPr>
            <w:tcW w:w="8020" w:type="dxa"/>
            <w:vAlign w:val="bottom"/>
          </w:tcPr>
          <w:p>
            <w:pPr>
              <w:spacing w:after="0"/>
              <w:rPr>
                <w:sz w:val="20"/>
                <w:szCs w:val="20"/>
                <w:color w:val="auto"/>
              </w:rPr>
            </w:pPr>
            <w:r>
              <w:rPr>
                <w:rFonts w:ascii="Arial" w:cs="Arial" w:eastAsia="Arial" w:hAnsi="Arial"/>
                <w:sz w:val="20"/>
                <w:szCs w:val="20"/>
                <w:color w:val="auto"/>
              </w:rPr>
              <w:t>Probability of successful achievement*</w:t>
            </w:r>
          </w:p>
        </w:tc>
        <w:tc>
          <w:tcPr>
            <w:tcW w:w="2780" w:type="dxa"/>
            <w:vAlign w:val="bottom"/>
            <w:gridSpan w:val="2"/>
          </w:tcPr>
          <w:p>
            <w:pPr>
              <w:jc w:val="right"/>
              <w:ind w:right="200"/>
              <w:spacing w:after="0"/>
              <w:rPr>
                <w:sz w:val="20"/>
                <w:szCs w:val="20"/>
                <w:color w:val="auto"/>
              </w:rPr>
            </w:pPr>
            <w:r>
              <w:rPr>
                <w:rFonts w:ascii="Arial" w:cs="Arial" w:eastAsia="Arial" w:hAnsi="Arial"/>
                <w:sz w:val="20"/>
                <w:szCs w:val="20"/>
                <w:color w:val="auto"/>
              </w:rPr>
              <w:t>75% - 100%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5088890</wp:posOffset>
                </wp:positionH>
                <wp:positionV relativeFrom="paragraph">
                  <wp:posOffset>-317500</wp:posOffset>
                </wp:positionV>
                <wp:extent cx="1640205" cy="1460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0205" cy="146050"/>
                        </a:xfrm>
                        <a:prstGeom prst="rect">
                          <a:avLst/>
                        </a:prstGeom>
                        <a:solidFill>
                          <a:srgbClr val="E0E0E0"/>
                        </a:solidFill>
                      </wps:spPr>
                      <wps:bodyPr/>
                    </wps:wsp>
                  </a:graphicData>
                </a:graphic>
              </wp:anchor>
            </w:drawing>
          </mc:Choice>
          <mc:Fallback>
            <w:pict>
              <v:rect id="Shape 52" o:spid="_x0000_s1077" style="position:absolute;margin-left:400.7pt;margin-top:-25pt;width:129.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78740</wp:posOffset>
                </wp:positionV>
                <wp:extent cx="23228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2pt" to="181.45pt,6.2pt" o:allowincell="f" strokecolor="#000000" strokeweight="0.75pt"/>
            </w:pict>
          </mc:Fallback>
        </mc:AlternateConten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Probability of successful achievement was set at different targets based on the Company’s best estimates on achieving them.</w:t>
      </w:r>
    </w:p>
    <w:p>
      <w:pPr>
        <w:spacing w:after="0" w:line="195" w:lineRule="exact"/>
        <w:rPr>
          <w:sz w:val="20"/>
          <w:szCs w:val="20"/>
          <w:color w:val="auto"/>
        </w:rPr>
      </w:pPr>
    </w:p>
    <w:p>
      <w:pPr>
        <w:ind w:right="180" w:firstLine="546"/>
        <w:spacing w:after="0" w:line="261" w:lineRule="auto"/>
        <w:rPr>
          <w:sz w:val="20"/>
          <w:szCs w:val="20"/>
          <w:color w:val="auto"/>
        </w:rPr>
      </w:pPr>
      <w:r>
        <w:rPr>
          <w:rFonts w:ascii="Arial" w:cs="Arial" w:eastAsia="Arial" w:hAnsi="Arial"/>
          <w:sz w:val="20"/>
          <w:szCs w:val="20"/>
          <w:color w:val="auto"/>
        </w:rPr>
        <w:t>Increases or decreases in the discount rate would result in a lower or higher fair value measurement, respectively. Increases or decreases in any of the probabilities of success in which the specific post-acquisition milestones were expected to be achieved would result in a higher or lower fair value measurement,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WPM</w:t>
      </w:r>
    </w:p>
    <w:p>
      <w:pPr>
        <w:spacing w:after="0" w:line="192"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 xml:space="preserve">Pursuant to the terms of the business combination agreement, contingent consideration was potentially payable at various intervals through March 2024 in the form of cash or up to approximately 225,000 shares of common stock, at Flywire's option, and was dependent upon the Company's achievement of specified minimum payment volume targets and integration targets. As of December 31, 2023, no contingent consideration is due or payable with respect to the WPM acquisition. For the year ended December 31, 2022, the Company paid $0.4 million in contingent consideration related to the completion of integration targets. There was no contingent consideration paid during the year ended December 31, 2021. Refer to </w:t>
      </w:r>
      <w:r>
        <w:rPr>
          <w:rFonts w:ascii="Arial" w:cs="Arial" w:eastAsia="Arial" w:hAnsi="Arial"/>
          <w:sz w:val="20"/>
          <w:szCs w:val="20"/>
          <w:i w:val="1"/>
          <w:iCs w:val="1"/>
          <w:color w:val="auto"/>
        </w:rPr>
        <w:t>Note 8 - Business Combinations</w:t>
      </w:r>
      <w:r>
        <w:rPr>
          <w:rFonts w:ascii="Arial" w:cs="Arial" w:eastAsia="Arial" w:hAnsi="Arial"/>
          <w:sz w:val="20"/>
          <w:szCs w:val="20"/>
          <w:color w:val="auto"/>
        </w:rPr>
        <w:t xml:space="preserve"> for additional details on the WPM acquisition.</w:t>
      </w:r>
    </w:p>
    <w:p>
      <w:pPr>
        <w:spacing w:after="0" w:line="153"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fair value of the contingent consideration related to the payment volume targets was determined using an option pricing model and the fair value of the contingent consideration related to the integration targets was determined using a scenario-based method. The following table presents the unobservable inputs incorporated into the valuation of contingent consideration related to the WPM acquisition as of December 31,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Borders>
              <w:bottom w:val="single" w:sz="8" w:color="E0E0E0"/>
            </w:tcBorders>
          </w:tcPr>
          <w:p>
            <w:pPr>
              <w:spacing w:after="0"/>
              <w:rPr>
                <w:sz w:val="17"/>
                <w:szCs w:val="17"/>
                <w:color w:val="auto"/>
              </w:rPr>
            </w:pPr>
          </w:p>
        </w:tc>
        <w:tc>
          <w:tcPr>
            <w:tcW w:w="29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Year Ended December 31, 2022</w:t>
            </w:r>
          </w:p>
        </w:tc>
        <w:tc>
          <w:tcPr>
            <w:tcW w:w="200" w:type="dxa"/>
            <w:vAlign w:val="bottom"/>
          </w:tcPr>
          <w:p>
            <w:pPr>
              <w:spacing w:after="0"/>
              <w:rPr>
                <w:sz w:val="17"/>
                <w:szCs w:val="17"/>
                <w:color w:val="auto"/>
              </w:rPr>
            </w:pPr>
          </w:p>
        </w:tc>
      </w:tr>
      <w:tr>
        <w:trPr>
          <w:trHeight w:val="220"/>
        </w:trPr>
        <w:tc>
          <w:tcPr>
            <w:tcW w:w="76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Market price of risk adjustment for revenue</w:t>
            </w:r>
          </w:p>
        </w:tc>
        <w:tc>
          <w:tcPr>
            <w:tcW w:w="3120" w:type="dxa"/>
            <w:vAlign w:val="bottom"/>
            <w:gridSpan w:val="2"/>
          </w:tcPr>
          <w:p>
            <w:pPr>
              <w:jc w:val="right"/>
              <w:ind w:right="20"/>
              <w:spacing w:after="0" w:line="220" w:lineRule="exact"/>
              <w:rPr>
                <w:sz w:val="20"/>
                <w:szCs w:val="20"/>
                <w:color w:val="auto"/>
              </w:rPr>
            </w:pPr>
            <w:r>
              <w:rPr>
                <w:rFonts w:ascii="Arial" w:cs="Arial" w:eastAsia="Arial" w:hAnsi="Arial"/>
                <w:sz w:val="20"/>
                <w:szCs w:val="20"/>
                <w:color w:val="auto"/>
              </w:rPr>
              <w:t>6.7%</w:t>
            </w:r>
          </w:p>
        </w:tc>
      </w:tr>
      <w:tr>
        <w:trPr>
          <w:trHeight w:val="230"/>
        </w:trPr>
        <w:tc>
          <w:tcPr>
            <w:tcW w:w="7680" w:type="dxa"/>
            <w:vAlign w:val="bottom"/>
          </w:tcPr>
          <w:p>
            <w:pPr>
              <w:spacing w:after="0"/>
              <w:rPr>
                <w:sz w:val="20"/>
                <w:szCs w:val="20"/>
                <w:color w:val="auto"/>
              </w:rPr>
            </w:pPr>
            <w:r>
              <w:rPr>
                <w:rFonts w:ascii="Arial" w:cs="Arial" w:eastAsia="Arial" w:hAnsi="Arial"/>
                <w:sz w:val="20"/>
                <w:szCs w:val="20"/>
                <w:color w:val="auto"/>
              </w:rPr>
              <w:t>Revenue volatility</w:t>
            </w:r>
          </w:p>
        </w:tc>
        <w:tc>
          <w:tcPr>
            <w:tcW w:w="3120" w:type="dxa"/>
            <w:vAlign w:val="bottom"/>
            <w:gridSpan w:val="2"/>
          </w:tcPr>
          <w:p>
            <w:pPr>
              <w:jc w:val="right"/>
              <w:ind w:right="20"/>
              <w:spacing w:after="0"/>
              <w:rPr>
                <w:sz w:val="20"/>
                <w:szCs w:val="20"/>
                <w:color w:val="auto"/>
              </w:rPr>
            </w:pPr>
            <w:r>
              <w:rPr>
                <w:rFonts w:ascii="Arial" w:cs="Arial" w:eastAsia="Arial" w:hAnsi="Arial"/>
                <w:sz w:val="20"/>
                <w:szCs w:val="20"/>
                <w:color w:val="auto"/>
              </w:rPr>
              <w:t>22.7%</w:t>
            </w:r>
          </w:p>
        </w:tc>
      </w:tr>
      <w:tr>
        <w:trPr>
          <w:trHeight w:val="230"/>
        </w:trPr>
        <w:tc>
          <w:tcPr>
            <w:tcW w:w="7680" w:type="dxa"/>
            <w:vAlign w:val="bottom"/>
            <w:shd w:val="clear" w:color="auto" w:fill="E0E0E0"/>
          </w:tcPr>
          <w:p>
            <w:pPr>
              <w:spacing w:after="0"/>
              <w:rPr>
                <w:sz w:val="20"/>
                <w:szCs w:val="20"/>
                <w:color w:val="auto"/>
              </w:rPr>
            </w:pPr>
            <w:r>
              <w:rPr>
                <w:rFonts w:ascii="Arial" w:cs="Arial" w:eastAsia="Arial" w:hAnsi="Arial"/>
                <w:sz w:val="20"/>
                <w:szCs w:val="20"/>
                <w:color w:val="auto"/>
              </w:rPr>
              <w:t>Probability of successful achievement*</w:t>
            </w:r>
          </w:p>
        </w:tc>
        <w:tc>
          <w:tcPr>
            <w:tcW w:w="2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0% - 100%</w:t>
            </w:r>
          </w:p>
        </w:tc>
        <w:tc>
          <w:tcPr>
            <w:tcW w:w="200" w:type="dxa"/>
            <w:vAlign w:val="bottom"/>
            <w:shd w:val="clear" w:color="auto" w:fill="E0E0E0"/>
          </w:tcPr>
          <w:p>
            <w:pPr>
              <w:spacing w:after="0"/>
              <w:rPr>
                <w:sz w:val="19"/>
                <w:szCs w:val="19"/>
                <w:color w:val="auto"/>
              </w:rPr>
            </w:pPr>
          </w:p>
        </w:tc>
      </w:tr>
      <w:tr>
        <w:trPr>
          <w:trHeight w:val="271"/>
        </w:trPr>
        <w:tc>
          <w:tcPr>
            <w:tcW w:w="7680" w:type="dxa"/>
            <w:vAlign w:val="bottom"/>
          </w:tcPr>
          <w:p>
            <w:pPr>
              <w:spacing w:after="0"/>
              <w:rPr>
                <w:sz w:val="20"/>
                <w:szCs w:val="20"/>
                <w:color w:val="auto"/>
              </w:rPr>
            </w:pPr>
            <w:r>
              <w:rPr>
                <w:rFonts w:ascii="Arial" w:cs="Arial" w:eastAsia="Arial" w:hAnsi="Arial"/>
                <w:sz w:val="20"/>
                <w:szCs w:val="20"/>
                <w:color w:val="auto"/>
              </w:rPr>
              <w:t>Performance period</w:t>
            </w:r>
          </w:p>
        </w:tc>
        <w:tc>
          <w:tcPr>
            <w:tcW w:w="3120" w:type="dxa"/>
            <w:vAlign w:val="bottom"/>
            <w:gridSpan w:val="2"/>
          </w:tcPr>
          <w:p>
            <w:pPr>
              <w:jc w:val="right"/>
              <w:ind w:right="200"/>
              <w:spacing w:after="0"/>
              <w:rPr>
                <w:sz w:val="20"/>
                <w:szCs w:val="20"/>
                <w:color w:val="auto"/>
              </w:rPr>
            </w:pPr>
            <w:r>
              <w:rPr>
                <w:rFonts w:ascii="Arial" w:cs="Arial" w:eastAsia="Arial" w:hAnsi="Arial"/>
                <w:sz w:val="20"/>
                <w:szCs w:val="20"/>
                <w:color w:val="auto"/>
              </w:rPr>
              <w:t>1.25 years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4879975</wp:posOffset>
                </wp:positionH>
                <wp:positionV relativeFrom="paragraph">
                  <wp:posOffset>-609600</wp:posOffset>
                </wp:positionV>
                <wp:extent cx="1849120" cy="146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9120" cy="146050"/>
                        </a:xfrm>
                        <a:prstGeom prst="rect">
                          <a:avLst/>
                        </a:prstGeom>
                        <a:solidFill>
                          <a:srgbClr val="E0E0E0"/>
                        </a:solidFill>
                      </wps:spPr>
                      <wps:bodyPr/>
                    </wps:wsp>
                  </a:graphicData>
                </a:graphic>
              </wp:anchor>
            </w:drawing>
          </mc:Choice>
          <mc:Fallback>
            <w:pict>
              <v:rect id="Shape 54" o:spid="_x0000_s1079" style="position:absolute;margin-left:384.25pt;margin-top:-48pt;width:145.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ectPr>
          <w:pgSz w:w="12240" w:h="15840" w:orient="portrait"/>
          <w:cols w:equalWidth="0" w:num="1">
            <w:col w:w="10800"/>
          </w:cols>
          <w:pgMar w:left="720" w:top="1164" w:right="720" w:bottom="186"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10800"/>
          </w:cols>
          <w:pgMar w:left="720" w:top="1164" w:right="720" w:bottom="186" w:gutter="0" w:footer="0" w:header="0"/>
          <w:type w:val="continuous"/>
        </w:sectPr>
      </w:pPr>
    </w:p>
    <w:bookmarkStart w:id="134" w:name="page135"/>
    <w:bookmarkEnd w:id="134"/>
    <w:p>
      <w:pPr>
        <w:ind w:left="140"/>
        <w:spacing w:after="0"/>
        <w:rPr>
          <w:sz w:val="20"/>
          <w:szCs w:val="20"/>
          <w:color w:val="auto"/>
        </w:rPr>
      </w:pPr>
      <w:r>
        <w:rPr>
          <w:rFonts w:ascii="Arial" w:cs="Arial" w:eastAsia="Arial" w:hAnsi="Arial"/>
          <w:sz w:val="16"/>
          <w:szCs w:val="16"/>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854075</wp:posOffset>
                </wp:positionV>
                <wp:extent cx="232283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67.25pt" to="217.45pt,67.25pt" o:allowincell="f" strokecolor="#000000" strokeweight="0.75pt">
                <w10:wrap anchorx="page" anchory="page"/>
              </v:line>
            </w:pict>
          </mc:Fallback>
        </mc:AlternateContent>
        <w:t>* Probability of successful achievement was set at different targets based on the Company’s best estimates on achieving them.</w:t>
      </w:r>
    </w:p>
    <w:p>
      <w:pPr>
        <w:spacing w:after="0" w:line="195" w:lineRule="exact"/>
        <w:rPr>
          <w:sz w:val="20"/>
          <w:szCs w:val="20"/>
          <w:color w:val="auto"/>
        </w:rPr>
      </w:pPr>
    </w:p>
    <w:p>
      <w:pPr>
        <w:ind w:left="20" w:right="20" w:firstLine="490"/>
        <w:spacing w:after="0" w:line="271" w:lineRule="auto"/>
        <w:rPr>
          <w:sz w:val="20"/>
          <w:szCs w:val="20"/>
          <w:color w:val="auto"/>
        </w:rPr>
      </w:pPr>
      <w:r>
        <w:rPr>
          <w:rFonts w:ascii="Arial" w:cs="Arial" w:eastAsia="Arial" w:hAnsi="Arial"/>
          <w:sz w:val="19"/>
          <w:szCs w:val="19"/>
          <w:color w:val="auto"/>
        </w:rPr>
        <w:t>Increases or decreases in expectations regarding the level at which payment volumes were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33" w:lineRule="exact"/>
        <w:rPr>
          <w:sz w:val="20"/>
          <w:szCs w:val="20"/>
          <w:color w:val="auto"/>
        </w:rPr>
      </w:pPr>
    </w:p>
    <w:p>
      <w:pPr>
        <w:ind w:left="20" w:right="580" w:firstLine="490"/>
        <w:spacing w:after="0" w:line="282" w:lineRule="auto"/>
        <w:rPr>
          <w:sz w:val="20"/>
          <w:szCs w:val="20"/>
          <w:color w:val="auto"/>
        </w:rPr>
      </w:pPr>
      <w:r>
        <w:rPr>
          <w:rFonts w:ascii="Arial" w:cs="Arial" w:eastAsia="Arial" w:hAnsi="Arial"/>
          <w:sz w:val="20"/>
          <w:szCs w:val="20"/>
          <w:color w:val="auto"/>
        </w:rPr>
        <w:t>The following table summarizes the changes in the carrying value of the contingent consideration for the years ended December 31, 2023, 2022 and 2021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3620" w:type="dxa"/>
            <w:vAlign w:val="bottom"/>
            <w:tcBorders>
              <w:bottom w:val="single" w:sz="8" w:color="E0E0E0"/>
            </w:tcBorders>
          </w:tcPr>
          <w:p>
            <w:pPr>
              <w:spacing w:after="0"/>
              <w:rPr>
                <w:sz w:val="15"/>
                <w:szCs w:val="15"/>
                <w:color w:val="auto"/>
              </w:rPr>
            </w:pPr>
          </w:p>
        </w:tc>
        <w:tc>
          <w:tcPr>
            <w:tcW w:w="27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5"/>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6360" w:type="dxa"/>
            <w:vAlign w:val="bottom"/>
            <w:gridSpan w:val="2"/>
            <w:shd w:val="clear" w:color="auto" w:fill="E0E0E0"/>
          </w:tcPr>
          <w:p>
            <w:pPr>
              <w:spacing w:after="0" w:line="220" w:lineRule="exact"/>
              <w:rPr>
                <w:sz w:val="20"/>
                <w:szCs w:val="20"/>
                <w:color w:val="auto"/>
              </w:rPr>
            </w:pPr>
            <w:r>
              <w:rPr>
                <w:rFonts w:ascii="Arial" w:cs="Arial" w:eastAsia="Arial" w:hAnsi="Arial"/>
                <w:sz w:val="20"/>
                <w:szCs w:val="20"/>
                <w:color w:val="auto"/>
              </w:rPr>
              <w:t>Beginning balance</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1,332</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11,309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12,500</w:t>
            </w:r>
          </w:p>
        </w:tc>
        <w:tc>
          <w:tcPr>
            <w:tcW w:w="100" w:type="dxa"/>
            <w:vAlign w:val="bottom"/>
            <w:shd w:val="clear" w:color="auto" w:fill="E0E0E0"/>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20"/>
                <w:szCs w:val="20"/>
                <w:color w:val="auto"/>
              </w:rPr>
              <w:t>Additions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3,519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Change in fair value</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380</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4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(2,805)</w:t>
            </w: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2,263</w:t>
            </w:r>
          </w:p>
        </w:tc>
        <w:tc>
          <w:tcPr>
            <w:tcW w:w="100" w:type="dxa"/>
            <w:vAlign w:val="bottom"/>
            <w:shd w:val="clear" w:color="auto" w:fill="E0E0E0"/>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20"/>
                <w:szCs w:val="20"/>
                <w:color w:val="auto"/>
              </w:rPr>
              <w:t>Contingent consideration paid*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auto"/>
              </w:rPr>
              <w:t>(1,674)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(8,664)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(7,012)</w:t>
            </w:r>
          </w:p>
        </w:tc>
      </w:tr>
      <w:tr>
        <w:trPr>
          <w:trHeight w:val="250"/>
        </w:trPr>
        <w:tc>
          <w:tcPr>
            <w:tcW w:w="20" w:type="dxa"/>
            <w:vAlign w:val="bottom"/>
          </w:tcPr>
          <w:p>
            <w:pPr>
              <w:spacing w:after="0"/>
              <w:rPr>
                <w:sz w:val="21"/>
                <w:szCs w:val="21"/>
                <w:color w:val="auto"/>
              </w:rPr>
            </w:pPr>
          </w:p>
        </w:tc>
        <w:tc>
          <w:tcPr>
            <w:tcW w:w="636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Foreign currency translation adjustment</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141</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(203)</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39</w:t>
            </w:r>
          </w:p>
        </w:tc>
        <w:tc>
          <w:tcPr>
            <w:tcW w:w="100" w:type="dxa"/>
            <w:vAlign w:val="bottom"/>
            <w:shd w:val="clear" w:color="auto" w:fill="E0E0E0"/>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6360" w:type="dxa"/>
            <w:vAlign w:val="bottom"/>
            <w:tcBorders>
              <w:top w:val="single" w:sz="8" w:color="E0E0E0"/>
            </w:tcBorders>
            <w:gridSpan w:val="2"/>
          </w:tcPr>
          <w:p>
            <w:pPr>
              <w:spacing w:after="0" w:line="200" w:lineRule="exact"/>
              <w:rPr>
                <w:sz w:val="20"/>
                <w:szCs w:val="20"/>
                <w:color w:val="auto"/>
              </w:rPr>
            </w:pPr>
            <w:r>
              <w:rPr>
                <w:rFonts w:ascii="Arial" w:cs="Arial" w:eastAsia="Arial" w:hAnsi="Arial"/>
                <w:sz w:val="20"/>
                <w:szCs w:val="20"/>
                <w:color w:val="auto"/>
              </w:rPr>
              <w:t>Ending balance</w:t>
            </w:r>
          </w:p>
        </w:tc>
        <w:tc>
          <w:tcPr>
            <w:tcW w:w="20" w:type="dxa"/>
            <w:vAlign w:val="bottom"/>
            <w:tcBorders>
              <w:top w:val="single" w:sz="8" w:color="E0E0E0"/>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60"/>
              <w:spacing w:after="0" w:line="200"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2,882</w:t>
            </w:r>
          </w:p>
        </w:tc>
        <w:tc>
          <w:tcPr>
            <w:tcW w:w="160" w:type="dxa"/>
            <w:vAlign w:val="bottom"/>
            <w:tcBorders>
              <w:top w:val="single" w:sz="8" w:color="E0E0E0"/>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80"/>
              <w:spacing w:after="0" w:line="200"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1,332</w:t>
            </w:r>
          </w:p>
        </w:tc>
        <w:tc>
          <w:tcPr>
            <w:tcW w:w="160" w:type="dxa"/>
            <w:vAlign w:val="bottom"/>
            <w:tcBorders>
              <w:top w:val="single" w:sz="8" w:color="E0E0E0"/>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60"/>
              <w:spacing w:after="0" w:line="200" w:lineRule="exact"/>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11,309</w:t>
            </w:r>
          </w:p>
        </w:tc>
        <w:tc>
          <w:tcPr>
            <w:tcW w:w="100" w:type="dxa"/>
            <w:vAlign w:val="bottom"/>
            <w:tcBorders>
              <w:top w:val="single" w:sz="8" w:color="E0E0E0"/>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45" w:lineRule="exact"/>
        <w:rPr>
          <w:sz w:val="20"/>
          <w:szCs w:val="20"/>
          <w:color w:val="auto"/>
        </w:rPr>
      </w:pPr>
    </w:p>
    <w:p>
      <w:pPr>
        <w:ind w:left="140" w:right="100" w:hanging="5"/>
        <w:spacing w:after="0" w:line="246" w:lineRule="auto"/>
        <w:tabs>
          <w:tab w:leader="none" w:pos="2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the years ended December 31, 2023 and 2021, contingent consideration paid has been bifurcated between the financing and operating sections of the consolidated statement of cash flows. Amounts paid up to the fair value initially recorded in purchase accounting is reported in the financing section of the consolidated statement of cash flows, while any excess is reported in the operating section of the consolidated statement of cash flows. For the year ended December 31, 2022, contingent consideration paid has been bifurcated among the investing, financing and operating sections of the consolidated statement of cash flows. Contingent consideration paid within three months after the acquisition date of Cohort Go is reported in the investing section of the consolidated statement of cash flows given the proximity to the acquisition date. Amounts paid up to the fair value initially recorded in purchase accounting is reported in the financing section of the consolidated statement of cash flows, while any excess is reported in the operating section of the consolidated statement of cash flows.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Note 5. Derivative Instruments</w:t>
      </w:r>
    </w:p>
    <w:p>
      <w:pPr>
        <w:spacing w:after="0" w:line="204" w:lineRule="exact"/>
        <w:rPr>
          <w:sz w:val="20"/>
          <w:szCs w:val="20"/>
          <w:color w:val="auto"/>
        </w:rPr>
      </w:pPr>
    </w:p>
    <w:p>
      <w:pPr>
        <w:ind w:left="20" w:right="20" w:firstLine="490"/>
        <w:spacing w:after="0" w:line="245" w:lineRule="auto"/>
        <w:rPr>
          <w:sz w:val="20"/>
          <w:szCs w:val="20"/>
          <w:color w:val="auto"/>
        </w:rPr>
      </w:pPr>
      <w:r>
        <w:rPr>
          <w:rFonts w:ascii="Arial" w:cs="Arial" w:eastAsia="Arial" w:hAnsi="Arial"/>
          <w:sz w:val="20"/>
          <w:szCs w:val="20"/>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2023 and 2022, the Company had 12,737 and 11,816 open foreign exchange contracts, respectively. As of December 31, 2023 and 2022, the Company had foreign currency forward contracts outstanding with a notional amount of $36.1 million and $54.7 million, respectively.</w:t>
      </w:r>
    </w:p>
    <w:p>
      <w:pPr>
        <w:spacing w:after="0" w:line="157" w:lineRule="exact"/>
        <w:rPr>
          <w:sz w:val="20"/>
          <w:szCs w:val="20"/>
          <w:color w:val="auto"/>
        </w:rPr>
      </w:pPr>
    </w:p>
    <w:p>
      <w:pPr>
        <w:ind w:left="20" w:right="120" w:firstLine="490"/>
        <w:spacing w:after="0" w:line="246" w:lineRule="auto"/>
        <w:rPr>
          <w:sz w:val="20"/>
          <w:szCs w:val="20"/>
          <w:color w:val="auto"/>
        </w:rPr>
      </w:pPr>
      <w:r>
        <w:rPr>
          <w:rFonts w:ascii="Arial" w:cs="Arial" w:eastAsia="Arial" w:hAnsi="Arial"/>
          <w:sz w:val="20"/>
          <w:szCs w:val="20"/>
          <w:color w:val="auto"/>
        </w:rPr>
        <w:t>The Company records all derivative instruments in the consolidated balance sheets at their fair values. For the year ended December 31, 2023, the Company recorded an asset of less than $0.1 million and for the year ended December 31, 2022, the Company recorded a liability of $0.1 million related to outstanding foreign exchange contracts. The Company recognized a loss of $2.0 million, $1.6 million and $0.8 million during the years ended December 31, 2023,</w:t>
      </w:r>
    </w:p>
    <w:p>
      <w:pPr>
        <w:spacing w:after="0" w:line="3" w:lineRule="exact"/>
        <w:rPr>
          <w:sz w:val="20"/>
          <w:szCs w:val="20"/>
          <w:color w:val="auto"/>
        </w:rPr>
      </w:pPr>
    </w:p>
    <w:p>
      <w:pPr>
        <w:ind w:left="20" w:right="40"/>
        <w:spacing w:after="0" w:line="255" w:lineRule="auto"/>
        <w:rPr>
          <w:sz w:val="20"/>
          <w:szCs w:val="20"/>
          <w:color w:val="auto"/>
        </w:rPr>
      </w:pPr>
      <w:r>
        <w:rPr>
          <w:rFonts w:ascii="Arial" w:cs="Arial" w:eastAsia="Arial" w:hAnsi="Arial"/>
          <w:sz w:val="20"/>
          <w:szCs w:val="20"/>
          <w:color w:val="auto"/>
        </w:rPr>
        <w:t>2022 and 2021, respectively, which was included in the general and administrative line within the consolidated statements of operations and comprehensive loss.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Note 6. Accrued Expenses and Other Current Liabilities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Accrued expenses and other current liabilities consisted of the following as of the dates presented (in thousands):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r>
      <w:tr>
        <w:trPr>
          <w:trHeight w:val="174"/>
        </w:trPr>
        <w:tc>
          <w:tcPr>
            <w:tcW w:w="6140" w:type="dxa"/>
            <w:vAlign w:val="bottom"/>
            <w:tcBorders>
              <w:bottom w:val="single" w:sz="8" w:color="E0E0E0"/>
            </w:tcBorders>
          </w:tcPr>
          <w:p>
            <w:pPr>
              <w:spacing w:after="0"/>
              <w:rPr>
                <w:sz w:val="15"/>
                <w:szCs w:val="15"/>
                <w:color w:val="auto"/>
              </w:rPr>
            </w:pPr>
          </w:p>
        </w:tc>
        <w:tc>
          <w:tcPr>
            <w:tcW w:w="1280" w:type="dxa"/>
            <w:vAlign w:val="bottom"/>
            <w:tcBorders>
              <w:bottom w:val="single" w:sz="8" w:color="E0E0E0"/>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4"/>
              <w:spacing w:after="0" w:line="174" w:lineRule="exact"/>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E0E0E0"/>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61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Accrued employee compensation and related taxes</w:t>
            </w:r>
          </w:p>
        </w:tc>
        <w:tc>
          <w:tcPr>
            <w:tcW w:w="128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19,748</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16,944</w:t>
            </w:r>
          </w:p>
        </w:tc>
        <w:tc>
          <w:tcPr>
            <w:tcW w:w="100" w:type="dxa"/>
            <w:vAlign w:val="bottom"/>
            <w:shd w:val="clear" w:color="auto" w:fill="E0E0E0"/>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20"/>
                <w:szCs w:val="20"/>
                <w:color w:val="auto"/>
              </w:rPr>
              <w:t>Accrued vendor liabilities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4,193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3,104</w:t>
            </w:r>
          </w:p>
        </w:tc>
        <w:tc>
          <w:tcPr>
            <w:tcW w:w="100" w:type="dxa"/>
            <w:vAlign w:val="bottom"/>
          </w:tcPr>
          <w:p>
            <w:pPr>
              <w:spacing w:after="0"/>
              <w:rPr>
                <w:sz w:val="19"/>
                <w:szCs w:val="19"/>
                <w:color w:val="auto"/>
              </w:rPr>
            </w:pPr>
          </w:p>
        </w:tc>
      </w:tr>
      <w:tr>
        <w:trPr>
          <w:trHeight w:val="230"/>
        </w:trPr>
        <w:tc>
          <w:tcPr>
            <w:tcW w:w="6140" w:type="dxa"/>
            <w:vAlign w:val="bottom"/>
            <w:shd w:val="clear" w:color="auto" w:fill="E0E0E0"/>
          </w:tcPr>
          <w:p>
            <w:pPr>
              <w:spacing w:after="0"/>
              <w:rPr>
                <w:sz w:val="20"/>
                <w:szCs w:val="20"/>
                <w:color w:val="auto"/>
              </w:rPr>
            </w:pPr>
            <w:r>
              <w:rPr>
                <w:rFonts w:ascii="Arial" w:cs="Arial" w:eastAsia="Arial" w:hAnsi="Arial"/>
                <w:sz w:val="20"/>
                <w:szCs w:val="20"/>
                <w:color w:val="auto"/>
              </w:rPr>
              <w:t>Accrued income and other non-employee related taxes</w:t>
            </w:r>
          </w:p>
        </w:tc>
        <w:tc>
          <w:tcPr>
            <w:tcW w:w="128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6,270</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5,001</w:t>
            </w:r>
          </w:p>
        </w:tc>
        <w:tc>
          <w:tcPr>
            <w:tcW w:w="100" w:type="dxa"/>
            <w:vAlign w:val="bottom"/>
            <w:shd w:val="clear" w:color="auto" w:fill="E0E0E0"/>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20"/>
                <w:szCs w:val="20"/>
                <w:color w:val="auto"/>
              </w:rPr>
              <w:t>Accrued professional services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2,139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1,723</w:t>
            </w:r>
          </w:p>
        </w:tc>
        <w:tc>
          <w:tcPr>
            <w:tcW w:w="100" w:type="dxa"/>
            <w:vAlign w:val="bottom"/>
          </w:tcPr>
          <w:p>
            <w:pPr>
              <w:spacing w:after="0"/>
              <w:rPr>
                <w:sz w:val="19"/>
                <w:szCs w:val="19"/>
                <w:color w:val="auto"/>
              </w:rPr>
            </w:pPr>
          </w:p>
        </w:tc>
      </w:tr>
      <w:tr>
        <w:trPr>
          <w:trHeight w:val="230"/>
        </w:trPr>
        <w:tc>
          <w:tcPr>
            <w:tcW w:w="6140" w:type="dxa"/>
            <w:vAlign w:val="bottom"/>
            <w:shd w:val="clear" w:color="auto" w:fill="E0E0E0"/>
          </w:tcPr>
          <w:p>
            <w:pPr>
              <w:spacing w:after="0"/>
              <w:rPr>
                <w:sz w:val="20"/>
                <w:szCs w:val="20"/>
                <w:color w:val="auto"/>
              </w:rPr>
            </w:pPr>
            <w:r>
              <w:rPr>
                <w:rFonts w:ascii="Arial" w:cs="Arial" w:eastAsia="Arial" w:hAnsi="Arial"/>
                <w:sz w:val="20"/>
                <w:szCs w:val="20"/>
                <w:color w:val="auto"/>
              </w:rPr>
              <w:t>Current portion of operating lease liabilities</w:t>
            </w:r>
          </w:p>
        </w:tc>
        <w:tc>
          <w:tcPr>
            <w:tcW w:w="128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1,465</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1,807</w:t>
            </w:r>
          </w:p>
        </w:tc>
        <w:tc>
          <w:tcPr>
            <w:tcW w:w="100" w:type="dxa"/>
            <w:vAlign w:val="bottom"/>
            <w:shd w:val="clear" w:color="auto" w:fill="E0E0E0"/>
          </w:tcPr>
          <w:p>
            <w:pPr>
              <w:spacing w:after="0"/>
              <w:rPr>
                <w:sz w:val="19"/>
                <w:szCs w:val="19"/>
                <w:color w:val="auto"/>
              </w:rPr>
            </w:pPr>
          </w:p>
        </w:tc>
      </w:tr>
      <w:tr>
        <w:trPr>
          <w:trHeight w:val="230"/>
        </w:trPr>
        <w:tc>
          <w:tcPr>
            <w:tcW w:w="614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Other accrued expenses and current liabilities</w:t>
            </w:r>
          </w:p>
        </w:tc>
        <w:tc>
          <w:tcPr>
            <w:tcW w:w="128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9,500</w:t>
            </w:r>
          </w:p>
        </w:tc>
        <w:tc>
          <w:tcPr>
            <w:tcW w:w="28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5,844</w:t>
            </w:r>
          </w:p>
        </w:tc>
        <w:tc>
          <w:tcPr>
            <w:tcW w:w="100" w:type="dxa"/>
            <w:vAlign w:val="bottom"/>
            <w:tcBorders>
              <w:bottom w:val="single" w:sz="8" w:color="E0E0E0"/>
            </w:tcBorders>
          </w:tcPr>
          <w:p>
            <w:pPr>
              <w:spacing w:after="0"/>
              <w:rPr>
                <w:sz w:val="19"/>
                <w:szCs w:val="19"/>
                <w:color w:val="auto"/>
              </w:rPr>
            </w:pPr>
          </w:p>
        </w:tc>
      </w:tr>
      <w:tr>
        <w:trPr>
          <w:trHeight w:val="220"/>
        </w:trPr>
        <w:tc>
          <w:tcPr>
            <w:tcW w:w="6140" w:type="dxa"/>
            <w:vAlign w:val="bottom"/>
            <w:shd w:val="clear" w:color="auto" w:fill="E0E0E0"/>
          </w:tcPr>
          <w:p>
            <w:pPr>
              <w:spacing w:after="0"/>
              <w:rPr>
                <w:sz w:val="19"/>
                <w:szCs w:val="19"/>
                <w:color w:val="auto"/>
              </w:rPr>
            </w:pPr>
          </w:p>
        </w:tc>
        <w:tc>
          <w:tcPr>
            <w:tcW w:w="128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43,315</w:t>
            </w:r>
          </w:p>
        </w:tc>
        <w:tc>
          <w:tcPr>
            <w:tcW w:w="28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34,423</w:t>
            </w:r>
          </w:p>
        </w:tc>
        <w:tc>
          <w:tcPr>
            <w:tcW w:w="100" w:type="dxa"/>
            <w:vAlign w:val="bottom"/>
            <w:shd w:val="clear" w:color="auto" w:fill="E0E0E0"/>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20"/>
          </w:cols>
          <w:pgMar w:left="700" w:top="1398" w:right="720" w:bottom="186"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133</w:t>
      </w:r>
    </w:p>
    <w:p>
      <w:pPr>
        <w:sectPr>
          <w:pgSz w:w="12240" w:h="15840" w:orient="portrait"/>
          <w:cols w:equalWidth="0" w:num="1">
            <w:col w:w="10820"/>
          </w:cols>
          <w:pgMar w:left="700" w:top="1398" w:right="720" w:bottom="186" w:gutter="0" w:footer="0" w:header="0"/>
          <w:type w:val="continuous"/>
        </w:sectPr>
      </w:pPr>
    </w:p>
    <w:bookmarkStart w:id="135" w:name="page136"/>
    <w:bookmarkEnd w:id="135"/>
    <w:p>
      <w:pPr>
        <w:spacing w:after="0" w:line="1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Note 7. Property and Equipment, net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Property and equipment, net consisted of the following as of the dates presented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Estimated Useful Life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3620" w:type="dxa"/>
            <w:vAlign w:val="bottom"/>
            <w:tcBorders>
              <w:bottom w:val="single" w:sz="8" w:color="E0E0E0"/>
            </w:tcBorders>
          </w:tcPr>
          <w:p>
            <w:pPr>
              <w:spacing w:after="0"/>
              <w:rPr>
                <w:sz w:val="15"/>
                <w:szCs w:val="15"/>
                <w:color w:val="auto"/>
              </w:rPr>
            </w:pPr>
          </w:p>
        </w:tc>
        <w:tc>
          <w:tcPr>
            <w:tcW w:w="2500" w:type="dxa"/>
            <w:vAlign w:val="bottom"/>
            <w:tcBorders>
              <w:bottom w:val="single" w:sz="8" w:color="E0E0E0"/>
            </w:tcBorders>
          </w:tcPr>
          <w:p>
            <w:pPr>
              <w:spacing w:after="0"/>
              <w:rPr>
                <w:sz w:val="15"/>
                <w:szCs w:val="15"/>
                <w:color w:val="auto"/>
              </w:rPr>
            </w:pPr>
          </w:p>
        </w:tc>
        <w:tc>
          <w:tcPr>
            <w:tcW w:w="174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6"/>
                <w:szCs w:val="16"/>
                <w:i w:val="1"/>
                <w:iCs w:val="1"/>
                <w:color w:val="auto"/>
                <w:w w:val="99"/>
              </w:rPr>
              <w:t>(Years)</w:t>
            </w:r>
          </w:p>
        </w:tc>
        <w:tc>
          <w:tcPr>
            <w:tcW w:w="1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4"/>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2"/>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6120" w:type="dxa"/>
            <w:vAlign w:val="bottom"/>
            <w:gridSpan w:val="2"/>
            <w:shd w:val="clear" w:color="auto" w:fill="E0E0E0"/>
          </w:tcPr>
          <w:p>
            <w:pPr>
              <w:spacing w:after="0" w:line="220" w:lineRule="exact"/>
              <w:rPr>
                <w:sz w:val="20"/>
                <w:szCs w:val="20"/>
                <w:color w:val="auto"/>
              </w:rPr>
            </w:pPr>
            <w:r>
              <w:rPr>
                <w:rFonts w:ascii="Arial" w:cs="Arial" w:eastAsia="Arial" w:hAnsi="Arial"/>
                <w:sz w:val="20"/>
                <w:szCs w:val="20"/>
                <w:color w:val="auto"/>
              </w:rPr>
              <w:t>Computer equipment and software</w:t>
            </w:r>
          </w:p>
        </w:tc>
        <w:tc>
          <w:tcPr>
            <w:tcW w:w="1740" w:type="dxa"/>
            <w:vAlign w:val="bottom"/>
            <w:shd w:val="clear" w:color="auto" w:fill="E0E0E0"/>
          </w:tcPr>
          <w:p>
            <w:pPr>
              <w:jc w:val="center"/>
              <w:spacing w:after="0" w:line="220" w:lineRule="exact"/>
              <w:rPr>
                <w:sz w:val="20"/>
                <w:szCs w:val="20"/>
                <w:color w:val="auto"/>
              </w:rPr>
            </w:pPr>
            <w:r>
              <w:rPr>
                <w:rFonts w:ascii="Arial" w:cs="Arial" w:eastAsia="Arial" w:hAnsi="Arial"/>
                <w:sz w:val="20"/>
                <w:szCs w:val="20"/>
                <w:color w:val="auto"/>
                <w:w w:val="99"/>
              </w:rPr>
              <w:t>3 - 5</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3,681</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00" w:type="dxa"/>
            <w:vAlign w:val="bottom"/>
            <w:shd w:val="clear" w:color="auto" w:fill="E0E0E0"/>
          </w:tcPr>
          <w:p>
            <w:pPr>
              <w:jc w:val="right"/>
              <w:ind w:right="200"/>
              <w:spacing w:after="0" w:line="220"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3,195</w:t>
            </w:r>
          </w:p>
        </w:tc>
        <w:tc>
          <w:tcPr>
            <w:tcW w:w="100" w:type="dxa"/>
            <w:vAlign w:val="bottom"/>
            <w:shd w:val="clear" w:color="auto" w:fill="E0E0E0"/>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20"/>
                <w:szCs w:val="20"/>
                <w:color w:val="auto"/>
              </w:rPr>
              <w:t>Internal-use software</w:t>
            </w:r>
          </w:p>
        </w:tc>
        <w:tc>
          <w:tcPr>
            <w:tcW w:w="1740" w:type="dxa"/>
            <w:vAlign w:val="bottom"/>
          </w:tcPr>
          <w:p>
            <w:pPr>
              <w:jc w:val="center"/>
              <w:spacing w:after="0"/>
              <w:rPr>
                <w:sz w:val="20"/>
                <w:szCs w:val="20"/>
                <w:color w:val="auto"/>
              </w:rPr>
            </w:pPr>
            <w:r>
              <w:rPr>
                <w:rFonts w:ascii="Arial" w:cs="Arial" w:eastAsia="Arial" w:hAnsi="Arial"/>
                <w:sz w:val="20"/>
                <w:szCs w:val="20"/>
                <w:color w:val="auto"/>
              </w:rPr>
              <w:t>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13,131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Furniture and fixtures</w:t>
            </w:r>
          </w:p>
        </w:tc>
        <w:tc>
          <w:tcPr>
            <w:tcW w:w="1740" w:type="dxa"/>
            <w:vAlign w:val="bottom"/>
            <w:shd w:val="clear" w:color="auto" w:fill="E0E0E0"/>
          </w:tcPr>
          <w:p>
            <w:pPr>
              <w:jc w:val="center"/>
              <w:spacing w:after="0"/>
              <w:rPr>
                <w:sz w:val="20"/>
                <w:szCs w:val="20"/>
                <w:color w:val="auto"/>
              </w:rPr>
            </w:pPr>
            <w:r>
              <w:rPr>
                <w:rFonts w:ascii="Arial" w:cs="Arial" w:eastAsia="Arial" w:hAnsi="Arial"/>
                <w:sz w:val="20"/>
                <w:szCs w:val="20"/>
                <w:color w:val="auto"/>
              </w:rPr>
              <w:t>3</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912</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892</w:t>
            </w:r>
          </w:p>
        </w:tc>
        <w:tc>
          <w:tcPr>
            <w:tcW w:w="100" w:type="dxa"/>
            <w:vAlign w:val="bottom"/>
            <w:shd w:val="clear" w:color="auto" w:fill="E0E0E0"/>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120" w:type="dxa"/>
            <w:vAlign w:val="bottom"/>
            <w:gridSpan w:val="2"/>
          </w:tcPr>
          <w:p>
            <w:pPr>
              <w:spacing w:after="0" w:line="210" w:lineRule="exact"/>
              <w:rPr>
                <w:sz w:val="20"/>
                <w:szCs w:val="20"/>
                <w:color w:val="auto"/>
              </w:rPr>
            </w:pPr>
            <w:r>
              <w:rPr>
                <w:rFonts w:ascii="Arial" w:cs="Arial" w:eastAsia="Arial" w:hAnsi="Arial"/>
                <w:sz w:val="20"/>
                <w:szCs w:val="20"/>
                <w:color w:val="auto"/>
              </w:rPr>
              <w:t>Leasehold improvements</w:t>
            </w:r>
          </w:p>
        </w:tc>
        <w:tc>
          <w:tcPr>
            <w:tcW w:w="1740" w:type="dxa"/>
            <w:vAlign w:val="bottom"/>
          </w:tcPr>
          <w:p>
            <w:pPr>
              <w:jc w:val="center"/>
              <w:spacing w:after="0" w:line="210" w:lineRule="exact"/>
              <w:rPr>
                <w:sz w:val="20"/>
                <w:szCs w:val="20"/>
                <w:color w:val="auto"/>
              </w:rPr>
            </w:pPr>
            <w:r>
              <w:rPr>
                <w:rFonts w:ascii="Arial" w:cs="Arial" w:eastAsia="Arial" w:hAnsi="Arial"/>
                <w:sz w:val="20"/>
                <w:szCs w:val="20"/>
                <w:color w:val="auto"/>
              </w:rPr>
              <w:t>Shorter of lease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99"/>
              </w:rPr>
              <w:t>term</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rPr>
              <w:t>or useful life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5,431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4,704</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12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Construction in progress</w:t>
            </w:r>
          </w:p>
        </w:tc>
        <w:tc>
          <w:tcPr>
            <w:tcW w:w="17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291</w:t>
            </w:r>
          </w:p>
        </w:tc>
        <w:tc>
          <w:tcPr>
            <w:tcW w:w="100" w:type="dxa"/>
            <w:vAlign w:val="bottom"/>
            <w:shd w:val="clear" w:color="auto" w:fill="E0E0E0"/>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28,159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22,213</w:t>
            </w:r>
          </w:p>
        </w:tc>
        <w:tc>
          <w:tcPr>
            <w:tcW w:w="10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612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Less: Accumulated depreciation and amortization*</w:t>
            </w:r>
          </w:p>
        </w:tc>
        <w:tc>
          <w:tcPr>
            <w:tcW w:w="17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(13,025)</w:t>
            </w:r>
          </w:p>
        </w:tc>
        <w:tc>
          <w:tcPr>
            <w:tcW w:w="100" w:type="dxa"/>
            <w:vAlign w:val="bottom"/>
            <w:shd w:val="clear" w:color="auto" w:fill="E0E0E0"/>
          </w:tcPr>
          <w:p>
            <w:pPr>
              <w:spacing w:after="0"/>
              <w:rPr>
                <w:sz w:val="21"/>
                <w:szCs w:val="21"/>
                <w:color w:val="auto"/>
              </w:rPr>
            </w:pPr>
          </w:p>
        </w:tc>
        <w:tc>
          <w:tcPr>
            <w:tcW w:w="40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(8,896)</w:t>
            </w:r>
          </w:p>
        </w:tc>
      </w:tr>
      <w:tr>
        <w:trPr>
          <w:trHeight w:val="200"/>
        </w:trPr>
        <w:tc>
          <w:tcPr>
            <w:tcW w:w="20" w:type="dxa"/>
            <w:vAlign w:val="bottom"/>
          </w:tcPr>
          <w:p>
            <w:pPr>
              <w:spacing w:after="0"/>
              <w:rPr>
                <w:sz w:val="17"/>
                <w:szCs w:val="17"/>
                <w:color w:val="auto"/>
              </w:rPr>
            </w:pPr>
          </w:p>
        </w:tc>
        <w:tc>
          <w:tcPr>
            <w:tcW w:w="3620" w:type="dxa"/>
            <w:vAlign w:val="bottom"/>
            <w:tcBorders>
              <w:top w:val="single" w:sz="8" w:color="E0E0E0"/>
            </w:tcBorders>
          </w:tcPr>
          <w:p>
            <w:pPr>
              <w:spacing w:after="0"/>
              <w:rPr>
                <w:sz w:val="17"/>
                <w:szCs w:val="17"/>
                <w:color w:val="auto"/>
              </w:rPr>
            </w:pPr>
          </w:p>
        </w:tc>
        <w:tc>
          <w:tcPr>
            <w:tcW w:w="2500" w:type="dxa"/>
            <w:vAlign w:val="bottom"/>
            <w:tcBorders>
              <w:top w:val="single" w:sz="8" w:color="E0E0E0"/>
            </w:tcBorders>
          </w:tcPr>
          <w:p>
            <w:pPr>
              <w:spacing w:after="0"/>
              <w:rPr>
                <w:sz w:val="17"/>
                <w:szCs w:val="17"/>
                <w:color w:val="auto"/>
              </w:rPr>
            </w:pPr>
          </w:p>
        </w:tc>
        <w:tc>
          <w:tcPr>
            <w:tcW w:w="1740" w:type="dxa"/>
            <w:vAlign w:val="bottom"/>
            <w:tcBorders>
              <w:top w:val="single" w:sz="8" w:color="E0E0E0"/>
            </w:tcBorders>
          </w:tcPr>
          <w:p>
            <w:pPr>
              <w:spacing w:after="0"/>
              <w:rPr>
                <w:sz w:val="17"/>
                <w:szCs w:val="17"/>
                <w:color w:val="auto"/>
              </w:rPr>
            </w:pPr>
          </w:p>
        </w:tc>
        <w:tc>
          <w:tcPr>
            <w:tcW w:w="140" w:type="dxa"/>
            <w:vAlign w:val="bottom"/>
            <w:tcBorders>
              <w:top w:val="single" w:sz="8" w:color="E0E0E0"/>
            </w:tcBorders>
          </w:tcPr>
          <w:p>
            <w:pPr>
              <w:spacing w:after="0"/>
              <w:rPr>
                <w:sz w:val="17"/>
                <w:szCs w:val="17"/>
                <w:color w:val="auto"/>
              </w:rPr>
            </w:pPr>
          </w:p>
        </w:tc>
        <w:tc>
          <w:tcPr>
            <w:tcW w:w="20" w:type="dxa"/>
            <w:vAlign w:val="bottom"/>
            <w:tcBorders>
              <w:top w:val="single" w:sz="8" w:color="E0E0E0"/>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60"/>
              <w:spacing w:after="0" w:line="200"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15,134</w:t>
            </w:r>
          </w:p>
        </w:tc>
        <w:tc>
          <w:tcPr>
            <w:tcW w:w="160" w:type="dxa"/>
            <w:vAlign w:val="bottom"/>
            <w:tcBorders>
              <w:top w:val="single" w:sz="8" w:color="E0E0E0"/>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00"/>
              <w:spacing w:after="0" w:line="200"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13,317</w:t>
            </w:r>
          </w:p>
        </w:tc>
        <w:tc>
          <w:tcPr>
            <w:tcW w:w="100" w:type="dxa"/>
            <w:vAlign w:val="bottom"/>
            <w:tcBorders>
              <w:top w:val="single" w:sz="8" w:color="E0E0E0"/>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2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45" w:lineRule="exact"/>
        <w:rPr>
          <w:sz w:val="20"/>
          <w:szCs w:val="20"/>
          <w:color w:val="auto"/>
        </w:rPr>
      </w:pPr>
    </w:p>
    <w:p>
      <w:pPr>
        <w:ind w:left="20" w:right="420"/>
        <w:spacing w:after="0" w:line="261" w:lineRule="auto"/>
        <w:tabs>
          <w:tab w:leader="none" w:pos="1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the year ended December 31, 2023, accumulated depreciation and amortization expense included $(167) thousand of computer disposals and $54 thousand of foreign currency translation adjustments. For the year ended December 31, 2022, accumulated depreciation and amortization expense included $(208) thousand of computer disposals and $(222) thousand of foreign currency translation adjustments.</w:t>
      </w:r>
    </w:p>
    <w:p>
      <w:pPr>
        <w:spacing w:after="0" w:line="147" w:lineRule="exact"/>
        <w:rPr>
          <w:sz w:val="20"/>
          <w:szCs w:val="20"/>
          <w:color w:val="auto"/>
        </w:rPr>
      </w:pPr>
    </w:p>
    <w:p>
      <w:pPr>
        <w:ind w:left="20" w:right="20" w:firstLine="490"/>
        <w:spacing w:after="0" w:line="282" w:lineRule="auto"/>
        <w:rPr>
          <w:sz w:val="20"/>
          <w:szCs w:val="20"/>
          <w:color w:val="auto"/>
        </w:rPr>
      </w:pPr>
      <w:r>
        <w:rPr>
          <w:rFonts w:ascii="Arial" w:cs="Arial" w:eastAsia="Arial" w:hAnsi="Arial"/>
          <w:sz w:val="20"/>
          <w:szCs w:val="20"/>
          <w:color w:val="auto"/>
        </w:rPr>
        <w:t>Depreciation of property and equipment and amortization of internal-used software was $4.2 million, $3.2 million and $2.3 million for the years ended December 31, 2023, 2022 and 2021, respectively.</w:t>
      </w:r>
    </w:p>
    <w:p>
      <w:pPr>
        <w:spacing w:after="0" w:line="120" w:lineRule="exact"/>
        <w:rPr>
          <w:sz w:val="20"/>
          <w:szCs w:val="20"/>
          <w:color w:val="auto"/>
        </w:rPr>
      </w:pPr>
    </w:p>
    <w:p>
      <w:pPr>
        <w:ind w:left="20" w:right="500" w:firstLine="490"/>
        <w:spacing w:after="0" w:line="282" w:lineRule="auto"/>
        <w:rPr>
          <w:sz w:val="20"/>
          <w:szCs w:val="20"/>
          <w:color w:val="auto"/>
        </w:rPr>
      </w:pPr>
      <w:r>
        <w:rPr>
          <w:rFonts w:ascii="Arial" w:cs="Arial" w:eastAsia="Arial" w:hAnsi="Arial"/>
          <w:sz w:val="20"/>
          <w:szCs w:val="20"/>
          <w:color w:val="auto"/>
        </w:rPr>
        <w:t>The Company capitalized $5.0 million and $5.7 million in costs related to internal-use software during the years ended December 31, 2023 and 2022.</w:t>
      </w:r>
    </w:p>
    <w:p>
      <w:pPr>
        <w:spacing w:after="0" w:line="120" w:lineRule="exact"/>
        <w:rPr>
          <w:sz w:val="20"/>
          <w:szCs w:val="20"/>
          <w:color w:val="auto"/>
        </w:rPr>
      </w:pPr>
    </w:p>
    <w:p>
      <w:pPr>
        <w:ind w:left="20" w:firstLine="490"/>
        <w:spacing w:after="0" w:line="261" w:lineRule="auto"/>
        <w:rPr>
          <w:sz w:val="20"/>
          <w:szCs w:val="20"/>
          <w:color w:val="auto"/>
        </w:rPr>
      </w:pPr>
      <w:r>
        <w:rPr>
          <w:rFonts w:ascii="Arial" w:cs="Arial" w:eastAsia="Arial" w:hAnsi="Arial"/>
          <w:sz w:val="20"/>
          <w:szCs w:val="20"/>
          <w:color w:val="auto"/>
        </w:rPr>
        <w:t>As of December 31, 2023 and 2022, the carrying value of internal-used software was $12.7 million and $10.6 million, respectively. Amortization expense related to internal-used software was $2.9 million, $1.6 million and $0.8 for the years ended December 31, 2023, 2022 and 2021, respectively.</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Geographic Information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following table summarizes the Company’s property and equipment, net based on geography (in thousands):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520" w:type="dxa"/>
            <w:vAlign w:val="bottom"/>
            <w:tcBorders>
              <w:bottom w:val="single" w:sz="8" w:color="E0E0E0"/>
            </w:tcBorders>
          </w:tcPr>
          <w:p>
            <w:pPr>
              <w:spacing w:after="0"/>
              <w:rPr>
                <w:sz w:val="15"/>
                <w:szCs w:val="15"/>
                <w:color w:val="auto"/>
              </w:rPr>
            </w:pPr>
          </w:p>
        </w:tc>
        <w:tc>
          <w:tcPr>
            <w:tcW w:w="2900" w:type="dxa"/>
            <w:vAlign w:val="bottom"/>
            <w:tcBorders>
              <w:bottom w:val="single" w:sz="8" w:color="E0E0E0"/>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7"/>
              <w:spacing w:after="0" w:line="174" w:lineRule="exact"/>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E0E0E0"/>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4"/>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45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Long-lived assets:</w:t>
            </w:r>
          </w:p>
        </w:tc>
        <w:tc>
          <w:tcPr>
            <w:tcW w:w="290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20"/>
                <w:szCs w:val="20"/>
                <w:color w:val="auto"/>
              </w:rPr>
              <w:t>U.S.</w:t>
            </w:r>
          </w:p>
        </w:tc>
        <w:tc>
          <w:tcPr>
            <w:tcW w:w="290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13,503</w:t>
            </w:r>
          </w:p>
        </w:tc>
        <w:tc>
          <w:tcPr>
            <w:tcW w:w="280" w:type="dxa"/>
            <w:vAlign w:val="bottom"/>
          </w:tcPr>
          <w:p>
            <w:pPr>
              <w:spacing w:after="0"/>
              <w:rPr>
                <w:sz w:val="19"/>
                <w:szCs w:val="19"/>
                <w:color w:val="auto"/>
              </w:rPr>
            </w:pPr>
          </w:p>
        </w:tc>
        <w:tc>
          <w:tcPr>
            <w:tcW w:w="460" w:type="dxa"/>
            <w:vAlign w:val="bottom"/>
          </w:tcPr>
          <w:p>
            <w:pPr>
              <w:jc w:val="right"/>
              <w:ind w:right="260"/>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11,655</w:t>
            </w:r>
          </w:p>
        </w:tc>
        <w:tc>
          <w:tcPr>
            <w:tcW w:w="100" w:type="dxa"/>
            <w:vAlign w:val="bottom"/>
          </w:tcPr>
          <w:p>
            <w:pPr>
              <w:spacing w:after="0"/>
              <w:rPr>
                <w:sz w:val="19"/>
                <w:szCs w:val="19"/>
                <w:color w:val="auto"/>
              </w:rPr>
            </w:pPr>
          </w:p>
        </w:tc>
      </w:tr>
      <w:tr>
        <w:trPr>
          <w:trHeight w:val="230"/>
        </w:trPr>
        <w:tc>
          <w:tcPr>
            <w:tcW w:w="4520" w:type="dxa"/>
            <w:vAlign w:val="bottom"/>
            <w:shd w:val="clear" w:color="auto" w:fill="E0E0E0"/>
          </w:tcPr>
          <w:p>
            <w:pPr>
              <w:spacing w:after="0"/>
              <w:rPr>
                <w:sz w:val="20"/>
                <w:szCs w:val="20"/>
                <w:color w:val="auto"/>
              </w:rPr>
            </w:pPr>
            <w:r>
              <w:rPr>
                <w:rFonts w:ascii="Arial" w:cs="Arial" w:eastAsia="Arial" w:hAnsi="Arial"/>
                <w:sz w:val="20"/>
                <w:szCs w:val="20"/>
                <w:color w:val="auto"/>
              </w:rPr>
              <w:t>U.K.</w:t>
            </w:r>
          </w:p>
        </w:tc>
        <w:tc>
          <w:tcPr>
            <w:tcW w:w="290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105</w:t>
            </w:r>
          </w:p>
        </w:tc>
        <w:tc>
          <w:tcPr>
            <w:tcW w:w="28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196</w:t>
            </w:r>
          </w:p>
        </w:tc>
        <w:tc>
          <w:tcPr>
            <w:tcW w:w="100" w:type="dxa"/>
            <w:vAlign w:val="bottom"/>
            <w:shd w:val="clear" w:color="auto" w:fill="E0E0E0"/>
          </w:tcPr>
          <w:p>
            <w:pPr>
              <w:spacing w:after="0"/>
              <w:rPr>
                <w:sz w:val="19"/>
                <w:szCs w:val="19"/>
                <w:color w:val="auto"/>
              </w:rPr>
            </w:pPr>
          </w:p>
        </w:tc>
      </w:tr>
      <w:tr>
        <w:trPr>
          <w:trHeight w:val="230"/>
        </w:trPr>
        <w:tc>
          <w:tcPr>
            <w:tcW w:w="45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Other countries</w:t>
            </w:r>
          </w:p>
        </w:tc>
        <w:tc>
          <w:tcPr>
            <w:tcW w:w="290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1,526</w:t>
            </w:r>
          </w:p>
        </w:tc>
        <w:tc>
          <w:tcPr>
            <w:tcW w:w="280" w:type="dxa"/>
            <w:vAlign w:val="bottom"/>
            <w:tcBorders>
              <w:bottom w:val="single" w:sz="8" w:color="E0E0E0"/>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1,466</w:t>
            </w:r>
          </w:p>
        </w:tc>
        <w:tc>
          <w:tcPr>
            <w:tcW w:w="100" w:type="dxa"/>
            <w:vAlign w:val="bottom"/>
            <w:tcBorders>
              <w:bottom w:val="single" w:sz="8" w:color="E0E0E0"/>
            </w:tcBorders>
          </w:tcPr>
          <w:p>
            <w:pPr>
              <w:spacing w:after="0"/>
              <w:rPr>
                <w:sz w:val="19"/>
                <w:szCs w:val="19"/>
                <w:color w:val="auto"/>
              </w:rPr>
            </w:pPr>
          </w:p>
        </w:tc>
      </w:tr>
      <w:tr>
        <w:trPr>
          <w:trHeight w:val="220"/>
        </w:trPr>
        <w:tc>
          <w:tcPr>
            <w:tcW w:w="4520" w:type="dxa"/>
            <w:vAlign w:val="bottom"/>
            <w:shd w:val="clear" w:color="auto" w:fill="E0E0E0"/>
          </w:tcPr>
          <w:p>
            <w:pPr>
              <w:spacing w:after="0"/>
              <w:rPr>
                <w:sz w:val="19"/>
                <w:szCs w:val="19"/>
                <w:color w:val="auto"/>
              </w:rPr>
            </w:pPr>
          </w:p>
        </w:tc>
        <w:tc>
          <w:tcPr>
            <w:tcW w:w="290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15,134</w:t>
            </w:r>
          </w:p>
        </w:tc>
        <w:tc>
          <w:tcPr>
            <w:tcW w:w="280" w:type="dxa"/>
            <w:vAlign w:val="bottom"/>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jc w:val="right"/>
              <w:ind w:right="260"/>
              <w:spacing w:after="0" w:line="220" w:lineRule="exact"/>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13,317</w:t>
            </w:r>
          </w:p>
        </w:tc>
        <w:tc>
          <w:tcPr>
            <w:tcW w:w="100" w:type="dxa"/>
            <w:vAlign w:val="bottom"/>
            <w:shd w:val="clear" w:color="auto" w:fill="E0E0E0"/>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Note 8. Business Combinations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StudyLink</w:t>
      </w:r>
    </w:p>
    <w:p>
      <w:pPr>
        <w:spacing w:after="0" w:line="192" w:lineRule="exact"/>
        <w:rPr>
          <w:sz w:val="20"/>
          <w:szCs w:val="20"/>
          <w:color w:val="auto"/>
        </w:rPr>
      </w:pPr>
    </w:p>
    <w:p>
      <w:pPr>
        <w:ind w:left="20" w:right="20" w:firstLine="490"/>
        <w:spacing w:after="0" w:line="247" w:lineRule="auto"/>
        <w:rPr>
          <w:sz w:val="20"/>
          <w:szCs w:val="20"/>
          <w:color w:val="auto"/>
        </w:rPr>
      </w:pPr>
      <w:r>
        <w:rPr>
          <w:rFonts w:ascii="Arial" w:cs="Arial" w:eastAsia="Arial" w:hAnsi="Arial"/>
          <w:sz w:val="20"/>
          <w:szCs w:val="20"/>
          <w:color w:val="auto"/>
        </w:rPr>
        <w:t>On November 3, 2023, Flywire, through one if its Australian entities Flywire Pacific Pty Ltd., acquired all of the issued and outstanding shares of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success in the Australian higher education market and enhance the Company's value proposition to payers, universities and agents in the higher education ecosystem. The acquisition of StudyLink has been accounted for as a business combination.</w:t>
      </w:r>
    </w:p>
    <w:p>
      <w:pPr>
        <w:spacing w:after="0" w:line="153" w:lineRule="exact"/>
        <w:rPr>
          <w:sz w:val="20"/>
          <w:szCs w:val="20"/>
          <w:color w:val="auto"/>
        </w:rPr>
      </w:pPr>
    </w:p>
    <w:p>
      <w:pPr>
        <w:ind w:left="20" w:right="160" w:firstLine="490"/>
        <w:spacing w:after="0" w:line="261" w:lineRule="auto"/>
        <w:rPr>
          <w:sz w:val="20"/>
          <w:szCs w:val="20"/>
          <w:color w:val="auto"/>
        </w:rPr>
      </w:pPr>
      <w:r>
        <w:rPr>
          <w:rFonts w:ascii="Arial" w:cs="Arial" w:eastAsia="Arial" w:hAnsi="Arial"/>
          <w:sz w:val="20"/>
          <w:szCs w:val="20"/>
          <w:color w:val="auto"/>
        </w:rPr>
        <w:t>The finalization of the purchase accounting assessment is subject to net working capital adjustment completion. As a result, during the measurement period, which may be up to one year from the acquisition date, the Company may record a net working capital adjustment with a corresponding offset to goodwill to reflect additional information received</w:t>
      </w:r>
    </w:p>
    <w:p>
      <w:pPr>
        <w:sectPr>
          <w:pgSz w:w="12240" w:h="15840" w:orient="portrait"/>
          <w:cols w:equalWidth="0" w:num="1">
            <w:col w:w="10820"/>
          </w:cols>
          <w:pgMar w:left="700" w:top="1440" w:right="720" w:bottom="186"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134</w:t>
      </w:r>
    </w:p>
    <w:p>
      <w:pPr>
        <w:sectPr>
          <w:pgSz w:w="12240" w:h="15840" w:orient="portrait"/>
          <w:cols w:equalWidth="0" w:num="1">
            <w:col w:w="10820"/>
          </w:cols>
          <w:pgMar w:left="700" w:top="1440" w:right="720" w:bottom="186" w:gutter="0" w:footer="0" w:header="0"/>
          <w:type w:val="continuous"/>
        </w:sectPr>
      </w:pPr>
    </w:p>
    <w:bookmarkStart w:id="136" w:name="page137"/>
    <w:bookmarkEnd w:id="136"/>
    <w:p>
      <w:pPr>
        <w:ind w:right="100"/>
        <w:spacing w:after="0" w:line="254" w:lineRule="auto"/>
        <w:rPr>
          <w:sz w:val="20"/>
          <w:szCs w:val="20"/>
          <w:color w:val="auto"/>
        </w:rPr>
      </w:pPr>
      <w:r>
        <w:rPr>
          <w:rFonts w:ascii="Arial" w:cs="Arial" w:eastAsia="Arial" w:hAnsi="Arial"/>
          <w:sz w:val="20"/>
          <w:szCs w:val="20"/>
          <w:color w:val="auto"/>
        </w:rPr>
        <w:t>about facts and circumstances which existed at the date of acquisition. The Company records adjustments to the assets acquired and liabilities assumed subsequent to the purchase price allocation period in the Company’s operating results in the period in which the adjustments are determined. Any potential adjustments made could be material in relation to the preliminary values presented.</w:t>
      </w:r>
    </w:p>
    <w:p>
      <w:pPr>
        <w:spacing w:after="0" w:line="146"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Pursuant to the terms of the business combination agreement, the Company acquired StudyLink for estimated total purchase consideration of approximately $37.6 million or $35.5 million, net of cash acquired, which consisted of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shd w:val="clear" w:color="auto" w:fill="E0E0E0"/>
          </w:tcPr>
          <w:p>
            <w:pPr>
              <w:spacing w:after="0"/>
              <w:rPr>
                <w:sz w:val="20"/>
                <w:szCs w:val="20"/>
                <w:color w:val="auto"/>
              </w:rPr>
            </w:pPr>
            <w:r>
              <w:rPr>
                <w:rFonts w:ascii="Arial" w:cs="Arial" w:eastAsia="Arial" w:hAnsi="Arial"/>
                <w:sz w:val="20"/>
                <w:szCs w:val="20"/>
                <w:color w:val="auto"/>
              </w:rPr>
              <w:t>Cash consideration, net of cash acquired</w:t>
            </w:r>
          </w:p>
        </w:tc>
        <w:tc>
          <w:tcPr>
            <w:tcW w:w="2720" w:type="dxa"/>
            <w:vAlign w:val="bottom"/>
            <w:gridSpan w:val="2"/>
            <w:shd w:val="clear" w:color="auto" w:fill="E0E0E0"/>
          </w:tcPr>
          <w:p>
            <w:pPr>
              <w:jc w:val="right"/>
              <w:ind w:right="4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32,764</w:t>
            </w:r>
          </w:p>
        </w:tc>
        <w:tc>
          <w:tcPr>
            <w:tcW w:w="100" w:type="dxa"/>
            <w:vAlign w:val="bottom"/>
            <w:shd w:val="clear" w:color="auto" w:fill="E0E0E0"/>
          </w:tcPr>
          <w:p>
            <w:pPr>
              <w:spacing w:after="0"/>
              <w:rPr>
                <w:sz w:val="19"/>
                <w:szCs w:val="19"/>
                <w:color w:val="auto"/>
              </w:rPr>
            </w:pPr>
          </w:p>
        </w:tc>
      </w:tr>
      <w:tr>
        <w:trPr>
          <w:trHeight w:val="230"/>
        </w:trPr>
        <w:tc>
          <w:tcPr>
            <w:tcW w:w="68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Estimated fair value of contingent consideration</w:t>
            </w:r>
          </w:p>
        </w:tc>
        <w:tc>
          <w:tcPr>
            <w:tcW w:w="2060" w:type="dxa"/>
            <w:vAlign w:val="bottom"/>
            <w:tcBorders>
              <w:bottom w:val="single" w:sz="8" w:color="E0E0E0"/>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2,701</w:t>
            </w:r>
          </w:p>
        </w:tc>
        <w:tc>
          <w:tcPr>
            <w:tcW w:w="100" w:type="dxa"/>
            <w:vAlign w:val="bottom"/>
            <w:tcBorders>
              <w:bottom w:val="single" w:sz="8" w:color="E0E0E0"/>
            </w:tcBorders>
          </w:tcPr>
          <w:p>
            <w:pPr>
              <w:spacing w:after="0"/>
              <w:rPr>
                <w:sz w:val="19"/>
                <w:szCs w:val="19"/>
                <w:color w:val="auto"/>
              </w:rPr>
            </w:pPr>
          </w:p>
        </w:tc>
      </w:tr>
      <w:tr>
        <w:trPr>
          <w:trHeight w:val="220"/>
        </w:trPr>
        <w:tc>
          <w:tcPr>
            <w:tcW w:w="6820" w:type="dxa"/>
            <w:vAlign w:val="bottom"/>
            <w:shd w:val="clear" w:color="auto" w:fill="E0E0E0"/>
          </w:tcPr>
          <w:p>
            <w:pPr>
              <w:ind w:left="280"/>
              <w:spacing w:after="0" w:line="220" w:lineRule="exact"/>
              <w:rPr>
                <w:sz w:val="20"/>
                <w:szCs w:val="20"/>
                <w:color w:val="auto"/>
              </w:rPr>
            </w:pPr>
            <w:r>
              <w:rPr>
                <w:rFonts w:ascii="Arial" w:cs="Arial" w:eastAsia="Arial" w:hAnsi="Arial"/>
                <w:sz w:val="20"/>
                <w:szCs w:val="20"/>
                <w:color w:val="auto"/>
              </w:rPr>
              <w:t>Total purchase consideration, net of cash acquired</w:t>
            </w:r>
          </w:p>
        </w:tc>
        <w:tc>
          <w:tcPr>
            <w:tcW w:w="2060" w:type="dxa"/>
            <w:vAlign w:val="bottom"/>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ind w:right="46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35,465</w:t>
            </w:r>
          </w:p>
        </w:tc>
        <w:tc>
          <w:tcPr>
            <w:tcW w:w="100" w:type="dxa"/>
            <w:vAlign w:val="bottom"/>
            <w:shd w:val="clear" w:color="auto" w:fill="E0E0E0"/>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auto"/>
        </w:rPr>
        <w:t>Contingent consideration, which totals up to approximately $2.7 million,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spacing w:after="0" w:line="152"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Additional payments in the form of shares of common stock will be made based on the continuing employment of a key employee; accordingly, the fair value of $2.4 million, or approximately 84,000 shares of common stock, have been excluded from the purchase consideration. These shares are fixed on the date of acquisition and payable only in common stock, therefore are equity-classified.</w:t>
      </w:r>
    </w:p>
    <w:p>
      <w:pPr>
        <w:spacing w:after="0" w:line="146" w:lineRule="exact"/>
        <w:rPr>
          <w:sz w:val="20"/>
          <w:szCs w:val="20"/>
          <w:color w:val="auto"/>
        </w:rPr>
      </w:pPr>
    </w:p>
    <w:p>
      <w:pPr>
        <w:ind w:right="80" w:firstLine="546"/>
        <w:spacing w:after="0" w:line="254" w:lineRule="auto"/>
        <w:rPr>
          <w:sz w:val="20"/>
          <w:szCs w:val="20"/>
          <w:color w:val="auto"/>
        </w:rPr>
      </w:pPr>
      <w:r>
        <w:rPr>
          <w:rFonts w:ascii="Arial" w:cs="Arial" w:eastAsia="Arial" w:hAnsi="Arial"/>
          <w:sz w:val="20"/>
          <w:szCs w:val="20"/>
          <w:color w:val="auto"/>
        </w:rPr>
        <w:t>During the year ended December 31, 2023, the Company expensed $0.2 million in personnel costs associated with retention of the key employee. These personnel costs are included in the Company’s consolidated statements of operations and comprehensive loss and a liability is recorded in accrued expenses and other current liabilities on the consolidated balance sheet.</w:t>
      </w:r>
    </w:p>
    <w:p>
      <w:pPr>
        <w:spacing w:after="0" w:line="146" w:lineRule="exact"/>
        <w:rPr>
          <w:sz w:val="20"/>
          <w:szCs w:val="20"/>
          <w:color w:val="auto"/>
        </w:rPr>
      </w:pPr>
    </w:p>
    <w:p>
      <w:pPr>
        <w:ind w:right="300" w:firstLine="490"/>
        <w:spacing w:after="0" w:line="310" w:lineRule="auto"/>
        <w:rPr>
          <w:sz w:val="20"/>
          <w:szCs w:val="20"/>
          <w:color w:val="auto"/>
        </w:rPr>
      </w:pPr>
      <w:r>
        <w:rPr>
          <w:rFonts w:ascii="Arial" w:cs="Arial" w:eastAsia="Arial" w:hAnsi="Arial"/>
          <w:sz w:val="19"/>
          <w:szCs w:val="19"/>
          <w:color w:val="auto"/>
        </w:rPr>
        <w:t>During the year ended December 31, 2023, the Company incurred $0.7 million in transaction costs, which are included in general and administrative expenses in the consolidated statements of operations and comprehensive loss.</w:t>
      </w:r>
    </w:p>
    <w:p>
      <w:pPr>
        <w:spacing w:after="0" w:line="96" w:lineRule="exact"/>
        <w:rPr>
          <w:sz w:val="20"/>
          <w:szCs w:val="20"/>
          <w:color w:val="auto"/>
        </w:rPr>
      </w:pPr>
    </w:p>
    <w:p>
      <w:pPr>
        <w:ind w:right="180" w:firstLine="490"/>
        <w:spacing w:after="0" w:line="282" w:lineRule="auto"/>
        <w:rPr>
          <w:sz w:val="20"/>
          <w:szCs w:val="20"/>
          <w:color w:val="auto"/>
        </w:rPr>
      </w:pPr>
      <w:r>
        <w:rPr>
          <w:rFonts w:ascii="Arial" w:cs="Arial" w:eastAsia="Arial" w:hAnsi="Arial"/>
          <w:sz w:val="20"/>
          <w:szCs w:val="20"/>
          <w:color w:val="auto"/>
        </w:rPr>
        <w:t>The table summarizes the preliminary allocation of the purchase consideration to the assets acquired and liabilities assumed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Cash</w:t>
            </w:r>
          </w:p>
        </w:tc>
        <w:tc>
          <w:tcPr>
            <w:tcW w:w="3080" w:type="dxa"/>
            <w:vAlign w:val="bottom"/>
            <w:gridSpan w:val="2"/>
            <w:shd w:val="clear" w:color="auto" w:fill="E0E0E0"/>
          </w:tcPr>
          <w:p>
            <w:pPr>
              <w:jc w:val="right"/>
              <w:ind w:right="46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2,108</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Accounts receivable</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2,762</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Prepaid expenses and other current assets</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432</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Other assets</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193</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Goodwill</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20,705</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Identifiable intangible assets</w:t>
            </w:r>
          </w:p>
        </w:tc>
        <w:tc>
          <w:tcPr>
            <w:tcW w:w="2400" w:type="dxa"/>
            <w:vAlign w:val="bottom"/>
            <w:tcBorders>
              <w:bottom w:val="single" w:sz="8" w:color="E0E0E0"/>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19,553</w:t>
            </w:r>
          </w:p>
        </w:tc>
        <w:tc>
          <w:tcPr>
            <w:tcW w:w="100" w:type="dxa"/>
            <w:vAlign w:val="bottom"/>
            <w:tcBorders>
              <w:bottom w:val="single" w:sz="8" w:color="E0E0E0"/>
            </w:tcBorders>
          </w:tcPr>
          <w:p>
            <w:pPr>
              <w:spacing w:after="0"/>
              <w:rPr>
                <w:sz w:val="19"/>
                <w:szCs w:val="19"/>
                <w:color w:val="auto"/>
              </w:rPr>
            </w:pPr>
          </w:p>
        </w:tc>
      </w:tr>
      <w:tr>
        <w:trPr>
          <w:trHeight w:val="220"/>
        </w:trPr>
        <w:tc>
          <w:tcPr>
            <w:tcW w:w="6440" w:type="dxa"/>
            <w:vAlign w:val="bottom"/>
            <w:shd w:val="clear" w:color="auto" w:fill="E0E0E0"/>
          </w:tcPr>
          <w:p>
            <w:pPr>
              <w:ind w:left="280"/>
              <w:spacing w:after="0" w:line="220" w:lineRule="exact"/>
              <w:rPr>
                <w:sz w:val="20"/>
                <w:szCs w:val="20"/>
                <w:color w:val="auto"/>
              </w:rPr>
            </w:pPr>
            <w:r>
              <w:rPr>
                <w:rFonts w:ascii="Arial" w:cs="Arial" w:eastAsia="Arial" w:hAnsi="Arial"/>
                <w:sz w:val="20"/>
                <w:szCs w:val="20"/>
                <w:color w:val="auto"/>
              </w:rPr>
              <w:t>Total assets acquired</w:t>
            </w:r>
          </w:p>
        </w:tc>
        <w:tc>
          <w:tcPr>
            <w:tcW w:w="240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45,753</w:t>
            </w:r>
          </w:p>
        </w:tc>
        <w:tc>
          <w:tcPr>
            <w:tcW w:w="100" w:type="dxa"/>
            <w:vAlign w:val="bottom"/>
            <w:shd w:val="clear" w:color="auto" w:fill="E0E0E0"/>
          </w:tcPr>
          <w:p>
            <w:pPr>
              <w:spacing w:after="0"/>
              <w:rPr>
                <w:sz w:val="19"/>
                <w:szCs w:val="19"/>
                <w:color w:val="auto"/>
              </w:rPr>
            </w:pPr>
          </w:p>
        </w:tc>
      </w:tr>
      <w:tr>
        <w:trPr>
          <w:trHeight w:val="220"/>
        </w:trPr>
        <w:tc>
          <w:tcPr>
            <w:tcW w:w="6440" w:type="dxa"/>
            <w:vAlign w:val="bottom"/>
          </w:tcPr>
          <w:p>
            <w:pPr>
              <w:spacing w:after="0" w:line="220" w:lineRule="exact"/>
              <w:rPr>
                <w:sz w:val="20"/>
                <w:szCs w:val="20"/>
                <w:color w:val="auto"/>
              </w:rPr>
            </w:pPr>
            <w:r>
              <w:rPr>
                <w:rFonts w:ascii="Arial" w:cs="Arial" w:eastAsia="Arial" w:hAnsi="Arial"/>
                <w:sz w:val="20"/>
                <w:szCs w:val="20"/>
                <w:color w:val="auto"/>
              </w:rPr>
              <w:t>Deferred tax liabilities</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line="220" w:lineRule="exact"/>
              <w:rPr>
                <w:sz w:val="20"/>
                <w:szCs w:val="20"/>
                <w:color w:val="auto"/>
              </w:rPr>
            </w:pPr>
            <w:r>
              <w:rPr>
                <w:rFonts w:ascii="Arial" w:cs="Arial" w:eastAsia="Arial" w:hAnsi="Arial"/>
                <w:sz w:val="20"/>
                <w:szCs w:val="20"/>
                <w:color w:val="auto"/>
              </w:rPr>
              <w:t>2,663</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Deferred revenue</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2,654</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Accounts payable</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859</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Accrued expenses and other current liabilities</w:t>
            </w:r>
          </w:p>
        </w:tc>
        <w:tc>
          <w:tcPr>
            <w:tcW w:w="240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2,004</w:t>
            </w:r>
          </w:p>
        </w:tc>
        <w:tc>
          <w:tcPr>
            <w:tcW w:w="100" w:type="dxa"/>
            <w:vAlign w:val="bottom"/>
            <w:shd w:val="clear" w:color="auto" w:fill="E0E0E0"/>
          </w:tcPr>
          <w:p>
            <w:pPr>
              <w:spacing w:after="0"/>
              <w:rPr>
                <w:sz w:val="19"/>
                <w:szCs w:val="19"/>
                <w:color w:val="auto"/>
              </w:rPr>
            </w:pPr>
          </w:p>
        </w:tc>
      </w:tr>
      <w:tr>
        <w:trPr>
          <w:trHeight w:val="220"/>
        </w:trPr>
        <w:tc>
          <w:tcPr>
            <w:tcW w:w="6440" w:type="dxa"/>
            <w:vAlign w:val="bottom"/>
            <w:tcBorders>
              <w:bottom w:val="single" w:sz="8" w:color="E0E0E0"/>
            </w:tcBorders>
          </w:tcPr>
          <w:p>
            <w:pPr>
              <w:ind w:left="280"/>
              <w:spacing w:after="0" w:line="220" w:lineRule="exact"/>
              <w:rPr>
                <w:sz w:val="20"/>
                <w:szCs w:val="20"/>
                <w:color w:val="auto"/>
              </w:rPr>
            </w:pPr>
            <w:r>
              <w:rPr>
                <w:rFonts w:ascii="Arial" w:cs="Arial" w:eastAsia="Arial" w:hAnsi="Arial"/>
                <w:sz w:val="20"/>
                <w:szCs w:val="20"/>
                <w:color w:val="auto"/>
              </w:rPr>
              <w:t>Total liabilities assumed</w:t>
            </w:r>
          </w:p>
        </w:tc>
        <w:tc>
          <w:tcPr>
            <w:tcW w:w="2400" w:type="dxa"/>
            <w:vAlign w:val="bottom"/>
            <w:tcBorders>
              <w:bottom w:val="single" w:sz="8" w:color="E0E0E0"/>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8,180</w:t>
            </w:r>
          </w:p>
        </w:tc>
        <w:tc>
          <w:tcPr>
            <w:tcW w:w="100" w:type="dxa"/>
            <w:vAlign w:val="bottom"/>
            <w:tcBorders>
              <w:bottom w:val="single" w:sz="8" w:color="E0E0E0"/>
            </w:tcBorders>
          </w:tcPr>
          <w:p>
            <w:pPr>
              <w:spacing w:after="0"/>
              <w:rPr>
                <w:sz w:val="19"/>
                <w:szCs w:val="19"/>
                <w:color w:val="auto"/>
              </w:rPr>
            </w:pPr>
          </w:p>
        </w:tc>
      </w:tr>
      <w:tr>
        <w:trPr>
          <w:trHeight w:val="220"/>
        </w:trPr>
        <w:tc>
          <w:tcPr>
            <w:tcW w:w="6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Net assets acquired</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37,573</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Less: cash acquired</w:t>
            </w:r>
          </w:p>
        </w:tc>
        <w:tc>
          <w:tcPr>
            <w:tcW w:w="2400" w:type="dxa"/>
            <w:vAlign w:val="bottom"/>
            <w:tcBorders>
              <w:bottom w:val="single" w:sz="8" w:color="E0E0E0"/>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2,108</w:t>
            </w:r>
          </w:p>
        </w:tc>
        <w:tc>
          <w:tcPr>
            <w:tcW w:w="100" w:type="dxa"/>
            <w:vAlign w:val="bottom"/>
            <w:tcBorders>
              <w:bottom w:val="single" w:sz="8" w:color="E0E0E0"/>
            </w:tcBorders>
          </w:tcPr>
          <w:p>
            <w:pPr>
              <w:spacing w:after="0"/>
              <w:rPr>
                <w:sz w:val="19"/>
                <w:szCs w:val="19"/>
                <w:color w:val="auto"/>
              </w:rPr>
            </w:pPr>
          </w:p>
        </w:tc>
      </w:tr>
      <w:tr>
        <w:trPr>
          <w:trHeight w:val="220"/>
        </w:trPr>
        <w:tc>
          <w:tcPr>
            <w:tcW w:w="6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Net assets, less cash acquired</w:t>
            </w:r>
          </w:p>
        </w:tc>
        <w:tc>
          <w:tcPr>
            <w:tcW w:w="240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jc w:val="right"/>
              <w:ind w:right="460"/>
              <w:spacing w:after="0" w:line="220"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35,465</w:t>
            </w:r>
          </w:p>
        </w:tc>
        <w:tc>
          <w:tcPr>
            <w:tcW w:w="100" w:type="dxa"/>
            <w:vAlign w:val="bottom"/>
            <w:shd w:val="clear" w:color="auto" w:fill="E0E0E0"/>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200" w:firstLine="490"/>
        <w:spacing w:after="0" w:line="261" w:lineRule="auto"/>
        <w:rPr>
          <w:sz w:val="20"/>
          <w:szCs w:val="20"/>
          <w:color w:val="auto"/>
        </w:rPr>
      </w:pPr>
      <w:r>
        <w:rPr>
          <w:rFonts w:ascii="Arial" w:cs="Arial" w:eastAsia="Arial" w:hAnsi="Arial"/>
          <w:sz w:val="20"/>
          <w:szCs w:val="20"/>
          <w:color w:val="auto"/>
        </w:rPr>
        <w:t>Goodwill arising from the acquisition of $20.7 million was attributable to the assembled workforce of StudyLink and the synergies expected to arise from the acquisition. The Company expects that no goodwill from this acquisition will be deductible for income tax purposes.</w:t>
      </w:r>
    </w:p>
    <w:p>
      <w:pPr>
        <w:spacing w:after="0" w:line="140" w:lineRule="exact"/>
        <w:rPr>
          <w:sz w:val="20"/>
          <w:szCs w:val="20"/>
          <w:color w:val="auto"/>
        </w:rPr>
      </w:pPr>
    </w:p>
    <w:p>
      <w:pPr>
        <w:ind w:right="780" w:firstLine="490"/>
        <w:spacing w:after="0" w:line="282" w:lineRule="auto"/>
        <w:rPr>
          <w:sz w:val="20"/>
          <w:szCs w:val="20"/>
          <w:color w:val="auto"/>
        </w:rPr>
      </w:pPr>
      <w:r>
        <w:rPr>
          <w:rFonts w:ascii="Arial" w:cs="Arial" w:eastAsia="Arial" w:hAnsi="Arial"/>
          <w:sz w:val="20"/>
          <w:szCs w:val="20"/>
          <w:color w:val="auto"/>
        </w:rPr>
        <w:t>The following table reflects the estimated fair values of the identified intangible assets of StudyLink and their respective weighted-average estimated amortization periods.</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135</w:t>
      </w:r>
    </w:p>
    <w:p>
      <w:pPr>
        <w:sectPr>
          <w:pgSz w:w="12240" w:h="15840" w:orient="portrait"/>
          <w:cols w:equalWidth="0" w:num="1">
            <w:col w:w="10800"/>
          </w:cols>
          <w:pgMar w:left="720" w:top="1160" w:right="720" w:bottom="186"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Weighted-Average</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w w:val="99"/>
              </w:rPr>
              <w:t>Estimated Fair</w:t>
            </w:r>
          </w:p>
        </w:tc>
        <w:tc>
          <w:tcPr>
            <w:tcW w:w="24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Amortization</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49"/>
              <w:spacing w:after="0"/>
              <w:rPr>
                <w:sz w:val="20"/>
                <w:szCs w:val="20"/>
                <w:color w:val="auto"/>
              </w:rPr>
            </w:pPr>
            <w:r>
              <w:rPr>
                <w:rFonts w:ascii="Arial" w:cs="Arial" w:eastAsia="Arial" w:hAnsi="Arial"/>
                <w:sz w:val="16"/>
                <w:szCs w:val="16"/>
                <w:b w:val="1"/>
                <w:bCs w:val="1"/>
                <w:color w:val="auto"/>
              </w:rPr>
              <w:t>Values</w:t>
            </w:r>
          </w:p>
        </w:tc>
        <w:tc>
          <w:tcPr>
            <w:tcW w:w="24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Periods</w:t>
            </w: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69"/>
              <w:spacing w:after="0" w:line="174" w:lineRule="exact"/>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15"/>
                <w:szCs w:val="15"/>
                <w:color w:val="auto"/>
              </w:rPr>
            </w:pPr>
          </w:p>
        </w:tc>
        <w:tc>
          <w:tcPr>
            <w:tcW w:w="15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w w:val="99"/>
              </w:rPr>
              <w:t>(years)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E0E0E0"/>
          </w:tcPr>
          <w:p>
            <w:pPr>
              <w:spacing w:after="0"/>
              <w:rPr>
                <w:sz w:val="20"/>
                <w:szCs w:val="20"/>
                <w:color w:val="auto"/>
              </w:rPr>
            </w:pPr>
            <w:r>
              <w:rPr>
                <w:rFonts w:ascii="Arial" w:cs="Arial" w:eastAsia="Arial" w:hAnsi="Arial"/>
                <w:sz w:val="20"/>
                <w:szCs w:val="20"/>
                <w:color w:val="auto"/>
              </w:rPr>
              <w:t>Developed technology</w:t>
            </w:r>
          </w:p>
        </w:tc>
        <w:tc>
          <w:tcPr>
            <w:tcW w:w="1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7,397</w:t>
            </w:r>
          </w:p>
        </w:tc>
        <w:tc>
          <w:tcPr>
            <w:tcW w:w="18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20"/>
                <w:szCs w:val="20"/>
                <w:color w:val="auto"/>
              </w:rPr>
              <w:t>Customer relationships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12,027</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E0E0E0"/>
          </w:tcPr>
          <w:p>
            <w:pPr>
              <w:spacing w:after="0"/>
              <w:rPr>
                <w:sz w:val="20"/>
                <w:szCs w:val="20"/>
                <w:color w:val="auto"/>
              </w:rPr>
            </w:pPr>
            <w:r>
              <w:rPr>
                <w:rFonts w:ascii="Arial" w:cs="Arial" w:eastAsia="Arial" w:hAnsi="Arial"/>
                <w:sz w:val="20"/>
                <w:szCs w:val="20"/>
                <w:color w:val="auto"/>
              </w:rPr>
              <w:t>Trade Name/Trademark</w:t>
            </w:r>
          </w:p>
        </w:tc>
        <w:tc>
          <w:tcPr>
            <w:tcW w:w="2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3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129</w:t>
            </w:r>
          </w:p>
        </w:tc>
        <w:tc>
          <w:tcPr>
            <w:tcW w:w="18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19,553</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40" w:firstLine="490"/>
        <w:spacing w:after="0" w:line="254" w:lineRule="auto"/>
        <w:rPr>
          <w:sz w:val="20"/>
          <w:szCs w:val="20"/>
          <w:color w:val="auto"/>
        </w:rPr>
      </w:pPr>
      <w:r>
        <w:rPr>
          <w:rFonts w:ascii="Arial" w:cs="Arial" w:eastAsia="Arial" w:hAnsi="Arial"/>
          <w:sz w:val="20"/>
          <w:szCs w:val="20"/>
          <w:color w:val="auto"/>
        </w:rPr>
        <w:t>The results of StudyLink have been included in the consolidated financial statements since the date of the acquisition. StudyLink contributed $1.4 million in platform revenue during the year ended December 31, 2023. The Company has not disclosed net income or loss since the acquisition date as the business was fully integrated into the consolidated Company’s operations and therefore it was impracticable to determine this amount.</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Unaudited Pro Forma Financial Information</w:t>
      </w:r>
    </w:p>
    <w:p>
      <w:pPr>
        <w:spacing w:after="0" w:line="200" w:lineRule="exact"/>
        <w:rPr>
          <w:sz w:val="20"/>
          <w:szCs w:val="20"/>
          <w:color w:val="auto"/>
        </w:rPr>
      </w:pPr>
    </w:p>
    <w:p>
      <w:pPr>
        <w:ind w:right="80" w:firstLine="490"/>
        <w:spacing w:after="0" w:line="247" w:lineRule="auto"/>
        <w:rPr>
          <w:sz w:val="20"/>
          <w:szCs w:val="20"/>
          <w:color w:val="auto"/>
        </w:rPr>
      </w:pPr>
      <w:r>
        <w:rPr>
          <w:rFonts w:ascii="Arial" w:cs="Arial" w:eastAsia="Arial" w:hAnsi="Arial"/>
          <w:sz w:val="20"/>
          <w:szCs w:val="20"/>
          <w:color w:val="auto"/>
        </w:rPr>
        <w:t>The following unaudited pro forma financial information shows the results of the Company’s operations for the years ended December 31, 2023 and 2022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spacing w:after="0" w:line="87" w:lineRule="exact"/>
        <w:rPr>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incremental amortization expense associated with the estimated fair value of identified intangible assets;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incremental employee compensation expense for StudyLink employees;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transaction costs;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estimated tax impact of the above items.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Year Ended December 31, 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rPr>
              <w:t>Year Ended December 31, 2022</w:t>
            </w:r>
          </w:p>
        </w:tc>
      </w:tr>
      <w:tr>
        <w:trPr>
          <w:trHeight w:val="174"/>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0"/>
              <w:spacing w:after="0" w:line="174" w:lineRule="exact"/>
              <w:rPr>
                <w:sz w:val="20"/>
                <w:szCs w:val="20"/>
                <w:color w:val="auto"/>
              </w:rPr>
            </w:pPr>
            <w:r>
              <w:rPr>
                <w:rFonts w:ascii="Arial" w:cs="Arial" w:eastAsia="Arial" w:hAnsi="Arial"/>
                <w:sz w:val="16"/>
                <w:szCs w:val="16"/>
                <w:b w:val="1"/>
                <w:bCs w:val="1"/>
                <w:color w:val="auto"/>
              </w:rPr>
              <w:t>Actual</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50"/>
              <w:spacing w:after="0" w:line="174" w:lineRule="exact"/>
              <w:rPr>
                <w:sz w:val="20"/>
                <w:szCs w:val="20"/>
                <w:color w:val="auto"/>
              </w:rPr>
            </w:pPr>
            <w:r>
              <w:rPr>
                <w:rFonts w:ascii="Arial" w:cs="Arial" w:eastAsia="Arial" w:hAnsi="Arial"/>
                <w:sz w:val="16"/>
                <w:szCs w:val="16"/>
                <w:b w:val="1"/>
                <w:bCs w:val="1"/>
                <w:color w:val="auto"/>
              </w:rPr>
              <w:t>Pro Forma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10"/>
              <w:spacing w:after="0" w:line="174" w:lineRule="exact"/>
              <w:rPr>
                <w:sz w:val="20"/>
                <w:szCs w:val="20"/>
                <w:color w:val="auto"/>
              </w:rPr>
            </w:pPr>
            <w:r>
              <w:rPr>
                <w:rFonts w:ascii="Arial" w:cs="Arial" w:eastAsia="Arial" w:hAnsi="Arial"/>
                <w:sz w:val="16"/>
                <w:szCs w:val="16"/>
                <w:b w:val="1"/>
                <w:bCs w:val="1"/>
                <w:color w:val="auto"/>
              </w:rPr>
              <w:t>Actual</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67"/>
              <w:spacing w:after="0" w:line="174" w:lineRule="exact"/>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5"/>
                <w:szCs w:val="15"/>
                <w:color w:val="auto"/>
              </w:rPr>
            </w:pPr>
          </w:p>
        </w:tc>
      </w:tr>
      <w:tr>
        <w:trPr>
          <w:trHeight w:val="174"/>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50"/>
              <w:spacing w:after="0" w:line="174" w:lineRule="exact"/>
              <w:rPr>
                <w:sz w:val="20"/>
                <w:szCs w:val="20"/>
                <w:color w:val="auto"/>
              </w:rPr>
            </w:pPr>
            <w:r>
              <w:rPr>
                <w:rFonts w:ascii="Arial" w:cs="Arial" w:eastAsia="Arial" w:hAnsi="Arial"/>
                <w:sz w:val="16"/>
                <w:szCs w:val="16"/>
                <w:b w:val="1"/>
                <w:bCs w:val="1"/>
                <w:color w:val="auto"/>
              </w:rPr>
              <w:t>(in</w:t>
            </w:r>
          </w:p>
        </w:tc>
        <w:tc>
          <w:tcPr>
            <w:tcW w:w="1520" w:type="dxa"/>
            <w:vAlign w:val="bottom"/>
            <w:gridSpan w:val="4"/>
          </w:tcPr>
          <w:p>
            <w:pPr>
              <w:jc w:val="right"/>
              <w:ind w:right="770"/>
              <w:spacing w:after="0" w:line="174" w:lineRule="exact"/>
              <w:rPr>
                <w:sz w:val="20"/>
                <w:szCs w:val="20"/>
                <w:color w:val="auto"/>
              </w:rPr>
            </w:pPr>
            <w:r>
              <w:rPr>
                <w:rFonts w:ascii="Arial" w:cs="Arial" w:eastAsia="Arial" w:hAnsi="Arial"/>
                <w:sz w:val="16"/>
                <w:szCs w:val="16"/>
                <w:b w:val="1"/>
                <w:bCs w:val="1"/>
                <w:color w:val="auto"/>
                <w:w w:val="74"/>
              </w:rPr>
              <w:t>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740" w:type="dxa"/>
            <w:vAlign w:val="bottom"/>
            <w:shd w:val="clear" w:color="auto" w:fill="E0E0E0"/>
          </w:tcPr>
          <w:p>
            <w:pPr>
              <w:spacing w:after="0"/>
              <w:rPr>
                <w:sz w:val="20"/>
                <w:szCs w:val="20"/>
                <w:color w:val="auto"/>
              </w:rPr>
            </w:pPr>
            <w:r>
              <w:rPr>
                <w:rFonts w:ascii="Arial" w:cs="Arial" w:eastAsia="Arial" w:hAnsi="Arial"/>
                <w:sz w:val="20"/>
                <w:szCs w:val="20"/>
                <w:color w:val="auto"/>
              </w:rPr>
              <w:t>Revenue</w:t>
            </w:r>
          </w:p>
        </w:tc>
        <w:tc>
          <w:tcPr>
            <w:tcW w:w="28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403,094</w:t>
            </w:r>
          </w:p>
        </w:tc>
        <w:tc>
          <w:tcPr>
            <w:tcW w:w="140" w:type="dxa"/>
            <w:vAlign w:val="bottom"/>
            <w:shd w:val="clear" w:color="auto" w:fill="E0E0E0"/>
          </w:tcPr>
          <w:p>
            <w:pPr>
              <w:spacing w:after="0"/>
              <w:rPr>
                <w:sz w:val="19"/>
                <w:szCs w:val="19"/>
                <w:color w:val="auto"/>
              </w:rPr>
            </w:pPr>
          </w:p>
        </w:tc>
        <w:tc>
          <w:tcPr>
            <w:tcW w:w="26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409,161</w:t>
            </w:r>
          </w:p>
        </w:tc>
        <w:tc>
          <w:tcPr>
            <w:tcW w:w="24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289,375</w:t>
            </w:r>
          </w:p>
        </w:tc>
        <w:tc>
          <w:tcPr>
            <w:tcW w:w="140" w:type="dxa"/>
            <w:vAlign w:val="bottom"/>
            <w:shd w:val="clear" w:color="auto" w:fill="E0E0E0"/>
          </w:tcPr>
          <w:p>
            <w:pPr>
              <w:spacing w:after="0"/>
              <w:rPr>
                <w:sz w:val="19"/>
                <w:szCs w:val="19"/>
                <w:color w:val="auto"/>
              </w:rPr>
            </w:pPr>
          </w:p>
        </w:tc>
        <w:tc>
          <w:tcPr>
            <w:tcW w:w="26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295,325</w:t>
            </w:r>
          </w:p>
        </w:tc>
      </w:tr>
      <w:tr>
        <w:trPr>
          <w:trHeight w:val="271"/>
        </w:trPr>
        <w:tc>
          <w:tcPr>
            <w:tcW w:w="4740" w:type="dxa"/>
            <w:vAlign w:val="bottom"/>
          </w:tcPr>
          <w:p>
            <w:pPr>
              <w:spacing w:after="0"/>
              <w:rPr>
                <w:sz w:val="20"/>
                <w:szCs w:val="20"/>
                <w:color w:val="auto"/>
              </w:rPr>
            </w:pPr>
            <w:r>
              <w:rPr>
                <w:rFonts w:ascii="Arial" w:cs="Arial" w:eastAsia="Arial" w:hAnsi="Arial"/>
                <w:sz w:val="20"/>
                <w:szCs w:val="20"/>
                <w:color w:val="auto"/>
              </w:rPr>
              <w:t>Net Loss</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20"/>
                <w:szCs w:val="20"/>
                <w:color w:val="auto"/>
              </w:rPr>
              <w:t>(8,566)</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(10,369)</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20"/>
                <w:szCs w:val="20"/>
                <w:color w:val="auto"/>
              </w:rPr>
              <w:t>(39,347)</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(41,824)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Cohort Go</w:t>
      </w:r>
    </w:p>
    <w:p>
      <w:pPr>
        <w:spacing w:after="0" w:line="192"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53"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During the fourth quarter of 2022, the cash consideration, net of cash acquired and the purchase price allocation was adjusted to reflect a working capital true-up and a change to the deferred tax liability, which was due to additional tax basis associated with the acquired technology intangible asset. This resulted in a $0.2 million increase in the cash consideration, net of cash acquired, a $1.4 million decrease to deferred tax liability and a $1.2 million decrease to goodwill from the quarter ended September 30, 2022 to the year ended December 31, 2022. The adjusted purchase price allocation is reflected in the consolidated balance sheet as of December 31, 2022 and purchase price allocation below.</w:t>
      </w:r>
    </w:p>
    <w:p>
      <w:pPr>
        <w:spacing w:after="0" w:line="154" w:lineRule="exact"/>
        <w:rPr>
          <w:sz w:val="20"/>
          <w:szCs w:val="20"/>
          <w:color w:val="auto"/>
        </w:rPr>
      </w:pPr>
    </w:p>
    <w:p>
      <w:pPr>
        <w:ind w:right="100" w:firstLine="490"/>
        <w:spacing w:after="0" w:line="282" w:lineRule="auto"/>
        <w:rPr>
          <w:sz w:val="20"/>
          <w:szCs w:val="20"/>
          <w:color w:val="auto"/>
        </w:rPr>
      </w:pPr>
      <w:r>
        <w:rPr>
          <w:rFonts w:ascii="Arial" w:cs="Arial" w:eastAsia="Arial" w:hAnsi="Arial"/>
          <w:sz w:val="20"/>
          <w:szCs w:val="20"/>
          <w:color w:val="auto"/>
        </w:rPr>
        <w:t>Pursuant to the terms of the business combination agreement, the Company acquired Cohort Go for estimated total purchase consideration of $33.0 million or $23.1 million, net of cash acquired, which consisted of (in thousands):</w:t>
      </w:r>
    </w:p>
    <w:p>
      <w:pPr>
        <w:sectPr>
          <w:pgSz w:w="12240" w:h="15840" w:orient="portrait"/>
          <w:cols w:equalWidth="0" w:num="1">
            <w:col w:w="10800"/>
          </w:cols>
          <w:pgMar w:left="720" w:top="1161"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2240" w:h="15840" w:orient="portrait"/>
          <w:cols w:equalWidth="0" w:num="1">
            <w:col w:w="10800"/>
          </w:cols>
          <w:pgMar w:left="720" w:top="1161" w:right="720" w:bottom="186"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8840" w:type="dxa"/>
            <w:vAlign w:val="bottom"/>
            <w:shd w:val="clear" w:color="auto" w:fill="E0E0E0"/>
          </w:tcPr>
          <w:p>
            <w:pPr>
              <w:spacing w:after="0"/>
              <w:rPr>
                <w:sz w:val="20"/>
                <w:szCs w:val="20"/>
                <w:color w:val="auto"/>
              </w:rPr>
            </w:pPr>
            <w:r>
              <w:rPr>
                <w:rFonts w:ascii="Arial" w:cs="Arial" w:eastAsia="Arial" w:hAnsi="Arial"/>
                <w:sz w:val="20"/>
                <w:szCs w:val="20"/>
                <w:color w:val="auto"/>
              </w:rPr>
              <w:t>Cash consideration, net of cash acquired</w:t>
            </w:r>
          </w:p>
        </w:tc>
        <w:tc>
          <w:tcPr>
            <w:tcW w:w="680" w:type="dxa"/>
            <w:vAlign w:val="bottom"/>
            <w:gridSpan w:val="2"/>
            <w:shd w:val="clear" w:color="auto" w:fill="E0E0E0"/>
          </w:tcPr>
          <w:p>
            <w:pPr>
              <w:jc w:val="right"/>
              <w:ind w:right="505"/>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17,140</w:t>
            </w:r>
          </w:p>
        </w:tc>
        <w:tc>
          <w:tcPr>
            <w:tcW w:w="100" w:type="dxa"/>
            <w:vAlign w:val="bottom"/>
            <w:shd w:val="clear" w:color="auto" w:fill="E0E0E0"/>
          </w:tcPr>
          <w:p>
            <w:pPr>
              <w:spacing w:after="0"/>
              <w:rPr>
                <w:sz w:val="19"/>
                <w:szCs w:val="19"/>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20"/>
                <w:szCs w:val="20"/>
                <w:color w:val="auto"/>
              </w:rPr>
              <w:t>Estimated fair value of shares of common stock</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4,287</w:t>
            </w:r>
          </w:p>
        </w:tc>
        <w:tc>
          <w:tcPr>
            <w:tcW w:w="100" w:type="dxa"/>
            <w:vAlign w:val="bottom"/>
          </w:tcPr>
          <w:p>
            <w:pPr>
              <w:spacing w:after="0"/>
              <w:rPr>
                <w:sz w:val="19"/>
                <w:szCs w:val="19"/>
                <w:color w:val="auto"/>
              </w:rPr>
            </w:pPr>
          </w:p>
        </w:tc>
      </w:tr>
      <w:tr>
        <w:trPr>
          <w:trHeight w:val="230"/>
        </w:trPr>
        <w:tc>
          <w:tcPr>
            <w:tcW w:w="8840" w:type="dxa"/>
            <w:vAlign w:val="bottom"/>
            <w:shd w:val="clear" w:color="auto" w:fill="E0E0E0"/>
          </w:tcPr>
          <w:p>
            <w:pPr>
              <w:spacing w:after="0"/>
              <w:rPr>
                <w:sz w:val="20"/>
                <w:szCs w:val="20"/>
                <w:color w:val="auto"/>
              </w:rPr>
            </w:pPr>
            <w:r>
              <w:rPr>
                <w:rFonts w:ascii="Arial" w:cs="Arial" w:eastAsia="Arial" w:hAnsi="Arial"/>
                <w:sz w:val="20"/>
                <w:szCs w:val="20"/>
                <w:color w:val="auto"/>
              </w:rPr>
              <w:t>Estimated fair value of contingent consideration</w:t>
            </w:r>
          </w:p>
        </w:tc>
        <w:tc>
          <w:tcPr>
            <w:tcW w:w="20" w:type="dxa"/>
            <w:vAlign w:val="bottom"/>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1,695</w:t>
            </w:r>
          </w:p>
        </w:tc>
        <w:tc>
          <w:tcPr>
            <w:tcW w:w="100" w:type="dxa"/>
            <w:vAlign w:val="bottom"/>
            <w:shd w:val="clear" w:color="auto" w:fill="E0E0E0"/>
          </w:tcPr>
          <w:p>
            <w:pPr>
              <w:spacing w:after="0"/>
              <w:rPr>
                <w:sz w:val="19"/>
                <w:szCs w:val="19"/>
                <w:color w:val="auto"/>
              </w:rPr>
            </w:pPr>
          </w:p>
        </w:tc>
      </w:tr>
      <w:tr>
        <w:trPr>
          <w:trHeight w:val="220"/>
        </w:trPr>
        <w:tc>
          <w:tcPr>
            <w:tcW w:w="8840" w:type="dxa"/>
            <w:vAlign w:val="bottom"/>
          </w:tcPr>
          <w:p>
            <w:pPr>
              <w:ind w:left="280"/>
              <w:spacing w:after="0" w:line="220" w:lineRule="exact"/>
              <w:rPr>
                <w:sz w:val="20"/>
                <w:szCs w:val="20"/>
                <w:color w:val="auto"/>
              </w:rPr>
            </w:pPr>
            <w:r>
              <w:rPr>
                <w:rFonts w:ascii="Arial" w:cs="Arial" w:eastAsia="Arial" w:hAnsi="Arial"/>
                <w:sz w:val="20"/>
                <w:szCs w:val="20"/>
                <w:color w:val="auto"/>
              </w:rPr>
              <w:t>Total purchase consideration, net of cash acquired</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23,122</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Contingent consideration, which totaled up to $1.7 million represented additional payments that Flywire was required to make, in the form of cash or shares of common stock at the Company's option, which were dependent upon Cohort Go's achievement of specific post-acquisition milestones and were subject to exchange rate fluctuation adjustment between the U.S. Dollar and Australian Dollar. The contingent consideration of $1.7 million was assessed at acquisition date. Subsequent to the acquisition date, at each reporting date, the contingent consideration was remeasured and changes in the fair value resulting from a change in the underlying inputs were recognized in general and administrative expense in the consolidated statements of operations and comprehensive loss. During the years ended December 31, 2023 and 2022, the Company made a payment of contingent consideration of $1.7 million and $0.5 million, respectively, in the form of cash, based on Cohort Go's successful and timely achievement of the contracted milestones. No additional contingent consideration is due or payable with respect to the Cohort Go acquisition.</w:t>
      </w:r>
    </w:p>
    <w:p>
      <w:pPr>
        <w:spacing w:after="0" w:line="162" w:lineRule="exact"/>
        <w:rPr>
          <w:sz w:val="20"/>
          <w:szCs w:val="20"/>
          <w:color w:val="auto"/>
        </w:rPr>
      </w:pPr>
    </w:p>
    <w:p>
      <w:pPr>
        <w:ind w:right="300" w:firstLine="490"/>
        <w:spacing w:after="0" w:line="310" w:lineRule="auto"/>
        <w:rPr>
          <w:sz w:val="20"/>
          <w:szCs w:val="20"/>
          <w:color w:val="auto"/>
        </w:rPr>
      </w:pPr>
      <w:r>
        <w:rPr>
          <w:rFonts w:ascii="Arial" w:cs="Arial" w:eastAsia="Arial" w:hAnsi="Arial"/>
          <w:sz w:val="19"/>
          <w:szCs w:val="19"/>
          <w:color w:val="auto"/>
        </w:rPr>
        <w:t>During the year ended December 31, 2022, the Company incurred $0.6 million in transaction costs, which are included in general and administrative expenses in the consolidated statements of operations and comprehensive loss.</w:t>
      </w:r>
    </w:p>
    <w:p>
      <w:pPr>
        <w:spacing w:after="0" w:line="9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The table summarizes the allocation of the purchase consideration to the assets acquired and liabilities assumed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Cash</w:t>
            </w:r>
          </w:p>
        </w:tc>
        <w:tc>
          <w:tcPr>
            <w:tcW w:w="3080" w:type="dxa"/>
            <w:vAlign w:val="bottom"/>
            <w:gridSpan w:val="2"/>
            <w:shd w:val="clear" w:color="auto" w:fill="E0E0E0"/>
          </w:tcPr>
          <w:p>
            <w:pPr>
              <w:jc w:val="right"/>
              <w:ind w:right="48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9,880</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Accounts receivable</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558</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Funds receivable from payment partners</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3,767</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314</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Other assets</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494</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Goodwill</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16,197</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Identifiable intangible assets</w:t>
            </w:r>
          </w:p>
        </w:tc>
        <w:tc>
          <w:tcPr>
            <w:tcW w:w="240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16,408</w:t>
            </w:r>
          </w:p>
        </w:tc>
        <w:tc>
          <w:tcPr>
            <w:tcW w:w="100" w:type="dxa"/>
            <w:vAlign w:val="bottom"/>
            <w:shd w:val="clear" w:color="auto" w:fill="E0E0E0"/>
          </w:tcPr>
          <w:p>
            <w:pPr>
              <w:spacing w:after="0"/>
              <w:rPr>
                <w:sz w:val="19"/>
                <w:szCs w:val="19"/>
                <w:color w:val="auto"/>
              </w:rPr>
            </w:pPr>
          </w:p>
        </w:tc>
      </w:tr>
      <w:tr>
        <w:trPr>
          <w:trHeight w:val="220"/>
        </w:trPr>
        <w:tc>
          <w:tcPr>
            <w:tcW w:w="6440" w:type="dxa"/>
            <w:vAlign w:val="bottom"/>
            <w:tcBorders>
              <w:bottom w:val="single" w:sz="8" w:color="E0E0E0"/>
            </w:tcBorders>
          </w:tcPr>
          <w:p>
            <w:pPr>
              <w:ind w:left="140"/>
              <w:spacing w:after="0" w:line="220" w:lineRule="exact"/>
              <w:rPr>
                <w:sz w:val="20"/>
                <w:szCs w:val="20"/>
                <w:color w:val="auto"/>
              </w:rPr>
            </w:pPr>
            <w:r>
              <w:rPr>
                <w:rFonts w:ascii="Arial" w:cs="Arial" w:eastAsia="Arial" w:hAnsi="Arial"/>
                <w:sz w:val="20"/>
                <w:szCs w:val="20"/>
                <w:color w:val="auto"/>
              </w:rPr>
              <w:t>Total assets acquired</w:t>
            </w:r>
          </w:p>
        </w:tc>
        <w:tc>
          <w:tcPr>
            <w:tcW w:w="2400" w:type="dxa"/>
            <w:vAlign w:val="bottom"/>
            <w:tcBorders>
              <w:bottom w:val="single" w:sz="8" w:color="E0E0E0"/>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47,618</w:t>
            </w:r>
          </w:p>
        </w:tc>
        <w:tc>
          <w:tcPr>
            <w:tcW w:w="100" w:type="dxa"/>
            <w:vAlign w:val="bottom"/>
            <w:tcBorders>
              <w:bottom w:val="single" w:sz="8" w:color="E0E0E0"/>
            </w:tcBorders>
          </w:tcPr>
          <w:p>
            <w:pPr>
              <w:spacing w:after="0"/>
              <w:rPr>
                <w:sz w:val="19"/>
                <w:szCs w:val="19"/>
                <w:color w:val="auto"/>
              </w:rPr>
            </w:pPr>
          </w:p>
        </w:tc>
      </w:tr>
      <w:tr>
        <w:trPr>
          <w:trHeight w:val="220"/>
        </w:trPr>
        <w:tc>
          <w:tcPr>
            <w:tcW w:w="6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Deferred tax liabilities</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5,012</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Deferred revenue</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264</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Funds payable to clients</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4,071</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20"/>
                <w:szCs w:val="20"/>
                <w:color w:val="auto"/>
              </w:rPr>
              <w:t>Accounts payable</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1,740</w:t>
            </w:r>
          </w:p>
        </w:tc>
        <w:tc>
          <w:tcPr>
            <w:tcW w:w="100" w:type="dxa"/>
            <w:vAlign w:val="bottom"/>
          </w:tcPr>
          <w:p>
            <w:pPr>
              <w:spacing w:after="0"/>
              <w:rPr>
                <w:sz w:val="19"/>
                <w:szCs w:val="19"/>
                <w:color w:val="auto"/>
              </w:rPr>
            </w:pPr>
          </w:p>
        </w:tc>
      </w:tr>
      <w:tr>
        <w:trPr>
          <w:trHeight w:val="230"/>
        </w:trPr>
        <w:tc>
          <w:tcPr>
            <w:tcW w:w="6440" w:type="dxa"/>
            <w:vAlign w:val="bottom"/>
            <w:shd w:val="clear" w:color="auto" w:fill="E0E0E0"/>
          </w:tcPr>
          <w:p>
            <w:pPr>
              <w:spacing w:after="0"/>
              <w:rPr>
                <w:sz w:val="20"/>
                <w:szCs w:val="20"/>
                <w:color w:val="auto"/>
              </w:rPr>
            </w:pPr>
            <w:r>
              <w:rPr>
                <w:rFonts w:ascii="Arial" w:cs="Arial" w:eastAsia="Arial" w:hAnsi="Arial"/>
                <w:sz w:val="20"/>
                <w:szCs w:val="20"/>
                <w:color w:val="auto"/>
              </w:rPr>
              <w:t>Accrued expenses and other current liabilities</w:t>
            </w:r>
          </w:p>
        </w:tc>
        <w:tc>
          <w:tcPr>
            <w:tcW w:w="240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3,529</w:t>
            </w:r>
          </w:p>
        </w:tc>
        <w:tc>
          <w:tcPr>
            <w:tcW w:w="100" w:type="dxa"/>
            <w:vAlign w:val="bottom"/>
            <w:shd w:val="clear" w:color="auto" w:fill="E0E0E0"/>
          </w:tcPr>
          <w:p>
            <w:pPr>
              <w:spacing w:after="0"/>
              <w:rPr>
                <w:sz w:val="19"/>
                <w:szCs w:val="19"/>
                <w:color w:val="auto"/>
              </w:rPr>
            </w:pPr>
          </w:p>
        </w:tc>
      </w:tr>
      <w:tr>
        <w:trPr>
          <w:trHeight w:val="220"/>
        </w:trPr>
        <w:tc>
          <w:tcPr>
            <w:tcW w:w="6440" w:type="dxa"/>
            <w:vAlign w:val="bottom"/>
            <w:tcBorders>
              <w:bottom w:val="single" w:sz="8" w:color="E0E0E0"/>
            </w:tcBorders>
          </w:tcPr>
          <w:p>
            <w:pPr>
              <w:ind w:left="280"/>
              <w:spacing w:after="0" w:line="220" w:lineRule="exact"/>
              <w:rPr>
                <w:sz w:val="20"/>
                <w:szCs w:val="20"/>
                <w:color w:val="auto"/>
              </w:rPr>
            </w:pPr>
            <w:r>
              <w:rPr>
                <w:rFonts w:ascii="Arial" w:cs="Arial" w:eastAsia="Arial" w:hAnsi="Arial"/>
                <w:sz w:val="20"/>
                <w:szCs w:val="20"/>
                <w:color w:val="auto"/>
              </w:rPr>
              <w:t>Total liabilities assumed</w:t>
            </w:r>
          </w:p>
        </w:tc>
        <w:tc>
          <w:tcPr>
            <w:tcW w:w="2400" w:type="dxa"/>
            <w:vAlign w:val="bottom"/>
            <w:tcBorders>
              <w:bottom w:val="single" w:sz="8" w:color="E0E0E0"/>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14,616</w:t>
            </w:r>
          </w:p>
        </w:tc>
        <w:tc>
          <w:tcPr>
            <w:tcW w:w="100" w:type="dxa"/>
            <w:vAlign w:val="bottom"/>
            <w:tcBorders>
              <w:bottom w:val="single" w:sz="8" w:color="E0E0E0"/>
            </w:tcBorders>
          </w:tcPr>
          <w:p>
            <w:pPr>
              <w:spacing w:after="0"/>
              <w:rPr>
                <w:sz w:val="19"/>
                <w:szCs w:val="19"/>
                <w:color w:val="auto"/>
              </w:rPr>
            </w:pPr>
          </w:p>
        </w:tc>
      </w:tr>
      <w:tr>
        <w:trPr>
          <w:trHeight w:val="220"/>
        </w:trPr>
        <w:tc>
          <w:tcPr>
            <w:tcW w:w="6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Net assets acquired</w:t>
            </w:r>
          </w:p>
        </w:tc>
        <w:tc>
          <w:tcPr>
            <w:tcW w:w="240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33,002</w:t>
            </w:r>
          </w:p>
        </w:tc>
        <w:tc>
          <w:tcPr>
            <w:tcW w:w="100" w:type="dxa"/>
            <w:vAlign w:val="bottom"/>
            <w:shd w:val="clear" w:color="auto" w:fill="E0E0E0"/>
          </w:tcPr>
          <w:p>
            <w:pPr>
              <w:spacing w:after="0"/>
              <w:rPr>
                <w:sz w:val="19"/>
                <w:szCs w:val="19"/>
                <w:color w:val="auto"/>
              </w:rPr>
            </w:pPr>
          </w:p>
        </w:tc>
      </w:tr>
      <w:tr>
        <w:trPr>
          <w:trHeight w:val="230"/>
        </w:trPr>
        <w:tc>
          <w:tcPr>
            <w:tcW w:w="644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Less: cash acquired</w:t>
            </w:r>
          </w:p>
        </w:tc>
        <w:tc>
          <w:tcPr>
            <w:tcW w:w="2400" w:type="dxa"/>
            <w:vAlign w:val="bottom"/>
            <w:tcBorders>
              <w:bottom w:val="single" w:sz="8" w:color="E0E0E0"/>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9,880</w:t>
            </w:r>
          </w:p>
        </w:tc>
        <w:tc>
          <w:tcPr>
            <w:tcW w:w="100" w:type="dxa"/>
            <w:vAlign w:val="bottom"/>
            <w:tcBorders>
              <w:bottom w:val="single" w:sz="8" w:color="E0E0E0"/>
            </w:tcBorders>
          </w:tcPr>
          <w:p>
            <w:pPr>
              <w:spacing w:after="0"/>
              <w:rPr>
                <w:sz w:val="19"/>
                <w:szCs w:val="19"/>
                <w:color w:val="auto"/>
              </w:rPr>
            </w:pPr>
          </w:p>
        </w:tc>
      </w:tr>
      <w:tr>
        <w:trPr>
          <w:trHeight w:val="220"/>
        </w:trPr>
        <w:tc>
          <w:tcPr>
            <w:tcW w:w="6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Net assets, less cash acquired</w:t>
            </w:r>
          </w:p>
        </w:tc>
        <w:tc>
          <w:tcPr>
            <w:tcW w:w="240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jc w:val="right"/>
              <w:ind w:right="480"/>
              <w:spacing w:after="0" w:line="220"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23,122</w:t>
            </w:r>
          </w:p>
        </w:tc>
        <w:tc>
          <w:tcPr>
            <w:tcW w:w="100" w:type="dxa"/>
            <w:vAlign w:val="bottom"/>
            <w:shd w:val="clear" w:color="auto" w:fill="E0E0E0"/>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firstLine="490"/>
        <w:spacing w:after="0" w:line="261" w:lineRule="auto"/>
        <w:rPr>
          <w:sz w:val="20"/>
          <w:szCs w:val="20"/>
          <w:color w:val="auto"/>
        </w:rPr>
      </w:pPr>
      <w:r>
        <w:rPr>
          <w:rFonts w:ascii="Arial" w:cs="Arial" w:eastAsia="Arial" w:hAnsi="Arial"/>
          <w:sz w:val="20"/>
          <w:szCs w:val="20"/>
          <w:color w:val="auto"/>
        </w:rPr>
        <w:t>Goodwill arising from the acquisition of $16.2 million was attributable to the assembled workforce of Cohort Go and the synergies expected to arise from the acquisition. The Company expects that no goodwill from this acquisition will be deductible for income tax purposes.</w:t>
      </w:r>
    </w:p>
    <w:p>
      <w:pPr>
        <w:spacing w:after="0" w:line="140" w:lineRule="exact"/>
        <w:rPr>
          <w:sz w:val="20"/>
          <w:szCs w:val="20"/>
          <w:color w:val="auto"/>
        </w:rPr>
      </w:pPr>
    </w:p>
    <w:p>
      <w:pPr>
        <w:ind w:right="720" w:firstLine="490"/>
        <w:spacing w:after="0" w:line="282" w:lineRule="auto"/>
        <w:rPr>
          <w:sz w:val="20"/>
          <w:szCs w:val="20"/>
          <w:color w:val="auto"/>
        </w:rPr>
      </w:pPr>
      <w:r>
        <w:rPr>
          <w:rFonts w:ascii="Arial" w:cs="Arial" w:eastAsia="Arial" w:hAnsi="Arial"/>
          <w:sz w:val="20"/>
          <w:szCs w:val="20"/>
          <w:color w:val="auto"/>
        </w:rPr>
        <w:t>The following table reflects the estimated fair values of the identified intangible assets of Cohort Go and their respective weighted-average estimated amortization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70"/>
              <w:spacing w:after="0"/>
              <w:rPr>
                <w:sz w:val="20"/>
                <w:szCs w:val="20"/>
                <w:color w:val="auto"/>
              </w:rPr>
            </w:pPr>
            <w:r>
              <w:rPr>
                <w:rFonts w:ascii="Arial" w:cs="Arial" w:eastAsia="Arial" w:hAnsi="Arial"/>
                <w:sz w:val="16"/>
                <w:szCs w:val="16"/>
                <w:b w:val="1"/>
                <w:bCs w:val="1"/>
                <w:color w:val="auto"/>
                <w:w w:val="99"/>
              </w:rPr>
              <w:t>Estimated</w:t>
            </w:r>
          </w:p>
        </w:tc>
        <w:tc>
          <w:tcPr>
            <w:tcW w:w="22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r>
      <w:tr>
        <w:trPr>
          <w:trHeight w:val="184"/>
        </w:trPr>
        <w:tc>
          <w:tcPr>
            <w:tcW w:w="5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0"/>
              <w:spacing w:after="0"/>
              <w:rPr>
                <w:sz w:val="20"/>
                <w:szCs w:val="20"/>
                <w:color w:val="auto"/>
              </w:rPr>
            </w:pPr>
            <w:r>
              <w:rPr>
                <w:rFonts w:ascii="Arial" w:cs="Arial" w:eastAsia="Arial" w:hAnsi="Arial"/>
                <w:sz w:val="16"/>
                <w:szCs w:val="16"/>
                <w:b w:val="1"/>
                <w:bCs w:val="1"/>
                <w:color w:val="auto"/>
              </w:rPr>
              <w:t>Fair Values</w:t>
            </w:r>
          </w:p>
        </w:tc>
        <w:tc>
          <w:tcPr>
            <w:tcW w:w="22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r>
      <w:tr>
        <w:trPr>
          <w:trHeight w:val="184"/>
        </w:trPr>
        <w:tc>
          <w:tcPr>
            <w:tcW w:w="5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Amortization</w:t>
            </w:r>
          </w:p>
        </w:tc>
      </w:tr>
      <w:tr>
        <w:trPr>
          <w:trHeight w:val="203"/>
        </w:trPr>
        <w:tc>
          <w:tcPr>
            <w:tcW w:w="5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Periods</w:t>
            </w:r>
          </w:p>
        </w:tc>
      </w:tr>
      <w:tr>
        <w:trPr>
          <w:trHeight w:val="174"/>
        </w:trPr>
        <w:tc>
          <w:tcPr>
            <w:tcW w:w="5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50"/>
              <w:spacing w:after="0" w:line="174" w:lineRule="exact"/>
              <w:rPr>
                <w:sz w:val="20"/>
                <w:szCs w:val="20"/>
                <w:color w:val="auto"/>
              </w:rPr>
            </w:pPr>
            <w:r>
              <w:rPr>
                <w:rFonts w:ascii="Arial" w:cs="Arial" w:eastAsia="Arial" w:hAnsi="Arial"/>
                <w:sz w:val="16"/>
                <w:szCs w:val="16"/>
                <w:b w:val="1"/>
                <w:bCs w:val="1"/>
                <w:color w:val="auto"/>
                <w:w w:val="99"/>
              </w:rPr>
              <w:t>(in thousands)</w:t>
            </w:r>
          </w:p>
        </w:tc>
        <w:tc>
          <w:tcPr>
            <w:tcW w:w="220" w:type="dxa"/>
            <w:vAlign w:val="bottom"/>
          </w:tcPr>
          <w:p>
            <w:pPr>
              <w:spacing w:after="0"/>
              <w:rPr>
                <w:sz w:val="15"/>
                <w:szCs w:val="15"/>
                <w:color w:val="auto"/>
              </w:rPr>
            </w:pPr>
          </w:p>
        </w:tc>
        <w:tc>
          <w:tcPr>
            <w:tcW w:w="15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w w:val="99"/>
              </w:rPr>
              <w:t>(years)</w:t>
            </w:r>
          </w:p>
        </w:tc>
        <w:tc>
          <w:tcPr>
            <w:tcW w:w="100" w:type="dxa"/>
            <w:vAlign w:val="bottom"/>
          </w:tcPr>
          <w:p>
            <w:pPr>
              <w:spacing w:after="0"/>
              <w:rPr>
                <w:sz w:val="15"/>
                <w:szCs w:val="15"/>
                <w:color w:val="auto"/>
              </w:rPr>
            </w:pPr>
          </w:p>
        </w:tc>
      </w:tr>
      <w:tr>
        <w:trPr>
          <w:trHeight w:val="230"/>
        </w:trPr>
        <w:tc>
          <w:tcPr>
            <w:tcW w:w="5220" w:type="dxa"/>
            <w:vAlign w:val="bottom"/>
            <w:shd w:val="clear" w:color="auto" w:fill="E0E0E0"/>
          </w:tcPr>
          <w:p>
            <w:pPr>
              <w:spacing w:after="0"/>
              <w:rPr>
                <w:sz w:val="20"/>
                <w:szCs w:val="20"/>
                <w:color w:val="auto"/>
              </w:rPr>
            </w:pPr>
            <w:r>
              <w:rPr>
                <w:rFonts w:ascii="Arial" w:cs="Arial" w:eastAsia="Arial" w:hAnsi="Arial"/>
                <w:sz w:val="20"/>
                <w:szCs w:val="20"/>
                <w:color w:val="auto"/>
              </w:rPr>
              <w:t>Developed technology</w:t>
            </w:r>
          </w:p>
        </w:tc>
        <w:tc>
          <w:tcPr>
            <w:tcW w:w="238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5,356</w:t>
            </w:r>
          </w:p>
        </w:tc>
        <w:tc>
          <w:tcPr>
            <w:tcW w:w="178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7</w:t>
            </w:r>
          </w:p>
        </w:tc>
        <w:tc>
          <w:tcPr>
            <w:tcW w:w="100" w:type="dxa"/>
            <w:vAlign w:val="bottom"/>
            <w:shd w:val="clear" w:color="auto" w:fill="E0E0E0"/>
          </w:tcPr>
          <w:p>
            <w:pPr>
              <w:spacing w:after="0"/>
              <w:rPr>
                <w:sz w:val="19"/>
                <w:szCs w:val="19"/>
                <w:color w:val="auto"/>
              </w:rPr>
            </w:pPr>
          </w:p>
        </w:tc>
      </w:tr>
      <w:tr>
        <w:trPr>
          <w:trHeight w:val="230"/>
        </w:trPr>
        <w:tc>
          <w:tcPr>
            <w:tcW w:w="52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Agent and customer relationships</w:t>
            </w:r>
          </w:p>
        </w:tc>
        <w:tc>
          <w:tcPr>
            <w:tcW w:w="224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11,052</w:t>
            </w:r>
          </w:p>
        </w:tc>
        <w:tc>
          <w:tcPr>
            <w:tcW w:w="1780" w:type="dxa"/>
            <w:vAlign w:val="bottom"/>
            <w:tcBorders>
              <w:bottom w:val="single" w:sz="8" w:color="E0E0E0"/>
            </w:tcBorders>
            <w:gridSpan w:val="2"/>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E0E0E0"/>
            </w:tcBorders>
          </w:tcPr>
          <w:p>
            <w:pPr>
              <w:spacing w:after="0"/>
              <w:rPr>
                <w:sz w:val="19"/>
                <w:szCs w:val="19"/>
                <w:color w:val="auto"/>
              </w:rPr>
            </w:pPr>
          </w:p>
        </w:tc>
      </w:tr>
      <w:tr>
        <w:trPr>
          <w:trHeight w:val="220"/>
        </w:trPr>
        <w:tc>
          <w:tcPr>
            <w:tcW w:w="5220" w:type="dxa"/>
            <w:vAlign w:val="bottom"/>
            <w:shd w:val="clear" w:color="auto" w:fill="E0E0E0"/>
          </w:tcPr>
          <w:p>
            <w:pPr>
              <w:spacing w:after="0"/>
              <w:rPr>
                <w:sz w:val="19"/>
                <w:szCs w:val="19"/>
                <w:color w:val="auto"/>
              </w:rPr>
            </w:pPr>
          </w:p>
        </w:tc>
        <w:tc>
          <w:tcPr>
            <w:tcW w:w="224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16,408</w:t>
            </w:r>
          </w:p>
        </w:tc>
        <w:tc>
          <w:tcPr>
            <w:tcW w:w="220" w:type="dxa"/>
            <w:vAlign w:val="bottom"/>
            <w:shd w:val="clear" w:color="auto" w:fill="E0E0E0"/>
          </w:tcPr>
          <w:p>
            <w:pPr>
              <w:spacing w:after="0"/>
              <w:rPr>
                <w:sz w:val="19"/>
                <w:szCs w:val="19"/>
                <w:color w:val="auto"/>
              </w:rPr>
            </w:pPr>
          </w:p>
        </w:tc>
        <w:tc>
          <w:tcPr>
            <w:tcW w:w="15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00" w:firstLine="490"/>
        <w:spacing w:after="0" w:line="271" w:lineRule="auto"/>
        <w:rPr>
          <w:sz w:val="20"/>
          <w:szCs w:val="20"/>
          <w:color w:val="auto"/>
        </w:rPr>
      </w:pPr>
      <w:r>
        <w:rPr>
          <w:rFonts w:ascii="Arial" w:cs="Arial" w:eastAsia="Arial" w:hAnsi="Arial"/>
          <w:sz w:val="19"/>
          <w:szCs w:val="19"/>
          <w:color w:val="auto"/>
        </w:rPr>
        <w:t>The results of Cohort Go have been included in the consolidated financial statements since the date of the acquisition. Cohort Go contributed $16.6 million in transaction revenue and $10.4 million in platform revenue during the year ended December 31, 2023 and $6.4 million in transaction revenue and $3.3 million in platform revenue during the year ended December 31, 2022. The Company has not disclosed net income or loss since the acquisition date as the</w:t>
      </w:r>
    </w:p>
    <w:p>
      <w:pPr>
        <w:sectPr>
          <w:pgSz w:w="12240" w:h="15840" w:orient="portrait"/>
          <w:cols w:equalWidth="0" w:num="1">
            <w:col w:w="10800"/>
          </w:cols>
          <w:pgMar w:left="720" w:top="1179" w:right="720" w:bottom="186"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ectPr>
          <w:pgSz w:w="12240" w:h="15840" w:orient="portrait"/>
          <w:cols w:equalWidth="0" w:num="1">
            <w:col w:w="10800"/>
          </w:cols>
          <w:pgMar w:left="720" w:top="1179" w:right="720" w:bottom="186" w:gutter="0" w:footer="0" w:header="0"/>
          <w:type w:val="continuous"/>
        </w:sectPr>
      </w:pPr>
    </w:p>
    <w:bookmarkStart w:id="139" w:name="page140"/>
    <w:bookmarkEnd w:id="139"/>
    <w:p>
      <w:pPr>
        <w:ind w:right="100"/>
        <w:spacing w:after="0" w:line="282" w:lineRule="auto"/>
        <w:rPr>
          <w:sz w:val="20"/>
          <w:szCs w:val="20"/>
          <w:color w:val="auto"/>
        </w:rPr>
      </w:pPr>
      <w:r>
        <w:rPr>
          <w:rFonts w:ascii="Arial" w:cs="Arial" w:eastAsia="Arial" w:hAnsi="Arial"/>
          <w:sz w:val="20"/>
          <w:szCs w:val="20"/>
          <w:color w:val="auto"/>
        </w:rPr>
        <w:t>business was fully integrated into the consolidated Company’s operations and therefore it was impracticable to determine this amount.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Unaudited Pro Forma Financial Information</w:t>
      </w:r>
    </w:p>
    <w:p>
      <w:pPr>
        <w:spacing w:after="0" w:line="200" w:lineRule="exact"/>
        <w:rPr>
          <w:sz w:val="20"/>
          <w:szCs w:val="20"/>
          <w:color w:val="auto"/>
        </w:rPr>
      </w:pPr>
    </w:p>
    <w:p>
      <w:pPr>
        <w:ind w:right="80" w:firstLine="490"/>
        <w:spacing w:after="0" w:line="246" w:lineRule="auto"/>
        <w:rPr>
          <w:sz w:val="20"/>
          <w:szCs w:val="20"/>
          <w:color w:val="auto"/>
        </w:rPr>
      </w:pPr>
      <w:r>
        <w:rPr>
          <w:rFonts w:ascii="Arial" w:cs="Arial" w:eastAsia="Arial" w:hAnsi="Arial"/>
          <w:sz w:val="20"/>
          <w:szCs w:val="20"/>
          <w:color w:val="auto"/>
        </w:rPr>
        <w:t>The following unaudited pro forma financial information shows the results of the Company’s operations for the years ended December 31, 2022 and 2021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8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rPr>
              <w:t>Year Ended December 31, 2022</w:t>
            </w:r>
          </w:p>
        </w:tc>
        <w:tc>
          <w:tcPr>
            <w:tcW w:w="100" w:type="dxa"/>
            <w:vAlign w:val="bottom"/>
          </w:tcPr>
          <w:p>
            <w:pPr>
              <w:spacing w:after="0"/>
              <w:rPr>
                <w:sz w:val="17"/>
                <w:szCs w:val="17"/>
                <w:color w:val="auto"/>
              </w:rPr>
            </w:pPr>
          </w:p>
        </w:tc>
        <w:tc>
          <w:tcPr>
            <w:tcW w:w="2540" w:type="dxa"/>
            <w:vAlign w:val="bottom"/>
            <w:gridSpan w:val="7"/>
          </w:tcPr>
          <w:p>
            <w:pPr>
              <w:jc w:val="right"/>
              <w:ind w:right="140"/>
              <w:spacing w:after="0"/>
              <w:rPr>
                <w:sz w:val="20"/>
                <w:szCs w:val="20"/>
                <w:color w:val="auto"/>
              </w:rPr>
            </w:pPr>
            <w:r>
              <w:rPr>
                <w:rFonts w:ascii="Arial" w:cs="Arial" w:eastAsia="Arial" w:hAnsi="Arial"/>
                <w:sz w:val="16"/>
                <w:szCs w:val="16"/>
                <w:b w:val="1"/>
                <w:bCs w:val="1"/>
                <w:color w:val="auto"/>
              </w:rPr>
              <w:t>Year Ended December 31, 2021</w:t>
            </w:r>
          </w:p>
        </w:tc>
      </w:tr>
      <w:tr>
        <w:trPr>
          <w:trHeight w:val="174"/>
        </w:trPr>
        <w:tc>
          <w:tcPr>
            <w:tcW w:w="31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27"/>
              <w:spacing w:after="0" w:line="174" w:lineRule="exact"/>
              <w:rPr>
                <w:sz w:val="20"/>
                <w:szCs w:val="20"/>
                <w:color w:val="auto"/>
              </w:rPr>
            </w:pPr>
            <w:r>
              <w:rPr>
                <w:rFonts w:ascii="Arial" w:cs="Arial" w:eastAsia="Arial" w:hAnsi="Arial"/>
                <w:sz w:val="16"/>
                <w:szCs w:val="16"/>
                <w:b w:val="1"/>
                <w:bCs w:val="1"/>
                <w:color w:val="auto"/>
              </w:rPr>
              <w:t>Actual</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70"/>
              <w:spacing w:after="0" w:line="174" w:lineRule="exact"/>
              <w:rPr>
                <w:sz w:val="20"/>
                <w:szCs w:val="20"/>
                <w:color w:val="auto"/>
              </w:rPr>
            </w:pPr>
            <w:r>
              <w:rPr>
                <w:rFonts w:ascii="Arial" w:cs="Arial" w:eastAsia="Arial" w:hAnsi="Arial"/>
                <w:sz w:val="16"/>
                <w:szCs w:val="16"/>
                <w:b w:val="1"/>
                <w:bCs w:val="1"/>
                <w:color w:val="auto"/>
                <w:w w:val="99"/>
              </w:rPr>
              <w:t>Pro Forma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27"/>
              <w:spacing w:after="0" w:line="174" w:lineRule="exact"/>
              <w:rPr>
                <w:sz w:val="20"/>
                <w:szCs w:val="20"/>
                <w:color w:val="auto"/>
              </w:rPr>
            </w:pPr>
            <w:r>
              <w:rPr>
                <w:rFonts w:ascii="Arial" w:cs="Arial" w:eastAsia="Arial" w:hAnsi="Arial"/>
                <w:sz w:val="16"/>
                <w:szCs w:val="16"/>
                <w:b w:val="1"/>
                <w:bCs w:val="1"/>
                <w:color w:val="auto"/>
              </w:rPr>
              <w:t>Actual</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67"/>
              <w:spacing w:after="0" w:line="174" w:lineRule="exact"/>
              <w:rPr>
                <w:sz w:val="20"/>
                <w:szCs w:val="20"/>
                <w:color w:val="auto"/>
              </w:rPr>
            </w:pPr>
            <w:r>
              <w:rPr>
                <w:rFonts w:ascii="Arial" w:cs="Arial" w:eastAsia="Arial" w:hAnsi="Arial"/>
                <w:sz w:val="16"/>
                <w:szCs w:val="16"/>
                <w:b w:val="1"/>
                <w:bCs w:val="1"/>
                <w:color w:val="auto"/>
                <w:w w:val="99"/>
              </w:rPr>
              <w:t>Pro Forma</w:t>
            </w:r>
          </w:p>
        </w:tc>
        <w:tc>
          <w:tcPr>
            <w:tcW w:w="100" w:type="dxa"/>
            <w:vAlign w:val="bottom"/>
          </w:tcPr>
          <w:p>
            <w:pPr>
              <w:spacing w:after="0"/>
              <w:rPr>
                <w:sz w:val="15"/>
                <w:szCs w:val="15"/>
                <w:color w:val="auto"/>
              </w:rPr>
            </w:pPr>
          </w:p>
        </w:tc>
      </w:tr>
      <w:tr>
        <w:trPr>
          <w:trHeight w:val="174"/>
        </w:trPr>
        <w:tc>
          <w:tcPr>
            <w:tcW w:w="31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50"/>
              <w:spacing w:after="0" w:line="174" w:lineRule="exact"/>
              <w:rPr>
                <w:sz w:val="20"/>
                <w:szCs w:val="20"/>
                <w:color w:val="auto"/>
              </w:rPr>
            </w:pPr>
            <w:r>
              <w:rPr>
                <w:rFonts w:ascii="Arial" w:cs="Arial" w:eastAsia="Arial" w:hAnsi="Arial"/>
                <w:sz w:val="16"/>
                <w:szCs w:val="16"/>
                <w:b w:val="1"/>
                <w:bCs w:val="1"/>
                <w:color w:val="auto"/>
              </w:rPr>
              <w:t>(in</w:t>
            </w:r>
          </w:p>
        </w:tc>
        <w:tc>
          <w:tcPr>
            <w:tcW w:w="1340" w:type="dxa"/>
            <w:vAlign w:val="bottom"/>
            <w:gridSpan w:val="4"/>
          </w:tcPr>
          <w:p>
            <w:pPr>
              <w:jc w:val="right"/>
              <w:ind w:right="587"/>
              <w:spacing w:after="0" w:line="174" w:lineRule="exact"/>
              <w:rPr>
                <w:sz w:val="20"/>
                <w:szCs w:val="20"/>
                <w:color w:val="auto"/>
              </w:rPr>
            </w:pPr>
            <w:r>
              <w:rPr>
                <w:rFonts w:ascii="Arial" w:cs="Arial" w:eastAsia="Arial" w:hAnsi="Arial"/>
                <w:sz w:val="16"/>
                <w:szCs w:val="16"/>
                <w:b w:val="1"/>
                <w:bCs w:val="1"/>
                <w:color w:val="auto"/>
                <w:w w:val="74"/>
              </w:rPr>
              <w:t>thousands)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180" w:type="dxa"/>
            <w:vAlign w:val="bottom"/>
            <w:shd w:val="clear" w:color="auto" w:fill="E0E0E0"/>
          </w:tcPr>
          <w:p>
            <w:pPr>
              <w:spacing w:after="0"/>
              <w:rPr>
                <w:sz w:val="20"/>
                <w:szCs w:val="20"/>
                <w:color w:val="auto"/>
              </w:rPr>
            </w:pPr>
            <w:r>
              <w:rPr>
                <w:rFonts w:ascii="Arial" w:cs="Arial" w:eastAsia="Arial" w:hAnsi="Arial"/>
                <w:sz w:val="20"/>
                <w:szCs w:val="20"/>
                <w:color w:val="auto"/>
              </w:rPr>
              <w:t>Revenue</w:t>
            </w:r>
          </w:p>
        </w:tc>
        <w:tc>
          <w:tcPr>
            <w:tcW w:w="26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289,375</w:t>
            </w:r>
          </w:p>
        </w:tc>
        <w:tc>
          <w:tcPr>
            <w:tcW w:w="140" w:type="dxa"/>
            <w:vAlign w:val="bottom"/>
            <w:shd w:val="clear" w:color="auto" w:fill="E0E0E0"/>
          </w:tcPr>
          <w:p>
            <w:pPr>
              <w:spacing w:after="0"/>
              <w:rPr>
                <w:sz w:val="19"/>
                <w:szCs w:val="19"/>
                <w:color w:val="auto"/>
              </w:rPr>
            </w:pPr>
          </w:p>
        </w:tc>
        <w:tc>
          <w:tcPr>
            <w:tcW w:w="22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301,892</w:t>
            </w:r>
          </w:p>
        </w:tc>
        <w:tc>
          <w:tcPr>
            <w:tcW w:w="3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E0E0E0"/>
          </w:tcPr>
          <w:p>
            <w:pPr>
              <w:jc w:val="right"/>
              <w:ind w:right="140"/>
              <w:spacing w:after="0"/>
              <w:rPr>
                <w:sz w:val="20"/>
                <w:szCs w:val="20"/>
                <w:color w:val="auto"/>
              </w:rPr>
            </w:pPr>
            <w:r>
              <w:rPr>
                <w:rFonts w:ascii="Arial" w:cs="Arial" w:eastAsia="Arial" w:hAnsi="Arial"/>
                <w:sz w:val="20"/>
                <w:szCs w:val="20"/>
                <w:color w:val="auto"/>
              </w:rPr>
              <w:t>201,149</w:t>
            </w:r>
          </w:p>
        </w:tc>
        <w:tc>
          <w:tcPr>
            <w:tcW w:w="22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213,576</w:t>
            </w:r>
          </w:p>
        </w:tc>
        <w:tc>
          <w:tcPr>
            <w:tcW w:w="100" w:type="dxa"/>
            <w:vAlign w:val="bottom"/>
            <w:shd w:val="clear" w:color="auto" w:fill="E0E0E0"/>
          </w:tcPr>
          <w:p>
            <w:pPr>
              <w:spacing w:after="0"/>
              <w:rPr>
                <w:sz w:val="19"/>
                <w:szCs w:val="19"/>
                <w:color w:val="auto"/>
              </w:rPr>
            </w:pPr>
          </w:p>
        </w:tc>
      </w:tr>
      <w:tr>
        <w:trPr>
          <w:trHeight w:val="271"/>
        </w:trPr>
        <w:tc>
          <w:tcPr>
            <w:tcW w:w="3180" w:type="dxa"/>
            <w:vAlign w:val="bottom"/>
          </w:tcPr>
          <w:p>
            <w:pPr>
              <w:spacing w:after="0"/>
              <w:rPr>
                <w:sz w:val="20"/>
                <w:szCs w:val="20"/>
                <w:color w:val="auto"/>
              </w:rPr>
            </w:pPr>
            <w:r>
              <w:rPr>
                <w:rFonts w:ascii="Arial" w:cs="Arial" w:eastAsia="Arial" w:hAnsi="Arial"/>
                <w:sz w:val="20"/>
                <w:szCs w:val="20"/>
                <w:color w:val="auto"/>
              </w:rPr>
              <w:t>Net Loss</w:t>
            </w:r>
          </w:p>
        </w:tc>
        <w:tc>
          <w:tcPr>
            <w:tcW w:w="26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(39,347)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(37,798)</w:t>
            </w:r>
          </w:p>
        </w:tc>
        <w:tc>
          <w:tcPr>
            <w:tcW w:w="3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(28,085)</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(30,155)</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WPM</w:t>
      </w:r>
    </w:p>
    <w:p>
      <w:pPr>
        <w:spacing w:after="0" w:line="192" w:lineRule="exact"/>
        <w:rPr>
          <w:sz w:val="20"/>
          <w:szCs w:val="20"/>
          <w:color w:val="auto"/>
        </w:rPr>
      </w:pPr>
    </w:p>
    <w:p>
      <w:pPr>
        <w:ind w:right="240" w:firstLine="490"/>
        <w:spacing w:after="0" w:line="271" w:lineRule="auto"/>
        <w:rPr>
          <w:sz w:val="20"/>
          <w:szCs w:val="20"/>
          <w:color w:val="auto"/>
        </w:rPr>
      </w:pPr>
      <w:r>
        <w:rPr>
          <w:rFonts w:ascii="Arial" w:cs="Arial" w:eastAsia="Arial" w:hAnsi="Arial"/>
          <w:sz w:val="19"/>
          <w:szCs w:val="19"/>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to further accelerate the Company's market share in the U.K. education sector. The acquisition of WPM has been accounted for as a business combination.</w:t>
      </w:r>
    </w:p>
    <w:p>
      <w:pPr>
        <w:spacing w:after="0" w:line="133"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Pursuant to the terms of the business combination agreement, the Company acquired all outstanding equity of WPM for estimated total purchase price of $59.6 million, which consisted of $56.1 million in cash consideration, net of cash acquired and $3.5 million in estimated fair value of contingent consideration, which was potentially payable at various intervals through March 2024 in the form of cash or up to approximately 225,000 shares of common stock, at Flywire's option and was dependent upon the Company's achievement of specified minimum payment volume targets and integration targets. Certain amounts were also tied to continued employment of key employees.</w:t>
      </w:r>
    </w:p>
    <w:p>
      <w:pPr>
        <w:spacing w:after="0" w:line="154" w:lineRule="exact"/>
        <w:rPr>
          <w:sz w:val="20"/>
          <w:szCs w:val="20"/>
          <w:color w:val="auto"/>
        </w:rPr>
      </w:pPr>
    </w:p>
    <w:p>
      <w:pPr>
        <w:jc w:val="both"/>
        <w:ind w:right="180" w:firstLine="546"/>
        <w:spacing w:after="0" w:line="281" w:lineRule="auto"/>
        <w:rPr>
          <w:sz w:val="20"/>
          <w:szCs w:val="20"/>
          <w:color w:val="auto"/>
        </w:rPr>
      </w:pPr>
      <w:r>
        <w:rPr>
          <w:rFonts w:ascii="Arial" w:cs="Arial" w:eastAsia="Arial" w:hAnsi="Arial"/>
          <w:sz w:val="19"/>
          <w:szCs w:val="19"/>
          <w:color w:val="auto"/>
        </w:rPr>
        <w:t>As of December 31, 2023, no contingent consideration is due or payable with respect to the WPM acquisition. For the year ended December 31, 2022, the Company paid $0.4 million in contingent consideration related to the completion of integration targets. There was no contingent consideration paid during the year ended December 31, 2021.</w:t>
      </w:r>
    </w:p>
    <w:p>
      <w:pPr>
        <w:spacing w:after="0" w:line="123" w:lineRule="exact"/>
        <w:rPr>
          <w:sz w:val="20"/>
          <w:szCs w:val="20"/>
          <w:color w:val="auto"/>
        </w:rPr>
      </w:pPr>
    </w:p>
    <w:p>
      <w:pPr>
        <w:ind w:right="80" w:firstLine="546"/>
        <w:spacing w:after="0" w:line="247" w:lineRule="auto"/>
        <w:rPr>
          <w:sz w:val="20"/>
          <w:szCs w:val="20"/>
          <w:color w:val="auto"/>
        </w:rPr>
      </w:pPr>
      <w:r>
        <w:rPr>
          <w:rFonts w:ascii="Arial" w:cs="Arial" w:eastAsia="Arial" w:hAnsi="Arial"/>
          <w:sz w:val="20"/>
          <w:szCs w:val="20"/>
          <w:color w:val="auto"/>
        </w:rPr>
        <w:t>During the year ended December 31, 2023, the Company expensed $0.7 million in personnel costs associated with retention of key employees. These personnel costs have been paid through shares of Flywire common stock issued in January 2023, July 2023 and January 2024. During the year ended December 31, 2022 and 2021, the Company expensed $0.9 million and less than $0.1 million, respectively, in personnel costs associated with the retention portion of key employees. These personnel costs are included in the Company’s consolidated statements of operations and comprehensive loss and a liability is recorded in accrued expenses and other current liabilities on the consolidated balance sheet.</w:t>
      </w:r>
    </w:p>
    <w:p>
      <w:pPr>
        <w:spacing w:after="0" w:line="153" w:lineRule="exact"/>
        <w:rPr>
          <w:sz w:val="20"/>
          <w:szCs w:val="20"/>
          <w:color w:val="auto"/>
        </w:rPr>
      </w:pPr>
    </w:p>
    <w:p>
      <w:pPr>
        <w:jc w:val="both"/>
        <w:ind w:right="900" w:firstLine="490"/>
        <w:spacing w:after="0" w:line="261" w:lineRule="auto"/>
        <w:rPr>
          <w:sz w:val="20"/>
          <w:szCs w:val="20"/>
          <w:color w:val="auto"/>
        </w:rPr>
      </w:pPr>
      <w:r>
        <w:rPr>
          <w:rFonts w:ascii="Arial" w:cs="Arial" w:eastAsia="Arial" w:hAnsi="Arial"/>
          <w:sz w:val="20"/>
          <w:szCs w:val="20"/>
          <w:color w:val="auto"/>
        </w:rPr>
        <w:t>During the year ended December 31, 2022 and 2021, the Company incurred $0.1 million and $0.6 million, respectively, in transaction costs, which are included in general and administrative expenses in the consolidated statements of operations and comprehensive loss.</w:t>
      </w:r>
    </w:p>
    <w:p>
      <w:pPr>
        <w:spacing w:after="0" w:line="140"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auto"/>
        </w:rPr>
        <w:t>The results of WPM have been included in the consolidated financial statements since the date of the acquisition. WPM contributed $6.3 million, $6.4 million and $0.3 million in platform revenue during the years ended December 31, 2023, 2022 and 2021, respectively. The Company has not disclosed net income or loss since the acquisition date as the business was fully integrated into the consolidated Company’s operations and therefore it was impracticable to determine this amount. The Company has not disclosed unaudited pro forma financial information that shows the results of the Company’s operations for the year ended December 31, 2021 as if the acquisition had occurred on January 1, 2020 as the historical results of WPM were not material to the Company’s consolidated financial statements in any period presented.</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2240" w:h="15840" w:orient="portrait"/>
          <w:cols w:equalWidth="0" w:num="1">
            <w:col w:w="10800"/>
          </w:cols>
          <w:pgMar w:left="720" w:top="1160" w:right="720" w:bottom="186" w:gutter="0" w:footer="0" w:header="0"/>
          <w:type w:val="continuous"/>
        </w:sectPr>
      </w:pPr>
    </w:p>
    <w:bookmarkStart w:id="140" w:name="page141"/>
    <w:bookmarkEnd w:id="140"/>
    <w:p>
      <w:pPr>
        <w:ind w:left="20"/>
        <w:spacing w:after="0"/>
        <w:rPr>
          <w:sz w:val="20"/>
          <w:szCs w:val="20"/>
          <w:color w:val="auto"/>
        </w:rPr>
      </w:pPr>
      <w:r>
        <w:rPr>
          <w:rFonts w:ascii="Arial" w:cs="Arial" w:eastAsia="Arial" w:hAnsi="Arial"/>
          <w:sz w:val="20"/>
          <w:szCs w:val="20"/>
          <w:b w:val="1"/>
          <w:bCs w:val="1"/>
          <w:color w:val="auto"/>
        </w:rPr>
        <w:t>Note 9. Goodwill and Acquired Intangible Assets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Goodwill</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following table summarizes the changes in the carrying amount of goodwill for the years ended December 31,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2023 and 2022 (in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74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7"/>
              <w:spacing w:after="0" w:line="174" w:lineRule="exact"/>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4"/>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Beginning balance</w:t>
            </w: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97,766</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85,841</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color w:val="auto"/>
              </w:rPr>
              <w:t>Goodwill related to acquisitions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20,705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16,197</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spacing w:after="0"/>
              <w:rPr>
                <w:sz w:val="20"/>
                <w:szCs w:val="20"/>
                <w:color w:val="auto"/>
              </w:rPr>
            </w:pPr>
            <w:r>
              <w:rPr>
                <w:rFonts w:ascii="Arial" w:cs="Arial" w:eastAsia="Arial" w:hAnsi="Arial"/>
                <w:sz w:val="20"/>
                <w:szCs w:val="20"/>
                <w:color w:val="auto"/>
              </w:rPr>
              <w:t>Foreign currency translation adjustment</w:t>
            </w: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3,175</w:t>
            </w:r>
          </w:p>
        </w:tc>
        <w:tc>
          <w:tcPr>
            <w:tcW w:w="28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(4,272)</w:t>
            </w:r>
          </w:p>
        </w:tc>
      </w:tr>
      <w:tr>
        <w:trPr>
          <w:trHeight w:val="220"/>
        </w:trPr>
        <w:tc>
          <w:tcPr>
            <w:tcW w:w="7420" w:type="dxa"/>
            <w:vAlign w:val="bottom"/>
          </w:tcPr>
          <w:p>
            <w:pPr>
              <w:spacing w:after="0" w:line="220" w:lineRule="exact"/>
              <w:rPr>
                <w:sz w:val="20"/>
                <w:szCs w:val="20"/>
                <w:color w:val="auto"/>
              </w:rPr>
            </w:pPr>
            <w:r>
              <w:rPr>
                <w:rFonts w:ascii="Arial" w:cs="Arial" w:eastAsia="Arial" w:hAnsi="Arial"/>
                <w:sz w:val="20"/>
                <w:szCs w:val="20"/>
                <w:color w:val="auto"/>
              </w:rPr>
              <w:t>Ending balance</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121,646</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97,766</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Acquired Intangible Assets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Acquired intangible assets subject to amortization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2023</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9"/>
              </w:rPr>
              <w:t>Accumulated</w:t>
            </w:r>
          </w:p>
        </w:tc>
        <w:tc>
          <w:tcPr>
            <w:tcW w:w="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Remaining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9"/>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44"/>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tcBorders>
              <w:top w:val="single" w:sz="8" w:color="E0E0E0"/>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Developed Technology</w:t>
            </w:r>
          </w:p>
        </w:tc>
        <w:tc>
          <w:tcPr>
            <w:tcW w:w="2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5"/>
                <w:szCs w:val="15"/>
                <w:color w:val="auto"/>
                <w:w w:val="71"/>
                <w:shd w:val="clear" w:color="auto" w:fill="E0E0E0"/>
              </w:rPr>
              <w:t>$</w:t>
            </w:r>
          </w:p>
        </w:tc>
        <w:tc>
          <w:tcPr>
            <w:tcW w:w="9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39,624</w:t>
            </w:r>
          </w:p>
        </w:tc>
        <w:tc>
          <w:tcPr>
            <w:tcW w:w="240" w:type="dxa"/>
            <w:vAlign w:val="bottom"/>
            <w:tcBorders>
              <w:top w:val="single" w:sz="8" w:color="E0E0E0"/>
            </w:tcBorders>
            <w:shd w:val="clear" w:color="auto" w:fill="E0E0E0"/>
          </w:tcPr>
          <w:p>
            <w:pPr>
              <w:spacing w:after="0"/>
              <w:rPr>
                <w:sz w:val="19"/>
                <w:szCs w:val="19"/>
                <w:color w:val="auto"/>
              </w:rPr>
            </w:pPr>
          </w:p>
        </w:tc>
        <w:tc>
          <w:tcPr>
            <w:tcW w:w="280" w:type="dxa"/>
            <w:vAlign w:val="bottom"/>
            <w:tcBorders>
              <w:top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shd w:val="clear" w:color="auto" w:fill="E0E0E0"/>
              </w:rPr>
              <w:t>$</w:t>
            </w:r>
          </w:p>
        </w:tc>
        <w:tc>
          <w:tcPr>
            <w:tcW w:w="84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(21,446</w:t>
            </w:r>
          </w:p>
        </w:tc>
        <w:tc>
          <w:tcPr>
            <w:tcW w:w="200" w:type="dxa"/>
            <w:vAlign w:val="bottom"/>
            <w:tcBorders>
              <w:top w:val="single" w:sz="8" w:color="E0E0E0"/>
            </w:tcBorders>
            <w:shd w:val="clear" w:color="auto" w:fill="E0E0E0"/>
          </w:tcPr>
          <w:p>
            <w:pPr>
              <w:jc w:val="right"/>
              <w:ind w:right="6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9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18,178</w:t>
            </w:r>
          </w:p>
        </w:tc>
        <w:tc>
          <w:tcPr>
            <w:tcW w:w="20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4.71</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20"/>
                <w:szCs w:val="20"/>
                <w:color w:val="auto"/>
              </w:rPr>
              <w:t>Acquired Relationships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104,007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(14,143)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89,864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Trade Name/Trademark</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136</w:t>
            </w:r>
          </w:p>
        </w:tc>
        <w:tc>
          <w:tcPr>
            <w:tcW w:w="2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136</w:t>
            </w:r>
          </w:p>
        </w:tc>
        <w:tc>
          <w:tcPr>
            <w:tcW w:w="13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1.83</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143,767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(35,589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108,178</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105"/>
        <w:spacing w:after="0"/>
        <w:tabs>
          <w:tab w:leader="none" w:pos="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$(750) thousand of foreign currency translation adjustments.</w:t>
      </w:r>
    </w:p>
    <w:p>
      <w:pPr>
        <w:spacing w:after="0" w:line="19" w:lineRule="exact"/>
        <w:rPr>
          <w:rFonts w:ascii="Arial" w:cs="Arial" w:eastAsia="Arial" w:hAnsi="Arial"/>
          <w:sz w:val="16"/>
          <w:szCs w:val="16"/>
          <w:color w:val="auto"/>
        </w:rPr>
      </w:pPr>
    </w:p>
    <w:p>
      <w:pPr>
        <w:ind w:left="300" w:hanging="165"/>
        <w:spacing w:after="0"/>
        <w:tabs>
          <w:tab w:leader="none" w:pos="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$(41) thousand of foreign currency translation adjustments.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2022</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9"/>
              </w:rPr>
              <w:t>Accumulated</w:t>
            </w:r>
          </w:p>
        </w:tc>
        <w:tc>
          <w:tcPr>
            <w:tcW w:w="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Remaining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9"/>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44"/>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tcBorders>
              <w:top w:val="single" w:sz="8" w:color="E0E0E0"/>
            </w:tcBorders>
            <w:gridSpan w:val="2"/>
            <w:shd w:val="clear" w:color="auto" w:fill="E0E0E0"/>
          </w:tcPr>
          <w:p>
            <w:pPr>
              <w:spacing w:after="0" w:line="220" w:lineRule="exact"/>
              <w:rPr>
                <w:sz w:val="20"/>
                <w:szCs w:val="20"/>
                <w:color w:val="auto"/>
              </w:rPr>
            </w:pPr>
            <w:r>
              <w:rPr>
                <w:rFonts w:ascii="Arial" w:cs="Arial" w:eastAsia="Arial" w:hAnsi="Arial"/>
                <w:sz w:val="20"/>
                <w:szCs w:val="20"/>
                <w:color w:val="auto"/>
              </w:rPr>
              <w:t>Developed Technology</w:t>
            </w:r>
          </w:p>
        </w:tc>
        <w:tc>
          <w:tcPr>
            <w:tcW w:w="2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5"/>
                <w:szCs w:val="15"/>
                <w:color w:val="auto"/>
                <w:w w:val="71"/>
                <w:shd w:val="clear" w:color="auto" w:fill="E0E0E0"/>
              </w:rPr>
              <w:t>$</w:t>
            </w:r>
          </w:p>
        </w:tc>
        <w:tc>
          <w:tcPr>
            <w:tcW w:w="9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31,848</w:t>
            </w:r>
          </w:p>
        </w:tc>
        <w:tc>
          <w:tcPr>
            <w:tcW w:w="240" w:type="dxa"/>
            <w:vAlign w:val="bottom"/>
            <w:tcBorders>
              <w:top w:val="single" w:sz="8" w:color="E0E0E0"/>
            </w:tcBorders>
            <w:shd w:val="clear" w:color="auto" w:fill="E0E0E0"/>
          </w:tcPr>
          <w:p>
            <w:pPr>
              <w:spacing w:after="0"/>
              <w:rPr>
                <w:sz w:val="19"/>
                <w:szCs w:val="19"/>
                <w:color w:val="auto"/>
              </w:rPr>
            </w:pPr>
          </w:p>
        </w:tc>
        <w:tc>
          <w:tcPr>
            <w:tcW w:w="280" w:type="dxa"/>
            <w:vAlign w:val="bottom"/>
            <w:tcBorders>
              <w:top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shd w:val="clear" w:color="auto" w:fill="E0E0E0"/>
              </w:rPr>
              <w:t>$</w:t>
            </w:r>
          </w:p>
        </w:tc>
        <w:tc>
          <w:tcPr>
            <w:tcW w:w="84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(15,429</w:t>
            </w:r>
          </w:p>
        </w:tc>
        <w:tc>
          <w:tcPr>
            <w:tcW w:w="200" w:type="dxa"/>
            <w:vAlign w:val="bottom"/>
            <w:tcBorders>
              <w:top w:val="single" w:sz="8" w:color="E0E0E0"/>
            </w:tcBorders>
            <w:shd w:val="clear" w:color="auto" w:fill="E0E0E0"/>
          </w:tcPr>
          <w:p>
            <w:pPr>
              <w:jc w:val="right"/>
              <w:ind w:right="6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9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16,419</w:t>
            </w:r>
          </w:p>
        </w:tc>
        <w:tc>
          <w:tcPr>
            <w:tcW w:w="20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4.55</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20"/>
                <w:szCs w:val="20"/>
                <w:color w:val="auto"/>
              </w:rPr>
              <w:t>Acquired Relationships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90,612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(9,423)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81,189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Non-Compete Agreement</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469</w:t>
            </w:r>
          </w:p>
        </w:tc>
        <w:tc>
          <w:tcPr>
            <w:tcW w:w="2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(461)</w:t>
            </w:r>
          </w:p>
        </w:tc>
        <w:tc>
          <w:tcPr>
            <w:tcW w:w="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w:t>
            </w:r>
          </w:p>
        </w:tc>
        <w:tc>
          <w:tcPr>
            <w:tcW w:w="13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0.27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122,929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(25,313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97,616</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105"/>
        <w:spacing w:after="0"/>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$(3,416) thousand of foreign currency translation adjustments.</w:t>
      </w:r>
    </w:p>
    <w:p>
      <w:pPr>
        <w:spacing w:after="0" w:line="19" w:lineRule="exact"/>
        <w:rPr>
          <w:rFonts w:ascii="Arial" w:cs="Arial" w:eastAsia="Arial" w:hAnsi="Arial"/>
          <w:sz w:val="16"/>
          <w:szCs w:val="16"/>
          <w:color w:val="auto"/>
        </w:rPr>
      </w:pPr>
    </w:p>
    <w:p>
      <w:pPr>
        <w:ind w:left="300" w:hanging="165"/>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$154 thousand of foreign currency translation adjustments.</w:t>
      </w:r>
    </w:p>
    <w:p>
      <w:pPr>
        <w:spacing w:after="0" w:line="175" w:lineRule="exact"/>
        <w:rPr>
          <w:sz w:val="20"/>
          <w:szCs w:val="20"/>
          <w:color w:val="auto"/>
        </w:rPr>
      </w:pPr>
    </w:p>
    <w:p>
      <w:pPr>
        <w:ind w:left="20" w:right="240" w:firstLine="490"/>
        <w:spacing w:after="0" w:line="282" w:lineRule="auto"/>
        <w:rPr>
          <w:sz w:val="20"/>
          <w:szCs w:val="20"/>
          <w:color w:val="auto"/>
        </w:rPr>
      </w:pPr>
      <w:r>
        <w:rPr>
          <w:rFonts w:ascii="Arial" w:cs="Arial" w:eastAsia="Arial" w:hAnsi="Arial"/>
          <w:sz w:val="20"/>
          <w:szCs w:val="20"/>
          <w:color w:val="auto"/>
        </w:rPr>
        <w:t>Amortization expense for the years ended December 31, 2023, 2022 and 2021 was $11.5 million, $9.1 million and $6.7 million, respectively.</w:t>
      </w:r>
    </w:p>
    <w:p>
      <w:pPr>
        <w:spacing w:after="0" w:line="120" w:lineRule="exact"/>
        <w:rPr>
          <w:sz w:val="20"/>
          <w:szCs w:val="20"/>
          <w:color w:val="auto"/>
        </w:rPr>
      </w:pPr>
    </w:p>
    <w:p>
      <w:pPr>
        <w:ind w:left="20" w:right="220" w:firstLine="490"/>
        <w:spacing w:after="0" w:line="282" w:lineRule="auto"/>
        <w:rPr>
          <w:sz w:val="20"/>
          <w:szCs w:val="20"/>
          <w:color w:val="auto"/>
        </w:rPr>
      </w:pPr>
      <w:r>
        <w:rPr>
          <w:rFonts w:ascii="Arial" w:cs="Arial" w:eastAsia="Arial" w:hAnsi="Arial"/>
          <w:sz w:val="20"/>
          <w:szCs w:val="20"/>
          <w:color w:val="auto"/>
        </w:rPr>
        <w:t>As of December 31, 2023, the estimated annual amortization expense of intangible assets for each of the next five years and thereafter is expected to be as follows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center"/>
              <w:ind w:right="186"/>
              <w:spacing w:after="0"/>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6"/>
                <w:szCs w:val="16"/>
                <w:color w:val="auto"/>
              </w:rPr>
            </w:pPr>
          </w:p>
        </w:tc>
      </w:tr>
      <w:tr>
        <w:trPr>
          <w:trHeight w:val="184"/>
        </w:trPr>
        <w:tc>
          <w:tcPr>
            <w:tcW w:w="49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center"/>
              <w:ind w:right="166"/>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r>
      <w:tr>
        <w:trPr>
          <w:trHeight w:val="203"/>
        </w:trPr>
        <w:tc>
          <w:tcPr>
            <w:tcW w:w="4900" w:type="dxa"/>
            <w:vAlign w:val="bottom"/>
            <w:tcBorders>
              <w:bottom w:val="single" w:sz="8" w:color="E0E0E0"/>
            </w:tcBorders>
          </w:tcPr>
          <w:p>
            <w:pPr>
              <w:spacing w:after="0"/>
              <w:rPr>
                <w:sz w:val="17"/>
                <w:szCs w:val="17"/>
                <w:color w:val="auto"/>
              </w:rPr>
            </w:pPr>
          </w:p>
        </w:tc>
        <w:tc>
          <w:tcPr>
            <w:tcW w:w="398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Expense</w:t>
            </w:r>
          </w:p>
        </w:tc>
        <w:tc>
          <w:tcPr>
            <w:tcW w:w="100" w:type="dxa"/>
            <w:vAlign w:val="bottom"/>
            <w:tcBorders>
              <w:bottom w:val="single" w:sz="8" w:color="E0E0E0"/>
            </w:tcBorders>
          </w:tcPr>
          <w:p>
            <w:pPr>
              <w:spacing w:after="0"/>
              <w:rPr>
                <w:sz w:val="17"/>
                <w:szCs w:val="17"/>
                <w:color w:val="auto"/>
              </w:rPr>
            </w:pPr>
          </w:p>
        </w:tc>
      </w:tr>
      <w:tr>
        <w:trPr>
          <w:trHeight w:val="220"/>
        </w:trPr>
        <w:tc>
          <w:tcPr>
            <w:tcW w:w="49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2024</w:t>
            </w:r>
          </w:p>
        </w:tc>
        <w:tc>
          <w:tcPr>
            <w:tcW w:w="398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15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11,984</w:t>
            </w:r>
          </w:p>
        </w:tc>
        <w:tc>
          <w:tcPr>
            <w:tcW w:w="100" w:type="dxa"/>
            <w:vAlign w:val="bottom"/>
            <w:shd w:val="clear" w:color="auto" w:fill="E0E0E0"/>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2025</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12,245</w:t>
            </w:r>
          </w:p>
        </w:tc>
        <w:tc>
          <w:tcPr>
            <w:tcW w:w="100" w:type="dxa"/>
            <w:vAlign w:val="bottom"/>
          </w:tcPr>
          <w:p>
            <w:pPr>
              <w:spacing w:after="0"/>
              <w:rPr>
                <w:sz w:val="19"/>
                <w:szCs w:val="19"/>
                <w:color w:val="auto"/>
              </w:rPr>
            </w:pPr>
          </w:p>
        </w:tc>
      </w:tr>
      <w:tr>
        <w:trPr>
          <w:trHeight w:val="230"/>
        </w:trPr>
        <w:tc>
          <w:tcPr>
            <w:tcW w:w="4900" w:type="dxa"/>
            <w:vAlign w:val="bottom"/>
            <w:shd w:val="clear" w:color="auto" w:fill="E0E0E0"/>
          </w:tcPr>
          <w:p>
            <w:pPr>
              <w:spacing w:after="0"/>
              <w:rPr>
                <w:sz w:val="20"/>
                <w:szCs w:val="20"/>
                <w:color w:val="auto"/>
              </w:rPr>
            </w:pPr>
            <w:r>
              <w:rPr>
                <w:rFonts w:ascii="Arial" w:cs="Arial" w:eastAsia="Arial" w:hAnsi="Arial"/>
                <w:sz w:val="20"/>
                <w:szCs w:val="20"/>
                <w:color w:val="auto"/>
              </w:rPr>
              <w:t>2026</w:t>
            </w:r>
          </w:p>
        </w:tc>
        <w:tc>
          <w:tcPr>
            <w:tcW w:w="398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5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11,521</w:t>
            </w:r>
          </w:p>
        </w:tc>
        <w:tc>
          <w:tcPr>
            <w:tcW w:w="100" w:type="dxa"/>
            <w:vAlign w:val="bottom"/>
            <w:shd w:val="clear" w:color="auto" w:fill="E0E0E0"/>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2027</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10,947</w:t>
            </w:r>
          </w:p>
        </w:tc>
        <w:tc>
          <w:tcPr>
            <w:tcW w:w="100" w:type="dxa"/>
            <w:vAlign w:val="bottom"/>
          </w:tcPr>
          <w:p>
            <w:pPr>
              <w:spacing w:after="0"/>
              <w:rPr>
                <w:sz w:val="19"/>
                <w:szCs w:val="19"/>
                <w:color w:val="auto"/>
              </w:rPr>
            </w:pPr>
          </w:p>
        </w:tc>
      </w:tr>
      <w:tr>
        <w:trPr>
          <w:trHeight w:val="230"/>
        </w:trPr>
        <w:tc>
          <w:tcPr>
            <w:tcW w:w="4900" w:type="dxa"/>
            <w:vAlign w:val="bottom"/>
            <w:shd w:val="clear" w:color="auto" w:fill="E0E0E0"/>
          </w:tcPr>
          <w:p>
            <w:pPr>
              <w:spacing w:after="0"/>
              <w:rPr>
                <w:sz w:val="20"/>
                <w:szCs w:val="20"/>
                <w:color w:val="auto"/>
              </w:rPr>
            </w:pPr>
            <w:r>
              <w:rPr>
                <w:rFonts w:ascii="Arial" w:cs="Arial" w:eastAsia="Arial" w:hAnsi="Arial"/>
                <w:sz w:val="20"/>
                <w:szCs w:val="20"/>
                <w:color w:val="auto"/>
              </w:rPr>
              <w:t>2028</w:t>
            </w:r>
          </w:p>
        </w:tc>
        <w:tc>
          <w:tcPr>
            <w:tcW w:w="398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5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10,598</w:t>
            </w:r>
          </w:p>
        </w:tc>
        <w:tc>
          <w:tcPr>
            <w:tcW w:w="100" w:type="dxa"/>
            <w:vAlign w:val="bottom"/>
            <w:shd w:val="clear" w:color="auto" w:fill="E0E0E0"/>
          </w:tcPr>
          <w:p>
            <w:pPr>
              <w:spacing w:after="0"/>
              <w:rPr>
                <w:sz w:val="19"/>
                <w:szCs w:val="19"/>
                <w:color w:val="auto"/>
              </w:rPr>
            </w:pPr>
          </w:p>
        </w:tc>
      </w:tr>
      <w:tr>
        <w:trPr>
          <w:trHeight w:val="230"/>
        </w:trPr>
        <w:tc>
          <w:tcPr>
            <w:tcW w:w="49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Thereafter</w:t>
            </w:r>
          </w:p>
        </w:tc>
        <w:tc>
          <w:tcPr>
            <w:tcW w:w="398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50,883</w:t>
            </w:r>
          </w:p>
        </w:tc>
        <w:tc>
          <w:tcPr>
            <w:tcW w:w="100" w:type="dxa"/>
            <w:vAlign w:val="bottom"/>
            <w:tcBorders>
              <w:bottom w:val="single" w:sz="8" w:color="E0E0E0"/>
            </w:tcBorders>
          </w:tcPr>
          <w:p>
            <w:pPr>
              <w:spacing w:after="0"/>
              <w:rPr>
                <w:sz w:val="19"/>
                <w:szCs w:val="19"/>
                <w:color w:val="auto"/>
              </w:rPr>
            </w:pPr>
          </w:p>
        </w:tc>
      </w:tr>
      <w:tr>
        <w:trPr>
          <w:trHeight w:val="220"/>
        </w:trPr>
        <w:tc>
          <w:tcPr>
            <w:tcW w:w="4900" w:type="dxa"/>
            <w:vAlign w:val="bottom"/>
            <w:shd w:val="clear" w:color="auto" w:fill="E0E0E0"/>
          </w:tcPr>
          <w:p>
            <w:pPr>
              <w:spacing w:after="0"/>
              <w:rPr>
                <w:sz w:val="19"/>
                <w:szCs w:val="19"/>
                <w:color w:val="auto"/>
              </w:rPr>
            </w:pPr>
          </w:p>
        </w:tc>
        <w:tc>
          <w:tcPr>
            <w:tcW w:w="3980" w:type="dxa"/>
            <w:vAlign w:val="bottom"/>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15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108,178</w:t>
            </w:r>
          </w:p>
        </w:tc>
        <w:tc>
          <w:tcPr>
            <w:tcW w:w="100" w:type="dxa"/>
            <w:vAlign w:val="bottom"/>
            <w:shd w:val="clear" w:color="auto" w:fill="E0E0E0"/>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20"/>
          </w:cols>
          <w:pgMar w:left="700" w:top="1156" w:right="720" w:bottom="186"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139</w:t>
      </w:r>
    </w:p>
    <w:p>
      <w:pPr>
        <w:sectPr>
          <w:pgSz w:w="12240" w:h="15840" w:orient="portrait"/>
          <w:cols w:equalWidth="0" w:num="1">
            <w:col w:w="10820"/>
          </w:cols>
          <w:pgMar w:left="700" w:top="1156" w:right="720" w:bottom="186" w:gutter="0" w:footer="0" w:header="0"/>
          <w:type w:val="continuous"/>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Note 10. Debt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96"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On July 29, 2021, the Company entered into a three-year senior secured Revolving Credit Facility with three banks for a total commitment of $50.0 million.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Revolving Credit Facility consists of ABR loans or Eurodollar Borrowings, at the Company’s option.</w:t>
      </w:r>
    </w:p>
    <w:p>
      <w:pPr>
        <w:spacing w:after="0" w:line="200" w:lineRule="exact"/>
        <w:rPr>
          <w:sz w:val="20"/>
          <w:szCs w:val="20"/>
          <w:color w:val="auto"/>
        </w:rPr>
      </w:pPr>
    </w:p>
    <w:p>
      <w:pPr>
        <w:ind w:right="240" w:firstLine="490"/>
        <w:spacing w:after="0" w:line="310" w:lineRule="auto"/>
        <w:rPr>
          <w:sz w:val="20"/>
          <w:szCs w:val="20"/>
          <w:color w:val="auto"/>
        </w:rPr>
      </w:pPr>
      <w:r>
        <w:rPr>
          <w:rFonts w:ascii="Arial" w:cs="Arial" w:eastAsia="Arial" w:hAnsi="Arial"/>
          <w:sz w:val="19"/>
          <w:szCs w:val="19"/>
          <w:color w:val="auto"/>
        </w:rPr>
        <w:t>On June 23, 2023, the Company executed the First Amendment to the Revolving Credit Facility to transition determination of the interest rate from the LIBOR benchmark rate to the SOFR benchmark rate effective June 30, 2023.</w:t>
      </w:r>
    </w:p>
    <w:p>
      <w:pPr>
        <w:spacing w:after="0" w:line="9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In accordance with the First Amendment, ABR loans bear interest at the ABR plus the applicable rate. Eurodollar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the Company’s liquidity as of the most recent consolidated financial information and ranges from 0.75% to 2.25%.</w:t>
      </w:r>
    </w:p>
    <w:p>
      <w:pPr>
        <w:spacing w:after="0" w:line="153"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Prior to the First Amendment, ABR loans bore interest at the ABR plus the applicable rate. Eurodollar Borrowings bore interest at the Adjusted LIBOR for the interest period plus the applicable rate. The ABR rate was based on the greatest of (a) the Prime Rate, (b) the Federal Funds Effective Rate plus 1/2 of 1%, or (c) the Adjusted LIBOR for a one month interest period, plus 1%. The adjusted LIBOR was based on (x) the LIBOR for such interest period, multiplied by (y) the Statutory Reserve Rate. The applicable rate was based upon the Company’s liquidity as of the most recent consolidated financial information and ranged from 0.75% to 2.25%.</w:t>
      </w:r>
    </w:p>
    <w:p>
      <w:pPr>
        <w:spacing w:after="0" w:line="154"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auto"/>
        </w:rPr>
        <w:t>The Revolving Credit Facility incurs a commitment fee ranging from 0.25% to 0.35% based upon the Company’s liquidity as of the most recent consolidated financial information assessed on the average undrawn portion of the available commitment.</w:t>
      </w:r>
    </w:p>
    <w:p>
      <w:pPr>
        <w:spacing w:after="0" w:line="140"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December 31, 2023 and 2022.</w:t>
      </w:r>
    </w:p>
    <w:p>
      <w:pPr>
        <w:spacing w:after="0" w:line="157"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On July 29, 2021, the Company drew $25.9 million on the Revolving Credit Facility and used the proceeds to prepay its then existing LSA of $25.0 million. One of the lenders in the Revolving Credit Facility was the existing debt holder under the LSA entered into in 2018 and amended in 2020. In connection with the transaction, the Company incurred $0.3 million in debt issuance costs and $0.1 million in debt discount.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entering into the Revolving Credit Facility, debt issuance costs and debt discounts relate to the LSA were amortized to interest expense using the effective interest method over the repayment term of the debt and were presented as an offset to the outstanding debt balance on the consolidated balance sheets. Upon the execution of the Revolving Credit Facility, debt issuance costs and debt discount are amortized on a straight-line basis over the contractual term of the agreement and are presented as a component of other assets on the Company's consolidated balance sheets.</w:t>
      </w:r>
    </w:p>
    <w:p>
      <w:pPr>
        <w:spacing w:after="0" w:line="166" w:lineRule="exact"/>
        <w:rPr>
          <w:sz w:val="20"/>
          <w:szCs w:val="20"/>
          <w:color w:val="auto"/>
        </w:rPr>
      </w:pPr>
    </w:p>
    <w:p>
      <w:pPr>
        <w:ind w:right="740" w:firstLine="490"/>
        <w:spacing w:after="0" w:line="310" w:lineRule="auto"/>
        <w:rPr>
          <w:sz w:val="20"/>
          <w:szCs w:val="20"/>
          <w:color w:val="auto"/>
        </w:rPr>
      </w:pPr>
      <w:r>
        <w:rPr>
          <w:rFonts w:ascii="Arial" w:cs="Arial" w:eastAsia="Arial" w:hAnsi="Arial"/>
          <w:sz w:val="19"/>
          <w:szCs w:val="19"/>
          <w:color w:val="auto"/>
        </w:rPr>
        <w:t>On October 28, 2022, the Company repaid the $25.9 million outstanding under the Revolving Credit Facility. Following the repayment, the Company continued to have access to a total commitment of $50.0 million under the</w:t>
      </w:r>
    </w:p>
    <w:p>
      <w:pPr>
        <w:sectPr>
          <w:pgSz w:w="12240" w:h="15840" w:orient="portrait"/>
          <w:cols w:equalWidth="0" w:num="1">
            <w:col w:w="10800"/>
          </w:cols>
          <w:pgMar w:left="720" w:top="1156" w:right="720" w:bottom="186"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2240" w:h="15840" w:orient="portrait"/>
          <w:cols w:equalWidth="0" w:num="1">
            <w:col w:w="10800"/>
          </w:cols>
          <w:pgMar w:left="720" w:top="1156" w:right="720" w:bottom="186" w:gutter="0" w:footer="0" w:header="0"/>
          <w:type w:val="continuous"/>
        </w:sectPr>
      </w:pPr>
    </w:p>
    <w:bookmarkStart w:id="142" w:name="page143"/>
    <w:bookmarkEnd w:id="142"/>
    <w:p>
      <w:pPr>
        <w:ind w:right="880"/>
        <w:spacing w:after="0" w:line="282" w:lineRule="auto"/>
        <w:rPr>
          <w:sz w:val="20"/>
          <w:szCs w:val="20"/>
          <w:color w:val="auto"/>
        </w:rPr>
      </w:pPr>
      <w:r>
        <w:rPr>
          <w:rFonts w:ascii="Arial" w:cs="Arial" w:eastAsia="Arial" w:hAnsi="Arial"/>
          <w:sz w:val="20"/>
          <w:szCs w:val="20"/>
          <w:color w:val="auto"/>
        </w:rPr>
        <w:t>Revolving Credit Facility. As of December 31, 2023 and 2022, there was no outstanding indebtedness under the Revolving Credit Facility.</w:t>
      </w:r>
    </w:p>
    <w:p>
      <w:pPr>
        <w:spacing w:after="0" w:line="120"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auto"/>
        </w:rPr>
        <w:t>Interest expense for the years ended December 31, 2023, 2022 and 2021 was $0.4 million, $1.2 million and $2.0 million, respectively. Included in interest expense for the years ended December 31, 2023, 2022 and 2021 is $0.3 million, $0.3 million and $0.3 million of amortization of debt issuance cost and debt discount,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 and Security Agreement</w:t>
      </w:r>
    </w:p>
    <w:p>
      <w:pPr>
        <w:spacing w:after="0" w:line="196"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auto"/>
        </w:rPr>
        <w:t>On January 16, 2018, the Company entered into the LSA with a financial institution for a $25.0 million loan with interest at a rate of 8.5% per annum. The LSA maturity date was January 22, 2022. The Company incurred debt issuance costs of $0.2 million in connection with the issuance of the LSA, which were amortized to interest expense, using the effective interest method, over the term of the loan.</w:t>
      </w:r>
    </w:p>
    <w:p>
      <w:pPr>
        <w:spacing w:after="0" w:line="146" w:lineRule="exact"/>
        <w:rPr>
          <w:sz w:val="20"/>
          <w:szCs w:val="20"/>
          <w:color w:val="auto"/>
        </w:rPr>
      </w:pPr>
    </w:p>
    <w:p>
      <w:pPr>
        <w:jc w:val="both"/>
        <w:ind w:right="100" w:firstLine="490"/>
        <w:spacing w:after="0" w:line="249" w:lineRule="auto"/>
        <w:rPr>
          <w:sz w:val="20"/>
          <w:szCs w:val="20"/>
          <w:color w:val="auto"/>
        </w:rPr>
      </w:pPr>
      <w:r>
        <w:rPr>
          <w:rFonts w:ascii="Arial" w:cs="Arial" w:eastAsia="Arial" w:hAnsi="Arial"/>
          <w:sz w:val="20"/>
          <w:szCs w:val="20"/>
          <w:color w:val="auto"/>
        </w:rPr>
        <w:t>On May 18, 2020, the Company entered into an amendment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w:t>
      </w:r>
    </w:p>
    <w:p>
      <w:pPr>
        <w:ind w:right="120"/>
        <w:spacing w:after="0" w:line="245" w:lineRule="auto"/>
        <w:tabs>
          <w:tab w:leader="none" w:pos="233" w:val="left"/>
        </w:tabs>
        <w:numPr>
          <w:ilvl w:val="0"/>
          <w:numId w:val="59"/>
        </w:numPr>
        <w:rPr>
          <w:rFonts w:ascii="Arial" w:cs="Arial" w:eastAsia="Arial" w:hAnsi="Arial"/>
          <w:sz w:val="20"/>
          <w:szCs w:val="20"/>
          <w:color w:val="auto"/>
        </w:rPr>
      </w:pPr>
      <w:r>
        <w:rPr>
          <w:rFonts w:ascii="Arial" w:cs="Arial" w:eastAsia="Arial" w:hAnsi="Arial"/>
          <w:sz w:val="20"/>
          <w:szCs w:val="20"/>
          <w:color w:val="auto"/>
        </w:rPr>
        <w:t>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155" w:lineRule="exact"/>
        <w:rPr>
          <w:sz w:val="20"/>
          <w:szCs w:val="20"/>
          <w:color w:val="auto"/>
        </w:rPr>
      </w:pPr>
    </w:p>
    <w:p>
      <w:pPr>
        <w:ind w:right="100" w:firstLine="490"/>
        <w:spacing w:after="0" w:line="310" w:lineRule="auto"/>
        <w:rPr>
          <w:sz w:val="20"/>
          <w:szCs w:val="20"/>
          <w:color w:val="auto"/>
        </w:rPr>
      </w:pPr>
      <w:r>
        <w:rPr>
          <w:rFonts w:ascii="Arial" w:cs="Arial" w:eastAsia="Arial" w:hAnsi="Arial"/>
          <w:sz w:val="19"/>
          <w:szCs w:val="19"/>
          <w:color w:val="auto"/>
        </w:rPr>
        <w:t>On July 29, 2021, the Company drew $25.9 million on its Revolving Credit Facility and used the proceeds to prepay the $25.0 million LSA. In connection with the transaction, the Company incurred $0.4 million of prepayment costs.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Letter of Credit</w:t>
      </w:r>
    </w:p>
    <w:p>
      <w:pPr>
        <w:spacing w:after="0" w:line="196" w:lineRule="exact"/>
        <w:rPr>
          <w:sz w:val="20"/>
          <w:szCs w:val="20"/>
          <w:color w:val="auto"/>
        </w:rPr>
      </w:pPr>
    </w:p>
    <w:p>
      <w:pPr>
        <w:jc w:val="both"/>
        <w:ind w:right="80" w:firstLine="490"/>
        <w:spacing w:after="0" w:line="261" w:lineRule="auto"/>
        <w:rPr>
          <w:sz w:val="20"/>
          <w:szCs w:val="20"/>
          <w:color w:val="auto"/>
        </w:rPr>
      </w:pPr>
      <w:r>
        <w:rPr>
          <w:rFonts w:ascii="Arial" w:cs="Arial" w:eastAsia="Arial" w:hAnsi="Arial"/>
          <w:sz w:val="20"/>
          <w:szCs w:val="20"/>
          <w:color w:val="auto"/>
        </w:rPr>
        <w:t>In addition to the unused letter of credit under the Revolving Credit Facility, as of December 31, 2023, the Company had an outstanding and unused letter of credit in the amount of approximately $0.7 million for the purpose of protecting a third-party service provider against default on payroll payments. The letter of credit expires upon notice.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Stockholders’ Equity (Deficit)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196" w:lineRule="exact"/>
        <w:rPr>
          <w:sz w:val="20"/>
          <w:szCs w:val="20"/>
          <w:color w:val="auto"/>
        </w:rPr>
      </w:pPr>
    </w:p>
    <w:p>
      <w:pPr>
        <w:ind w:firstLine="490"/>
        <w:spacing w:after="0" w:line="281" w:lineRule="auto"/>
        <w:rPr>
          <w:sz w:val="20"/>
          <w:szCs w:val="20"/>
          <w:color w:val="auto"/>
        </w:rPr>
      </w:pPr>
      <w:r>
        <w:rPr>
          <w:rFonts w:ascii="Arial" w:cs="Arial" w:eastAsia="Arial" w:hAnsi="Arial"/>
          <w:sz w:val="19"/>
          <w:szCs w:val="19"/>
          <w:color w:val="auto"/>
        </w:rPr>
        <w:t>In connection with the IPO, the Company’s current amended and restated certificate of incorporation became effective, which authorizes the issuance of 10,000,000 shares of undesignated preferred stock with a par value of $0.0001 per share with rights and preferences, including voting rights, designated from time to time by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w:t>
      </w:r>
    </w:p>
    <w:p>
      <w:pPr>
        <w:spacing w:after="0" w:line="19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auto"/>
        </w:rPr>
        <w:t>In connection with the IPO, 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 As of December 31, 2023 and 2022, no cash dividends have been declared or paid.</w:t>
      </w:r>
    </w:p>
    <w:p>
      <w:pPr>
        <w:spacing w:after="0" w:line="154"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w:t>
      </w:r>
    </w:p>
    <w:p>
      <w:pPr>
        <w:sectPr>
          <w:pgSz w:w="12240" w:h="15840" w:orient="portrait"/>
          <w:cols w:equalWidth="0" w:num="1">
            <w:col w:w="10780"/>
          </w:cols>
          <w:pgMar w:left="720" w:top="1160"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141</w:t>
      </w:r>
    </w:p>
    <w:p>
      <w:pPr>
        <w:sectPr>
          <w:pgSz w:w="12240" w:h="15840" w:orient="portrait"/>
          <w:cols w:equalWidth="0" w:num="1">
            <w:col w:w="10780"/>
          </w:cols>
          <w:pgMar w:left="720" w:top="1160" w:right="740" w:bottom="186" w:gutter="0" w:footer="0" w:header="0"/>
          <w:type w:val="continuous"/>
        </w:sectPr>
      </w:pPr>
    </w:p>
    <w:bookmarkStart w:id="143" w:name="page144"/>
    <w:bookmarkEnd w:id="143"/>
    <w:p>
      <w:pPr>
        <w:ind w:right="600"/>
        <w:spacing w:after="0" w:line="282" w:lineRule="auto"/>
        <w:rPr>
          <w:sz w:val="20"/>
          <w:szCs w:val="20"/>
          <w:color w:val="auto"/>
        </w:rPr>
      </w:pPr>
      <w:r>
        <w:rPr>
          <w:rFonts w:ascii="Arial" w:cs="Arial" w:eastAsia="Arial" w:hAnsi="Arial"/>
          <w:sz w:val="20"/>
          <w:szCs w:val="20"/>
          <w:color w:val="auto"/>
        </w:rPr>
        <w:t>transferred by the holder. Other than in the event of such transfers, shares of non-voting common stock shall not be convertible into any other security.</w:t>
      </w:r>
    </w:p>
    <w:p>
      <w:pPr>
        <w:spacing w:after="0" w:line="120" w:lineRule="exact"/>
        <w:rPr>
          <w:sz w:val="20"/>
          <w:szCs w:val="20"/>
          <w:color w:val="auto"/>
        </w:rPr>
      </w:pPr>
    </w:p>
    <w:p>
      <w:pPr>
        <w:ind w:right="920" w:firstLine="490"/>
        <w:spacing w:after="0" w:line="282" w:lineRule="auto"/>
        <w:rPr>
          <w:sz w:val="20"/>
          <w:szCs w:val="20"/>
          <w:color w:val="auto"/>
        </w:rPr>
      </w:pPr>
      <w:r>
        <w:rPr>
          <w:rFonts w:ascii="Arial" w:cs="Arial" w:eastAsia="Arial" w:hAnsi="Arial"/>
          <w:sz w:val="20"/>
          <w:szCs w:val="20"/>
          <w:color w:val="auto"/>
        </w:rPr>
        <w:t>During the year ended December 31, 2022, 4,115,058 shares of the Company's non-voting common stock converted into shares of common stock on a one-to-one basis upon the sale of such shares.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Treasury Stock</w:t>
      </w:r>
    </w:p>
    <w:p>
      <w:pPr>
        <w:spacing w:after="0" w:line="196"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Company may issue treasury stock to cover the exercise of stock options and vesting of restricted stock units related to equity incentive plans. The Company issued 2,677 treasury shares at an average cost of $0.32 per share during the year ended December 31, 2023. No treasury shares were issued during the year ended December 31, 2022. The Company intends to issue treasury shares as long as an adequate number of those shares is available.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Follow-On Public Offering</w:t>
      </w:r>
    </w:p>
    <w:p>
      <w:pPr>
        <w:spacing w:after="0" w:line="196" w:lineRule="exact"/>
        <w:rPr>
          <w:sz w:val="20"/>
          <w:szCs w:val="20"/>
          <w:color w:val="auto"/>
        </w:rPr>
      </w:pPr>
    </w:p>
    <w:p>
      <w:pPr>
        <w:ind w:right="200" w:firstLine="490"/>
        <w:spacing w:after="0" w:line="250" w:lineRule="auto"/>
        <w:rPr>
          <w:sz w:val="20"/>
          <w:szCs w:val="20"/>
          <w:color w:val="auto"/>
        </w:rPr>
      </w:pPr>
      <w:r>
        <w:rPr>
          <w:rFonts w:ascii="Arial" w:cs="Arial" w:eastAsia="Arial" w:hAnsi="Arial"/>
          <w:sz w:val="20"/>
          <w:szCs w:val="20"/>
          <w:color w:val="auto"/>
        </w:rPr>
        <w:t>On August 14, 2023, the Company sold 8,000,000 shares of its voting common stock and on September 12, 2023, the Underwriters exercised the Underwriters’ Option in part and purchased an additional 500,000 shares of the Company's voting common stock, in each instance at a price to the public of $32.00 per share. The Company raised aggregate proceeds of $260.1 million, net of underwriter discounts and commissions of $10.9 million and other issuance costs of $1.1 million.</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As of December 31, 2023, the Company had reserved shares of common stock for future issuance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shd w:val="clear" w:color="auto" w:fill="E0E0E0"/>
          </w:tcPr>
          <w:p>
            <w:pPr>
              <w:spacing w:after="0"/>
              <w:rPr>
                <w:sz w:val="20"/>
                <w:szCs w:val="20"/>
                <w:color w:val="auto"/>
              </w:rPr>
            </w:pPr>
            <w:r>
              <w:rPr>
                <w:rFonts w:ascii="Arial" w:cs="Arial" w:eastAsia="Arial" w:hAnsi="Arial"/>
                <w:sz w:val="20"/>
                <w:szCs w:val="20"/>
                <w:color w:val="auto"/>
              </w:rPr>
              <w:t>Issued and outstanding stock options</w:t>
            </w:r>
          </w:p>
        </w:tc>
        <w:tc>
          <w:tcPr>
            <w:tcW w:w="34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8,107,861</w:t>
            </w:r>
          </w:p>
        </w:tc>
        <w:tc>
          <w:tcPr>
            <w:tcW w:w="100" w:type="dxa"/>
            <w:vAlign w:val="bottom"/>
            <w:shd w:val="clear" w:color="auto" w:fill="E0E0E0"/>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Issued and outstanding restricted stock units</w:t>
            </w:r>
          </w:p>
        </w:tc>
        <w:tc>
          <w:tcPr>
            <w:tcW w:w="3440" w:type="dxa"/>
            <w:vAlign w:val="bottom"/>
          </w:tcPr>
          <w:p>
            <w:pPr>
              <w:jc w:val="right"/>
              <w:spacing w:after="0"/>
              <w:rPr>
                <w:sz w:val="20"/>
                <w:szCs w:val="20"/>
                <w:color w:val="auto"/>
              </w:rPr>
            </w:pPr>
            <w:r>
              <w:rPr>
                <w:rFonts w:ascii="Arial" w:cs="Arial" w:eastAsia="Arial" w:hAnsi="Arial"/>
                <w:sz w:val="20"/>
                <w:szCs w:val="20"/>
                <w:color w:val="auto"/>
              </w:rPr>
              <w:t>4,430,725</w:t>
            </w:r>
          </w:p>
        </w:tc>
        <w:tc>
          <w:tcPr>
            <w:tcW w:w="100" w:type="dxa"/>
            <w:vAlign w:val="bottom"/>
          </w:tcPr>
          <w:p>
            <w:pPr>
              <w:spacing w:after="0"/>
              <w:rPr>
                <w:sz w:val="19"/>
                <w:szCs w:val="19"/>
                <w:color w:val="auto"/>
              </w:rPr>
            </w:pPr>
          </w:p>
        </w:tc>
      </w:tr>
      <w:tr>
        <w:trPr>
          <w:trHeight w:val="230"/>
        </w:trPr>
        <w:tc>
          <w:tcPr>
            <w:tcW w:w="7260" w:type="dxa"/>
            <w:vAlign w:val="bottom"/>
            <w:shd w:val="clear" w:color="auto" w:fill="E0E0E0"/>
          </w:tcPr>
          <w:p>
            <w:pPr>
              <w:spacing w:after="0"/>
              <w:rPr>
                <w:sz w:val="20"/>
                <w:szCs w:val="20"/>
                <w:color w:val="auto"/>
              </w:rPr>
            </w:pPr>
            <w:r>
              <w:rPr>
                <w:rFonts w:ascii="Arial" w:cs="Arial" w:eastAsia="Arial" w:hAnsi="Arial"/>
                <w:sz w:val="20"/>
                <w:szCs w:val="20"/>
                <w:color w:val="auto"/>
              </w:rPr>
              <w:t>Available for issuance under the 2021 Equity Incentive Plan</w:t>
            </w:r>
          </w:p>
        </w:tc>
        <w:tc>
          <w:tcPr>
            <w:tcW w:w="34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14,846,817</w:t>
            </w:r>
          </w:p>
        </w:tc>
        <w:tc>
          <w:tcPr>
            <w:tcW w:w="100" w:type="dxa"/>
            <w:vAlign w:val="bottom"/>
            <w:shd w:val="clear" w:color="auto" w:fill="E0E0E0"/>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Available for issuance under Employee Stock Purchase Plan</w:t>
            </w:r>
          </w:p>
        </w:tc>
        <w:tc>
          <w:tcPr>
            <w:tcW w:w="3440" w:type="dxa"/>
            <w:vAlign w:val="bottom"/>
          </w:tcPr>
          <w:p>
            <w:pPr>
              <w:jc w:val="right"/>
              <w:spacing w:after="0"/>
              <w:rPr>
                <w:sz w:val="20"/>
                <w:szCs w:val="20"/>
                <w:color w:val="auto"/>
              </w:rPr>
            </w:pPr>
            <w:r>
              <w:rPr>
                <w:rFonts w:ascii="Arial" w:cs="Arial" w:eastAsia="Arial" w:hAnsi="Arial"/>
                <w:sz w:val="20"/>
                <w:szCs w:val="20"/>
                <w:color w:val="auto"/>
              </w:rPr>
              <w:t>3,856,785</w:t>
            </w:r>
          </w:p>
        </w:tc>
        <w:tc>
          <w:tcPr>
            <w:tcW w:w="100" w:type="dxa"/>
            <w:vAlign w:val="bottom"/>
          </w:tcPr>
          <w:p>
            <w:pPr>
              <w:spacing w:after="0"/>
              <w:rPr>
                <w:sz w:val="19"/>
                <w:szCs w:val="19"/>
                <w:color w:val="auto"/>
              </w:rPr>
            </w:pPr>
          </w:p>
        </w:tc>
      </w:tr>
      <w:tr>
        <w:trPr>
          <w:trHeight w:val="230"/>
        </w:trPr>
        <w:tc>
          <w:tcPr>
            <w:tcW w:w="7260" w:type="dxa"/>
            <w:vAlign w:val="bottom"/>
            <w:shd w:val="clear" w:color="auto" w:fill="E0E0E0"/>
          </w:tcPr>
          <w:p>
            <w:pPr>
              <w:spacing w:after="0"/>
              <w:rPr>
                <w:sz w:val="20"/>
                <w:szCs w:val="20"/>
                <w:color w:val="auto"/>
              </w:rPr>
            </w:pPr>
            <w:r>
              <w:rPr>
                <w:rFonts w:ascii="Arial" w:cs="Arial" w:eastAsia="Arial" w:hAnsi="Arial"/>
                <w:sz w:val="20"/>
                <w:szCs w:val="20"/>
                <w:color w:val="auto"/>
              </w:rPr>
              <w:t>Committed to Settling Earn-out Liabilities</w:t>
            </w:r>
          </w:p>
        </w:tc>
        <w:tc>
          <w:tcPr>
            <w:tcW w:w="34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98,162</w:t>
            </w:r>
          </w:p>
        </w:tc>
        <w:tc>
          <w:tcPr>
            <w:tcW w:w="100" w:type="dxa"/>
            <w:vAlign w:val="bottom"/>
            <w:shd w:val="clear" w:color="auto" w:fill="E0E0E0"/>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Available for conversion of non-voting common stock</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1,873,320</w:t>
            </w:r>
          </w:p>
        </w:tc>
        <w:tc>
          <w:tcPr>
            <w:tcW w:w="100" w:type="dxa"/>
            <w:vAlign w:val="bottom"/>
          </w:tcPr>
          <w:p>
            <w:pPr>
              <w:spacing w:after="0"/>
              <w:rPr>
                <w:sz w:val="19"/>
                <w:szCs w:val="19"/>
                <w:color w:val="auto"/>
              </w:rPr>
            </w:pPr>
          </w:p>
        </w:tc>
      </w:tr>
      <w:tr>
        <w:trPr>
          <w:trHeight w:val="220"/>
        </w:trPr>
        <w:tc>
          <w:tcPr>
            <w:tcW w:w="7260" w:type="dxa"/>
            <w:vAlign w:val="bottom"/>
          </w:tcPr>
          <w:p>
            <w:pPr>
              <w:spacing w:after="0"/>
              <w:rPr>
                <w:sz w:val="19"/>
                <w:szCs w:val="19"/>
                <w:color w:val="auto"/>
              </w:rPr>
            </w:pPr>
          </w:p>
        </w:tc>
        <w:tc>
          <w:tcPr>
            <w:tcW w:w="34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33,213,670</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Incentive Plan</w:t>
      </w:r>
    </w:p>
    <w:p>
      <w:pPr>
        <w:spacing w:after="0" w:line="196" w:lineRule="exact"/>
        <w:rPr>
          <w:sz w:val="20"/>
          <w:szCs w:val="20"/>
          <w:color w:val="auto"/>
        </w:rPr>
      </w:pPr>
    </w:p>
    <w:p>
      <w:pPr>
        <w:ind w:right="540" w:firstLine="490"/>
        <w:spacing w:after="0" w:line="282" w:lineRule="auto"/>
        <w:rPr>
          <w:sz w:val="20"/>
          <w:szCs w:val="20"/>
          <w:color w:val="auto"/>
        </w:rPr>
      </w:pPr>
      <w:r>
        <w:rPr>
          <w:rFonts w:ascii="Arial" w:cs="Arial" w:eastAsia="Arial" w:hAnsi="Arial"/>
          <w:sz w:val="20"/>
          <w:szCs w:val="20"/>
          <w:color w:val="auto"/>
        </w:rPr>
        <w:t>In April 2021, the Company’s board of directors adopted, and in May 2021 its stockholders approved, the 2021 Equity Incentive Plan (the 2021 Plan), which became effective on May 28, 2021.</w:t>
      </w:r>
    </w:p>
    <w:p>
      <w:pPr>
        <w:spacing w:after="0" w:line="120"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54"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19,988,330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53" w:lineRule="exact"/>
        <w:rPr>
          <w:sz w:val="20"/>
          <w:szCs w:val="20"/>
          <w:color w:val="auto"/>
        </w:rPr>
      </w:pPr>
    </w:p>
    <w:p>
      <w:pPr>
        <w:ind w:right="320" w:firstLine="490"/>
        <w:spacing w:after="0" w:line="282" w:lineRule="auto"/>
        <w:rPr>
          <w:sz w:val="20"/>
          <w:szCs w:val="20"/>
          <w:color w:val="auto"/>
        </w:rPr>
      </w:pPr>
      <w:r>
        <w:rPr>
          <w:rFonts w:ascii="Arial" w:cs="Arial" w:eastAsia="Arial" w:hAnsi="Arial"/>
          <w:sz w:val="20"/>
          <w:szCs w:val="20"/>
          <w:color w:val="auto"/>
        </w:rPr>
        <w:t>As of December 31, 2023, a total of 14,846,817 shares of the Company's common stock were available for future issuance under the 2021 Plan.</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ectPr>
          <w:pgSz w:w="12240" w:h="15840" w:orient="portrait"/>
          <w:cols w:equalWidth="0" w:num="1">
            <w:col w:w="10800"/>
          </w:cols>
          <w:pgMar w:left="720" w:top="1160" w:right="720" w:bottom="186" w:gutter="0" w:footer="0" w:header="0"/>
          <w:type w:val="continuous"/>
        </w:sectPr>
      </w:pPr>
    </w:p>
    <w:bookmarkStart w:id="144" w:name="page145"/>
    <w:bookmarkEnd w:id="144"/>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96"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the stock option activity since December 31,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center"/>
              <w:ind w:right="48"/>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Remaining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0"/>
              <w:spacing w:after="0"/>
              <w:rPr>
                <w:sz w:val="20"/>
                <w:szCs w:val="20"/>
                <w:color w:val="auto"/>
              </w:rPr>
            </w:pPr>
            <w:r>
              <w:rPr>
                <w:rFonts w:ascii="Arial" w:cs="Arial" w:eastAsia="Arial" w:hAnsi="Arial"/>
                <w:sz w:val="16"/>
                <w:szCs w:val="16"/>
                <w:b w:val="1"/>
                <w:bCs w:val="1"/>
                <w:color w:val="auto"/>
                <w:w w:val="99"/>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5"/>
                <w:szCs w:val="15"/>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Contractual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6"/>
                <w:szCs w:val="16"/>
                <w:b w:val="1"/>
                <w:bCs w:val="1"/>
                <w:color w:val="auto"/>
              </w:rPr>
              <w:t>Price Per</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0"/>
              <w:spacing w:after="0"/>
              <w:rPr>
                <w:sz w:val="20"/>
                <w:szCs w:val="20"/>
                <w:color w:val="auto"/>
              </w:rPr>
            </w:pPr>
            <w:r>
              <w:rPr>
                <w:rFonts w:ascii="Arial" w:cs="Arial" w:eastAsia="Arial" w:hAnsi="Arial"/>
                <w:sz w:val="16"/>
                <w:szCs w:val="16"/>
                <w:b w:val="1"/>
                <w:bCs w:val="1"/>
                <w:color w:val="auto"/>
              </w:rPr>
              <w:t>(In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48"/>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4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2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Outstanding as of December 31, 2022</w:t>
            </w: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12,160,560</w:t>
            </w: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6.25</w:t>
            </w:r>
          </w:p>
        </w:tc>
        <w:tc>
          <w:tcPr>
            <w:tcW w:w="20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6.39</w:t>
            </w:r>
          </w:p>
        </w:tc>
        <w:tc>
          <w:tcPr>
            <w:tcW w:w="24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9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229,349</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20"/>
                <w:szCs w:val="20"/>
                <w:color w:val="auto"/>
              </w:rPr>
              <w:t>Granted</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E0E0E0"/>
          </w:tcPr>
          <w:p>
            <w:pPr>
              <w:spacing w:after="0"/>
              <w:rPr>
                <w:sz w:val="20"/>
                <w:szCs w:val="20"/>
                <w:color w:val="auto"/>
              </w:rPr>
            </w:pPr>
            <w:r>
              <w:rPr>
                <w:rFonts w:ascii="Arial" w:cs="Arial" w:eastAsia="Arial" w:hAnsi="Arial"/>
                <w:sz w:val="20"/>
                <w:szCs w:val="20"/>
                <w:color w:val="auto"/>
              </w:rPr>
              <w:t>Exercised</w:t>
            </w:r>
          </w:p>
        </w:tc>
        <w:tc>
          <w:tcPr>
            <w:tcW w:w="130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(3,797,612)</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3.37</w:t>
            </w:r>
          </w:p>
        </w:tc>
        <w:tc>
          <w:tcPr>
            <w:tcW w:w="2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20"/>
                <w:szCs w:val="20"/>
                <w:color w:val="auto"/>
              </w:rPr>
              <w:t>Cancelled</w:t>
            </w:r>
          </w:p>
        </w:tc>
        <w:tc>
          <w:tcPr>
            <w:tcW w:w="1300" w:type="dxa"/>
            <w:vAlign w:val="bottom"/>
            <w:gridSpan w:val="2"/>
          </w:tcPr>
          <w:p>
            <w:pPr>
              <w:jc w:val="right"/>
              <w:ind w:right="80"/>
              <w:spacing w:after="0"/>
              <w:rPr>
                <w:sz w:val="20"/>
                <w:szCs w:val="20"/>
                <w:color w:val="auto"/>
              </w:rPr>
            </w:pPr>
            <w:r>
              <w:rPr>
                <w:rFonts w:ascii="Arial" w:cs="Arial" w:eastAsia="Arial" w:hAnsi="Arial"/>
                <w:sz w:val="20"/>
                <w:szCs w:val="20"/>
                <w:color w:val="auto"/>
              </w:rPr>
              <w:t>(255,087)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20.41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Outstanding as of December 31, 2023</w:t>
            </w:r>
          </w:p>
        </w:tc>
        <w:tc>
          <w:tcPr>
            <w:tcW w:w="11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8,107,861</w:t>
            </w: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7.17</w:t>
            </w:r>
          </w:p>
        </w:tc>
        <w:tc>
          <w:tcPr>
            <w:tcW w:w="20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5.69</w:t>
            </w:r>
          </w:p>
        </w:tc>
        <w:tc>
          <w:tcPr>
            <w:tcW w:w="24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9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136,975</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20"/>
                <w:szCs w:val="20"/>
                <w:color w:val="auto"/>
              </w:rPr>
              <w:t>Exercisable as of December 31, 2023</w:t>
            </w: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20" w:type="dxa"/>
            <w:vAlign w:val="bottom"/>
            <w:vMerge w:val="continue"/>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6,585,645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Arial" w:cs="Arial" w:eastAsia="Arial" w:hAnsi="Arial"/>
                <w:sz w:val="20"/>
                <w:szCs w:val="20"/>
                <w:color w:val="auto"/>
              </w:rPr>
              <w:t>5.84</w:t>
            </w:r>
          </w:p>
        </w:tc>
        <w:tc>
          <w:tcPr>
            <w:tcW w:w="200" w:type="dxa"/>
            <w:vAlign w:val="bottom"/>
            <w:vMerge w:val="continue"/>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5.34</w:t>
            </w:r>
          </w:p>
        </w:tc>
        <w:tc>
          <w:tcPr>
            <w:tcW w:w="240" w:type="dxa"/>
            <w:vAlign w:val="bottom"/>
            <w:vMerge w:val="continue"/>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15" w:lineRule="exact"/>
              <w:rPr>
                <w:sz w:val="20"/>
                <w:szCs w:val="20"/>
                <w:color w:val="auto"/>
              </w:rPr>
            </w:pPr>
            <w:r>
              <w:rPr>
                <w:rFonts w:ascii="Arial" w:cs="Arial" w:eastAsia="Arial" w:hAnsi="Arial"/>
                <w:sz w:val="20"/>
                <w:szCs w:val="20"/>
                <w:color w:val="auto"/>
              </w:rPr>
              <w:t>118,100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E0E0E0"/>
          </w:tcPr>
          <w:p>
            <w:pPr>
              <w:spacing w:after="0"/>
              <w:rPr>
                <w:sz w:val="20"/>
                <w:szCs w:val="20"/>
                <w:color w:val="auto"/>
              </w:rPr>
            </w:pPr>
            <w:r>
              <w:rPr>
                <w:rFonts w:ascii="Arial" w:cs="Arial" w:eastAsia="Arial" w:hAnsi="Arial"/>
                <w:sz w:val="20"/>
                <w:szCs w:val="20"/>
                <w:color w:val="auto"/>
              </w:rPr>
              <w:t>Vested or expected to vest as of December 31, 2023</w:t>
            </w: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1,462,943</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12.83</w:t>
            </w:r>
          </w:p>
        </w:tc>
        <w:tc>
          <w:tcPr>
            <w:tcW w:w="13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7.19</w:t>
            </w:r>
          </w:p>
        </w:tc>
        <w:tc>
          <w:tcPr>
            <w:tcW w:w="3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18,217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The aggregate intrinsic value was calculated as the difference between exercise price of the underlying awards and the closing price of the Company’s common stock at December 31, 2023. The aggregate intrinsic value of stock options exercised during the years ended December 31, 2023, 2022 and 2021 was $89.8 million, $56.1 million and $217.7 million, respectively.</w:t>
      </w:r>
    </w:p>
    <w:p>
      <w:pPr>
        <w:spacing w:after="0" w:line="146" w:lineRule="exact"/>
        <w:rPr>
          <w:sz w:val="20"/>
          <w:szCs w:val="20"/>
          <w:color w:val="auto"/>
        </w:rPr>
      </w:pPr>
    </w:p>
    <w:p>
      <w:pPr>
        <w:ind w:right="180" w:firstLine="490"/>
        <w:spacing w:after="0" w:line="261" w:lineRule="auto"/>
        <w:rPr>
          <w:sz w:val="20"/>
          <w:szCs w:val="20"/>
          <w:color w:val="auto"/>
        </w:rPr>
      </w:pPr>
      <w:r>
        <w:rPr>
          <w:rFonts w:ascii="Arial" w:cs="Arial" w:eastAsia="Arial" w:hAnsi="Arial"/>
          <w:sz w:val="20"/>
          <w:szCs w:val="20"/>
          <w:color w:val="auto"/>
        </w:rPr>
        <w:t>The Company did not grant any options to purchase shares of common stock during the year ended December 31, 2023. The weighted average grant-date fair value of stock options granted during the years ended December 31, 2022 and 2021 was $30.08 and $12.59 per share, respectively.</w:t>
      </w:r>
    </w:p>
    <w:p>
      <w:pPr>
        <w:spacing w:after="0" w:line="140"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auto"/>
        </w:rPr>
        <w:t>The fair value of each option award was estimated on the date of grant using the Black-Scholes option-pricing model. The table below quantifies the weighted average of the most significant inputs to determine the fair value of stock options granted during the years ended December 31, 2022 and 2021.</w:t>
      </w:r>
    </w:p>
    <w:p>
      <w:pPr>
        <w:spacing w:after="0" w:line="140"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tcBorders>
              <w:bottom w:val="single" w:sz="8" w:color="E0E0E0"/>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0"/>
              <w:spacing w:after="0" w:line="174" w:lineRule="exact"/>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484"/>
              <w:spacing w:after="0" w:line="174" w:lineRule="exact"/>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5"/>
                <w:szCs w:val="15"/>
                <w:color w:val="auto"/>
              </w:rPr>
            </w:pPr>
          </w:p>
        </w:tc>
      </w:tr>
      <w:tr>
        <w:trPr>
          <w:trHeight w:val="220"/>
        </w:trPr>
        <w:tc>
          <w:tcPr>
            <w:tcW w:w="73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Risk-free interest rate</w:t>
            </w:r>
          </w:p>
        </w:tc>
        <w:tc>
          <w:tcPr>
            <w:tcW w:w="104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Arial" w:cs="Arial" w:eastAsia="Arial" w:hAnsi="Arial"/>
                <w:sz w:val="20"/>
                <w:szCs w:val="20"/>
                <w:color w:val="auto"/>
              </w:rPr>
              <w:t>2.16%</w:t>
            </w:r>
          </w:p>
        </w:tc>
        <w:tc>
          <w:tcPr>
            <w:tcW w:w="170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0.87%</w:t>
            </w:r>
          </w:p>
        </w:tc>
      </w:tr>
      <w:tr>
        <w:trPr>
          <w:trHeight w:val="230"/>
        </w:trPr>
        <w:tc>
          <w:tcPr>
            <w:tcW w:w="730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10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20"/>
                <w:szCs w:val="20"/>
                <w:color w:val="auto"/>
              </w:rPr>
              <w:t>0%</w:t>
            </w:r>
          </w:p>
        </w:tc>
        <w:tc>
          <w:tcPr>
            <w:tcW w:w="1700" w:type="dxa"/>
            <w:vAlign w:val="bottom"/>
            <w:gridSpan w:val="2"/>
          </w:tcPr>
          <w:p>
            <w:pPr>
              <w:jc w:val="right"/>
              <w:spacing w:after="0"/>
              <w:rPr>
                <w:sz w:val="20"/>
                <w:szCs w:val="20"/>
                <w:color w:val="auto"/>
              </w:rPr>
            </w:pPr>
            <w:r>
              <w:rPr>
                <w:rFonts w:ascii="Arial" w:cs="Arial" w:eastAsia="Arial" w:hAnsi="Arial"/>
                <w:sz w:val="20"/>
                <w:szCs w:val="20"/>
                <w:color w:val="auto"/>
              </w:rPr>
              <w:t>0%</w:t>
            </w:r>
          </w:p>
        </w:tc>
      </w:tr>
      <w:tr>
        <w:trPr>
          <w:trHeight w:val="230"/>
        </w:trPr>
        <w:tc>
          <w:tcPr>
            <w:tcW w:w="8340" w:type="dxa"/>
            <w:vAlign w:val="bottom"/>
            <w:gridSpan w:val="2"/>
            <w:shd w:val="clear" w:color="auto" w:fill="E0E0E0"/>
          </w:tcPr>
          <w:p>
            <w:pPr>
              <w:spacing w:after="0"/>
              <w:rPr>
                <w:sz w:val="20"/>
                <w:szCs w:val="20"/>
                <w:color w:val="auto"/>
              </w:rPr>
            </w:pPr>
            <w:r>
              <w:rPr>
                <w:rFonts w:ascii="Arial" w:cs="Arial" w:eastAsia="Arial" w:hAnsi="Arial"/>
                <w:sz w:val="20"/>
                <w:szCs w:val="20"/>
                <w:color w:val="auto"/>
              </w:rPr>
              <w:t>Expected volatility</w:t>
            </w:r>
          </w:p>
        </w:tc>
        <w:tc>
          <w:tcPr>
            <w:tcW w:w="76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47.4%</w:t>
            </w:r>
          </w:p>
        </w:tc>
        <w:tc>
          <w:tcPr>
            <w:tcW w:w="17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42.6%</w:t>
            </w:r>
          </w:p>
        </w:tc>
      </w:tr>
      <w:tr>
        <w:trPr>
          <w:trHeight w:val="271"/>
        </w:trPr>
        <w:tc>
          <w:tcPr>
            <w:tcW w:w="8340" w:type="dxa"/>
            <w:vAlign w:val="bottom"/>
            <w:gridSpan w:val="2"/>
          </w:tcPr>
          <w:p>
            <w:pPr>
              <w:spacing w:after="0"/>
              <w:rPr>
                <w:sz w:val="20"/>
                <w:szCs w:val="20"/>
                <w:color w:val="auto"/>
              </w:rPr>
            </w:pPr>
            <w:r>
              <w:rPr>
                <w:rFonts w:ascii="Arial" w:cs="Arial" w:eastAsia="Arial" w:hAnsi="Arial"/>
                <w:sz w:val="20"/>
                <w:szCs w:val="20"/>
                <w:color w:val="auto"/>
              </w:rPr>
              <w:t>Expected terms (in years)</w:t>
            </w:r>
          </w:p>
        </w:tc>
        <w:tc>
          <w:tcPr>
            <w:tcW w:w="480" w:type="dxa"/>
            <w:vAlign w:val="bottom"/>
          </w:tcPr>
          <w:p>
            <w:pPr>
              <w:jc w:val="right"/>
              <w:spacing w:after="0"/>
              <w:rPr>
                <w:sz w:val="20"/>
                <w:szCs w:val="20"/>
                <w:color w:val="auto"/>
              </w:rPr>
            </w:pPr>
            <w:r>
              <w:rPr>
                <w:rFonts w:ascii="Arial" w:cs="Arial" w:eastAsia="Arial" w:hAnsi="Arial"/>
                <w:sz w:val="20"/>
                <w:szCs w:val="20"/>
                <w:color w:val="auto"/>
              </w:rPr>
              <w:t>6</w:t>
            </w: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4639310</wp:posOffset>
                </wp:positionH>
                <wp:positionV relativeFrom="paragraph">
                  <wp:posOffset>-609600</wp:posOffset>
                </wp:positionV>
                <wp:extent cx="967105" cy="14605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146050"/>
                        </a:xfrm>
                        <a:prstGeom prst="rect">
                          <a:avLst/>
                        </a:prstGeom>
                        <a:solidFill>
                          <a:srgbClr val="E0E0E0"/>
                        </a:solidFill>
                      </wps:spPr>
                      <wps:bodyPr/>
                    </wps:wsp>
                  </a:graphicData>
                </a:graphic>
              </wp:anchor>
            </w:drawing>
          </mc:Choice>
          <mc:Fallback>
            <w:pict>
              <v:rect id="Shape 56" o:spid="_x0000_s1081" style="position:absolute;margin-left:365.3pt;margin-top:-48pt;width:76.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5606415</wp:posOffset>
                </wp:positionH>
                <wp:positionV relativeFrom="paragraph">
                  <wp:posOffset>-615950</wp:posOffset>
                </wp:positionV>
                <wp:extent cx="171450" cy="1524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 cy="152400"/>
                        </a:xfrm>
                        <a:prstGeom prst="rect">
                          <a:avLst/>
                        </a:prstGeom>
                        <a:solidFill>
                          <a:srgbClr val="E0E0E0"/>
                        </a:solidFill>
                      </wps:spPr>
                      <wps:bodyPr/>
                    </wps:wsp>
                  </a:graphicData>
                </a:graphic>
              </wp:anchor>
            </w:drawing>
          </mc:Choice>
          <mc:Fallback>
            <w:pict>
              <v:rect id="Shape 57" o:spid="_x0000_s1082" style="position:absolute;margin-left:441.45pt;margin-top:-48.4999pt;width:13.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5777865</wp:posOffset>
                </wp:positionH>
                <wp:positionV relativeFrom="paragraph">
                  <wp:posOffset>-609600</wp:posOffset>
                </wp:positionV>
                <wp:extent cx="967105" cy="14605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146050"/>
                        </a:xfrm>
                        <a:prstGeom prst="rect">
                          <a:avLst/>
                        </a:prstGeom>
                        <a:solidFill>
                          <a:srgbClr val="E0E0E0"/>
                        </a:solidFill>
                      </wps:spPr>
                      <wps:bodyPr/>
                    </wps:wsp>
                  </a:graphicData>
                </a:graphic>
              </wp:anchor>
            </w:drawing>
          </mc:Choice>
          <mc:Fallback>
            <w:pict>
              <v:rect id="Shape 58" o:spid="_x0000_s1083" style="position:absolute;margin-left:454.95pt;margin-top:-48pt;width:76.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20" w:lineRule="exact"/>
        <w:rPr>
          <w:sz w:val="20"/>
          <w:szCs w:val="20"/>
          <w:color w:val="auto"/>
        </w:rPr>
      </w:pPr>
    </w:p>
    <w:p>
      <w:pPr>
        <w:jc w:val="both"/>
        <w:ind w:right="20" w:firstLine="490"/>
        <w:spacing w:after="0" w:line="282" w:lineRule="auto"/>
        <w:rPr>
          <w:sz w:val="20"/>
          <w:szCs w:val="20"/>
          <w:color w:val="auto"/>
        </w:rPr>
      </w:pPr>
      <w:r>
        <w:rPr>
          <w:rFonts w:ascii="Arial" w:cs="Arial" w:eastAsia="Arial" w:hAnsi="Arial"/>
          <w:sz w:val="20"/>
          <w:szCs w:val="20"/>
          <w:color w:val="auto"/>
        </w:rPr>
        <w:t>The Company received cash proceeds from the exercise of options to purchase common stock of $10.4 million, $4.7 million and $6.9 million during the years ended December 31, 2023, 2022 and 2021, respectively.</w:t>
      </w:r>
    </w:p>
    <w:p>
      <w:pPr>
        <w:spacing w:after="0" w:line="120"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auto"/>
        </w:rPr>
        <w:t>As of December 31, 2023, there was $11.1 million of total unrecognized expense related to unvested stock options, which is expected to be recognized over a weighted-average period of 1.27 years.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 and Restricted Stock Units</w:t>
      </w:r>
    </w:p>
    <w:p>
      <w:pPr>
        <w:spacing w:after="0" w:line="196" w:lineRule="exact"/>
        <w:rPr>
          <w:sz w:val="20"/>
          <w:szCs w:val="20"/>
          <w:color w:val="auto"/>
        </w:rPr>
      </w:pPr>
    </w:p>
    <w:p>
      <w:pPr>
        <w:jc w:val="both"/>
        <w:ind w:right="40" w:firstLine="490"/>
        <w:spacing w:after="0" w:line="281" w:lineRule="auto"/>
        <w:rPr>
          <w:sz w:val="20"/>
          <w:szCs w:val="20"/>
          <w:color w:val="auto"/>
        </w:rPr>
      </w:pPr>
      <w:r>
        <w:rPr>
          <w:rFonts w:ascii="Arial" w:cs="Arial" w:eastAsia="Arial" w:hAnsi="Arial"/>
          <w:sz w:val="19"/>
          <w:szCs w:val="19"/>
          <w:color w:val="auto"/>
        </w:rPr>
        <w:t>During 2018, the Company granted restricted stock awards to employees under the 2018 Plan. The restricted stock awards vested ratably over a four year period from the date of grant. The fair value of each restricted stock award was the estimated fair value of the common stock on the date of grant. All restricted stock awards were fully vested as of 2022.</w:t>
      </w:r>
    </w:p>
    <w:p>
      <w:pPr>
        <w:spacing w:after="0" w:line="123"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auto"/>
        </w:rPr>
        <w:t>Starting in 2021, the Company has awarded restricted stock units to employees and certain non-employee board members under the 2021 Plan. The fair value of each restricted stock unit is estimated based on the fair value of the Company's common stock on the date of the grant. The restricted stock units vest over the requisite service period, which</w:t>
      </w:r>
    </w:p>
    <w:p>
      <w:pPr>
        <w:sectPr>
          <w:pgSz w:w="12240" w:h="15840" w:orient="portrait"/>
          <w:cols w:equalWidth="0" w:num="1">
            <w:col w:w="10800"/>
          </w:cols>
          <w:pgMar w:left="720" w:top="1164"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2240" w:h="15840" w:orient="portrait"/>
          <w:cols w:equalWidth="0" w:num="1">
            <w:col w:w="10800"/>
          </w:cols>
          <w:pgMar w:left="720" w:top="1164" w:right="720" w:bottom="186" w:gutter="0" w:footer="0" w:header="0"/>
          <w:type w:val="continuous"/>
        </w:sectPr>
      </w:pPr>
    </w:p>
    <w:bookmarkStart w:id="145" w:name="page146"/>
    <w:bookmarkEnd w:id="145"/>
    <w:p>
      <w:pPr>
        <w:ind w:right="120"/>
        <w:spacing w:after="0" w:line="282" w:lineRule="auto"/>
        <w:rPr>
          <w:sz w:val="20"/>
          <w:szCs w:val="20"/>
          <w:color w:val="auto"/>
        </w:rPr>
      </w:pPr>
      <w:r>
        <w:rPr>
          <w:rFonts w:ascii="Arial" w:cs="Arial" w:eastAsia="Arial" w:hAnsi="Arial"/>
          <w:sz w:val="20"/>
          <w:szCs w:val="20"/>
          <w:color w:val="auto"/>
        </w:rPr>
        <w:t>range between one and four years from the date of the grant, subject to the continued employment of the employees and service of the non-employee board members.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the restricted stock units activity for the year ended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5"/>
                <w:szCs w:val="15"/>
                <w:color w:val="auto"/>
              </w:rPr>
            </w:pPr>
          </w:p>
        </w:tc>
        <w:tc>
          <w:tcPr>
            <w:tcW w:w="148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 Fair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2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Unvested as of December 31, 2022</w:t>
            </w:r>
          </w:p>
        </w:tc>
        <w:tc>
          <w:tcPr>
            <w:tcW w:w="13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2,934,442</w:t>
            </w:r>
          </w:p>
        </w:tc>
        <w:tc>
          <w:tcPr>
            <w:tcW w:w="1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24.94</w:t>
            </w:r>
          </w:p>
        </w:tc>
        <w:tc>
          <w:tcPr>
            <w:tcW w:w="26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110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20"/>
                <w:szCs w:val="20"/>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color w:val="auto"/>
              </w:rPr>
              <w:t>2,890,407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27.14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E0E0E0"/>
          </w:tcPr>
          <w:p>
            <w:pPr>
              <w:spacing w:after="0"/>
              <w:rPr>
                <w:sz w:val="20"/>
                <w:szCs w:val="20"/>
                <w:color w:val="auto"/>
              </w:rPr>
            </w:pPr>
            <w:r>
              <w:rPr>
                <w:rFonts w:ascii="Arial" w:cs="Arial" w:eastAsia="Arial" w:hAnsi="Arial"/>
                <w:sz w:val="20"/>
                <w:szCs w:val="20"/>
                <w:color w:val="auto"/>
              </w:rPr>
              <w:t>Vested</w:t>
            </w:r>
          </w:p>
        </w:tc>
        <w:tc>
          <w:tcPr>
            <w:tcW w:w="148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(1,192,362)</w:t>
            </w:r>
          </w:p>
        </w:tc>
        <w:tc>
          <w:tcPr>
            <w:tcW w:w="1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24.88</w:t>
            </w:r>
          </w:p>
        </w:tc>
        <w:tc>
          <w:tcPr>
            <w:tcW w:w="4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29,670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20"/>
                <w:szCs w:val="20"/>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(201,762)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2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Unvested as of December 31, 2023</w:t>
            </w:r>
          </w:p>
        </w:tc>
        <w:tc>
          <w:tcPr>
            <w:tcW w:w="13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4,430,725</w:t>
            </w:r>
          </w:p>
        </w:tc>
        <w:tc>
          <w:tcPr>
            <w:tcW w:w="1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26.28</w:t>
            </w:r>
          </w:p>
        </w:tc>
        <w:tc>
          <w:tcPr>
            <w:tcW w:w="26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1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00" w:firstLine="490"/>
        <w:spacing w:after="0" w:line="282" w:lineRule="auto"/>
        <w:rPr>
          <w:sz w:val="20"/>
          <w:szCs w:val="20"/>
          <w:color w:val="auto"/>
        </w:rPr>
      </w:pPr>
      <w:r>
        <w:rPr>
          <w:rFonts w:ascii="Arial" w:cs="Arial" w:eastAsia="Arial" w:hAnsi="Arial"/>
          <w:sz w:val="20"/>
          <w:szCs w:val="20"/>
          <w:color w:val="auto"/>
        </w:rPr>
        <w:t>As of December 31, 2023, there was $89.4 million of total unrecognized compensation expense related to unvested restricted stock units, which is expected to be recognized over a weighted-average period of 2.80 years.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196"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In April 2021, the Company’s board of directors adopted, and in May 2021 its stockholders approved, the 2021 ESPP, which became effective on May 28, 2021. The ESPP authorizes the issuance of shares of common stock pursuant to purchase rights granted to "eligible employees". A total of 3,856,785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the lesser of up to 15% of their eligible compensation or IRS limit. Offering periods are generally 6 months long.</w:t>
      </w:r>
    </w:p>
    <w:p>
      <w:pPr>
        <w:spacing w:after="0" w:line="154" w:lineRule="exact"/>
        <w:rPr>
          <w:sz w:val="20"/>
          <w:szCs w:val="20"/>
          <w:color w:val="auto"/>
        </w:rPr>
      </w:pPr>
    </w:p>
    <w:p>
      <w:pPr>
        <w:ind w:right="420" w:firstLine="490"/>
        <w:spacing w:after="0" w:line="282" w:lineRule="auto"/>
        <w:rPr>
          <w:sz w:val="20"/>
          <w:szCs w:val="20"/>
          <w:color w:val="auto"/>
        </w:rPr>
      </w:pPr>
      <w:r>
        <w:rPr>
          <w:rFonts w:ascii="Arial" w:cs="Arial" w:eastAsia="Arial" w:hAnsi="Arial"/>
          <w:sz w:val="20"/>
          <w:szCs w:val="20"/>
          <w:color w:val="auto"/>
        </w:rPr>
        <w:t>As of December 31, 2023, a total of 3,856,785 shares of the Company's common stock were available for future issuance under the ESPP.</w:t>
      </w:r>
    </w:p>
    <w:p>
      <w:pPr>
        <w:spacing w:after="0" w:line="120" w:lineRule="exact"/>
        <w:rPr>
          <w:sz w:val="20"/>
          <w:szCs w:val="20"/>
          <w:color w:val="auto"/>
        </w:rPr>
      </w:pPr>
    </w:p>
    <w:p>
      <w:pPr>
        <w:ind w:right="1540" w:firstLine="490"/>
        <w:spacing w:after="0" w:line="448" w:lineRule="auto"/>
        <w:rPr>
          <w:sz w:val="20"/>
          <w:szCs w:val="20"/>
          <w:color w:val="auto"/>
        </w:rPr>
      </w:pPr>
      <w:r>
        <w:rPr>
          <w:rFonts w:ascii="Arial" w:cs="Arial" w:eastAsia="Arial" w:hAnsi="Arial"/>
          <w:sz w:val="20"/>
          <w:szCs w:val="20"/>
          <w:color w:val="auto"/>
        </w:rPr>
        <w:t xml:space="preserve">As of December 31, 2023, there was no unrecognized compensation expense related to the ESPP. </w:t>
      </w:r>
      <w:r>
        <w:rPr>
          <w:rFonts w:ascii="Arial" w:cs="Arial" w:eastAsia="Arial" w:hAnsi="Arial"/>
          <w:sz w:val="20"/>
          <w:szCs w:val="20"/>
          <w:b w:val="1"/>
          <w:bCs w:val="1"/>
          <w:i w:val="1"/>
          <w:iCs w:val="1"/>
          <w:color w:val="auto"/>
        </w:rPr>
        <w:t>Stock-Based Compensation Costs</w:t>
      </w:r>
    </w:p>
    <w:p>
      <w:pPr>
        <w:spacing w:after="0" w:line="1" w:lineRule="exact"/>
        <w:rPr>
          <w:sz w:val="20"/>
          <w:szCs w:val="20"/>
          <w:color w:val="auto"/>
        </w:rPr>
      </w:pPr>
    </w:p>
    <w:p>
      <w:pPr>
        <w:jc w:val="both"/>
        <w:ind w:right="40" w:firstLine="490"/>
        <w:spacing w:after="0" w:line="261" w:lineRule="auto"/>
        <w:rPr>
          <w:sz w:val="20"/>
          <w:szCs w:val="20"/>
          <w:color w:val="auto"/>
        </w:rPr>
      </w:pPr>
      <w:r>
        <w:rPr>
          <w:rFonts w:ascii="Arial" w:cs="Arial" w:eastAsia="Arial" w:hAnsi="Arial"/>
          <w:sz w:val="20"/>
          <w:szCs w:val="20"/>
          <w:color w:val="auto"/>
        </w:rPr>
        <w:t>The following table summarizes the stock-based compensation expense for stock options, restricted stock units and ESPP shares granted to employees and non-employee board members that was recorded in the Company’s consolidated statements of operations and comprehensive loss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7"/>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4"/>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4"/>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63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Technology and development</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9,286</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4,916</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2,510</w:t>
            </w:r>
          </w:p>
        </w:tc>
        <w:tc>
          <w:tcPr>
            <w:tcW w:w="100" w:type="dxa"/>
            <w:vAlign w:val="bottom"/>
            <w:shd w:val="clear" w:color="auto" w:fill="E0E0E0"/>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20"/>
                <w:szCs w:val="20"/>
                <w:color w:val="auto"/>
              </w:rPr>
              <w:t>Selling and marketing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7,856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5,161</w:t>
            </w:r>
          </w:p>
        </w:tc>
        <w:tc>
          <w:tcPr>
            <w:tcW w:w="100" w:type="dxa"/>
            <w:vAlign w:val="bottom"/>
          </w:tcPr>
          <w:p>
            <w:pPr>
              <w:spacing w:after="0"/>
              <w:rPr>
                <w:sz w:val="19"/>
                <w:szCs w:val="19"/>
                <w:color w:val="auto"/>
              </w:rPr>
            </w:pPr>
          </w:p>
        </w:tc>
      </w:tr>
      <w:tr>
        <w:trPr>
          <w:trHeight w:val="230"/>
        </w:trPr>
        <w:tc>
          <w:tcPr>
            <w:tcW w:w="6360" w:type="dxa"/>
            <w:vAlign w:val="bottom"/>
            <w:shd w:val="clear" w:color="auto" w:fill="E0E0E0"/>
          </w:tcPr>
          <w:p>
            <w:pPr>
              <w:spacing w:after="0"/>
              <w:rPr>
                <w:sz w:val="20"/>
                <w:szCs w:val="20"/>
                <w:color w:val="auto"/>
              </w:rPr>
            </w:pPr>
            <w:r>
              <w:rPr>
                <w:rFonts w:ascii="Arial" w:cs="Arial" w:eastAsia="Arial" w:hAnsi="Arial"/>
                <w:sz w:val="20"/>
                <w:szCs w:val="20"/>
                <w:color w:val="auto"/>
              </w:rPr>
              <w:t>General and administrative</w:t>
            </w:r>
          </w:p>
        </w:tc>
        <w:tc>
          <w:tcPr>
            <w:tcW w:w="20" w:type="dxa"/>
            <w:vAlign w:val="bottom"/>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22,458</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17,487</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11,257</w:t>
            </w:r>
          </w:p>
        </w:tc>
        <w:tc>
          <w:tcPr>
            <w:tcW w:w="100" w:type="dxa"/>
            <w:vAlign w:val="bottom"/>
            <w:shd w:val="clear" w:color="auto" w:fill="E0E0E0"/>
          </w:tcPr>
          <w:p>
            <w:pPr>
              <w:spacing w:after="0"/>
              <w:rPr>
                <w:sz w:val="19"/>
                <w:szCs w:val="19"/>
                <w:color w:val="auto"/>
              </w:rPr>
            </w:pPr>
          </w:p>
        </w:tc>
      </w:tr>
      <w:tr>
        <w:trPr>
          <w:trHeight w:val="220"/>
        </w:trPr>
        <w:tc>
          <w:tcPr>
            <w:tcW w:w="6360" w:type="dxa"/>
            <w:vAlign w:val="bottom"/>
          </w:tcPr>
          <w:p>
            <w:pPr>
              <w:ind w:left="280"/>
              <w:spacing w:after="0" w:line="220" w:lineRule="exact"/>
              <w:rPr>
                <w:sz w:val="20"/>
                <w:szCs w:val="20"/>
                <w:color w:val="auto"/>
              </w:rPr>
            </w:pPr>
            <w:r>
              <w:rPr>
                <w:rFonts w:ascii="Arial" w:cs="Arial" w:eastAsia="Arial" w:hAnsi="Arial"/>
                <w:sz w:val="20"/>
                <w:szCs w:val="20"/>
                <w:color w:val="auto"/>
              </w:rPr>
              <w:t>Total stock-based compensation expense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43,726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30,259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18,928</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in stock-based compensation during the year ended December 31, 2021. The amount recorded as stock-based compensation represents the difference between the price paid and the estimated fair value at the date of the transaction.</w:t>
      </w:r>
    </w:p>
    <w:p>
      <w:pPr>
        <w:spacing w:after="0" w:line="152"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On November 6, 2023, the Company entered into a Transition Agreement with its Chief Financial Officer (CFO). In connection with the Transition Agreement, the Company modified its CFO's outstanding stock options and restricted stock units to i) accelerate vesting for nine months from his separation date and ii) extend the exercise period of his stock options from ninety days to one year. To receive these benefits, the CFO has to remain employed through the Transition Date, which is currently expected to be March 31, 2024. As a result of the modification, the Company expects to recognize $1.9 million of additional compensation expense from the execution of the Transition Agreement through March 31, 2024. The Company recognized additional compensation expense of $0.7 million for the year ended December 31,</w:t>
      </w:r>
    </w:p>
    <w:p>
      <w:pPr>
        <w:sectPr>
          <w:pgSz w:w="12240" w:h="15840" w:orient="portrait"/>
          <w:cols w:equalWidth="0" w:num="1">
            <w:col w:w="10800"/>
          </w:cols>
          <w:pgMar w:left="720" w:top="1160" w:right="720" w:bottom="186"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2240" w:h="15840" w:orient="portrait"/>
          <w:cols w:equalWidth="0" w:num="1">
            <w:col w:w="10800"/>
          </w:cols>
          <w:pgMar w:left="720" w:top="1160" w:right="720" w:bottom="186" w:gutter="0" w:footer="0" w:header="0"/>
          <w:type w:val="continuous"/>
        </w:sectPr>
      </w:pPr>
    </w:p>
    <w:bookmarkStart w:id="146" w:name="page147"/>
    <w:bookmarkEnd w:id="146"/>
    <w:p>
      <w:pPr>
        <w:spacing w:after="0"/>
        <w:rPr>
          <w:sz w:val="20"/>
          <w:szCs w:val="20"/>
          <w:color w:val="auto"/>
        </w:rPr>
      </w:pPr>
      <w:r>
        <w:rPr>
          <w:rFonts w:ascii="Arial" w:cs="Arial" w:eastAsia="Arial" w:hAnsi="Arial"/>
          <w:sz w:val="20"/>
          <w:szCs w:val="20"/>
          <w:color w:val="auto"/>
        </w:rPr>
        <w:t>2023, and expects to recognize the remaining compensation expense of $1.2 during the three months ended March 31,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2024.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Net Loss per Share</w:t>
      </w:r>
    </w:p>
    <w:p>
      <w:pPr>
        <w:spacing w:after="0" w:line="204" w:lineRule="exact"/>
        <w:rPr>
          <w:sz w:val="20"/>
          <w:szCs w:val="20"/>
          <w:color w:val="auto"/>
        </w:rPr>
      </w:pPr>
    </w:p>
    <w:p>
      <w:pPr>
        <w:ind w:right="260" w:firstLine="490"/>
        <w:spacing w:after="0" w:line="282" w:lineRule="auto"/>
        <w:rPr>
          <w:sz w:val="20"/>
          <w:szCs w:val="20"/>
          <w:color w:val="auto"/>
        </w:rPr>
      </w:pPr>
      <w:r>
        <w:rPr>
          <w:rFonts w:ascii="Arial" w:cs="Arial" w:eastAsia="Arial" w:hAnsi="Arial"/>
          <w:sz w:val="20"/>
          <w:szCs w:val="20"/>
          <w:color w:val="auto"/>
        </w:rPr>
        <w:t>Basic and diluted net loss per share attributable to common stockholders was calculated as follows (in thousands, except share and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2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6"/>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62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Numerator:</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6260" w:type="dxa"/>
            <w:vAlign w:val="bottom"/>
          </w:tcPr>
          <w:p>
            <w:pPr>
              <w:ind w:left="280"/>
              <w:spacing w:after="0"/>
              <w:rPr>
                <w:sz w:val="20"/>
                <w:szCs w:val="20"/>
                <w:color w:val="auto"/>
              </w:rPr>
            </w:pPr>
            <w:r>
              <w:rPr>
                <w:rFonts w:ascii="Arial" w:cs="Arial" w:eastAsia="Arial" w:hAnsi="Arial"/>
                <w:sz w:val="20"/>
                <w:szCs w:val="20"/>
                <w:color w:val="auto"/>
              </w:rPr>
              <w:t>Net loss</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(8,566)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(39,347)</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(28,085)</w:t>
            </w:r>
          </w:p>
        </w:tc>
        <w:tc>
          <w:tcPr>
            <w:tcW w:w="100" w:type="dxa"/>
            <w:vAlign w:val="bottom"/>
          </w:tcPr>
          <w:p>
            <w:pPr>
              <w:spacing w:after="0"/>
              <w:rPr>
                <w:sz w:val="19"/>
                <w:szCs w:val="19"/>
                <w:color w:val="auto"/>
              </w:rPr>
            </w:pPr>
          </w:p>
        </w:tc>
      </w:tr>
      <w:tr>
        <w:trPr>
          <w:trHeight w:val="230"/>
        </w:trPr>
        <w:tc>
          <w:tcPr>
            <w:tcW w:w="626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Accretion of preferred stock to redemption value</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400" w:type="dxa"/>
            <w:vAlign w:val="bottom"/>
            <w:gridSpan w:val="2"/>
            <w:shd w:val="clear" w:color="auto" w:fill="E0E0E0"/>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E0E0E0"/>
          </w:tcPr>
          <w:p>
            <w:pPr>
              <w:spacing w:after="0"/>
              <w:rPr>
                <w:sz w:val="19"/>
                <w:szCs w:val="19"/>
                <w:color w:val="auto"/>
              </w:rPr>
            </w:pPr>
          </w:p>
        </w:tc>
        <w:tc>
          <w:tcPr>
            <w:tcW w:w="1400" w:type="dxa"/>
            <w:vAlign w:val="bottom"/>
            <w:gridSpan w:val="2"/>
            <w:shd w:val="clear" w:color="auto" w:fill="E0E0E0"/>
          </w:tcPr>
          <w:p>
            <w:pPr>
              <w:jc w:val="right"/>
              <w:ind w:right="2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(13)</w:t>
            </w:r>
          </w:p>
        </w:tc>
      </w:tr>
      <w:tr>
        <w:trPr>
          <w:trHeight w:val="260"/>
        </w:trPr>
        <w:tc>
          <w:tcPr>
            <w:tcW w:w="6260" w:type="dxa"/>
            <w:vAlign w:val="bottom"/>
            <w:tcBorders>
              <w:bottom w:val="single" w:sz="8" w:color="E0E0E0"/>
            </w:tcBorders>
          </w:tcPr>
          <w:p>
            <w:pPr>
              <w:ind w:left="280"/>
              <w:spacing w:after="0" w:line="220" w:lineRule="exact"/>
              <w:rPr>
                <w:sz w:val="20"/>
                <w:szCs w:val="20"/>
                <w:color w:val="auto"/>
              </w:rPr>
            </w:pPr>
            <w:r>
              <w:rPr>
                <w:rFonts w:ascii="Arial" w:cs="Arial" w:eastAsia="Arial" w:hAnsi="Arial"/>
                <w:sz w:val="20"/>
                <w:szCs w:val="20"/>
                <w:color w:val="auto"/>
              </w:rPr>
              <w:t>Net loss attributable to common stockholders - basic and diluted</w:t>
            </w:r>
          </w:p>
        </w:tc>
        <w:tc>
          <w:tcPr>
            <w:tcW w:w="100" w:type="dxa"/>
            <w:vAlign w:val="bottom"/>
            <w:tcBorders>
              <w:bottom w:val="single" w:sz="8" w:color="E0E0E0"/>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(8,566)</w:t>
            </w:r>
          </w:p>
        </w:tc>
        <w:tc>
          <w:tcPr>
            <w:tcW w:w="260" w:type="dxa"/>
            <w:vAlign w:val="bottom"/>
            <w:tcBorders>
              <w:bottom w:val="single" w:sz="8" w:color="E0E0E0"/>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(39,347)</w:t>
            </w:r>
          </w:p>
        </w:tc>
        <w:tc>
          <w:tcPr>
            <w:tcW w:w="260" w:type="dxa"/>
            <w:vAlign w:val="bottom"/>
            <w:tcBorders>
              <w:bottom w:val="single" w:sz="8" w:color="E0E0E0"/>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(28,098)</w:t>
            </w:r>
          </w:p>
        </w:tc>
        <w:tc>
          <w:tcPr>
            <w:tcW w:w="100" w:type="dxa"/>
            <w:vAlign w:val="bottom"/>
            <w:tcBorders>
              <w:bottom w:val="single" w:sz="8" w:color="E0E0E0"/>
            </w:tcBorders>
          </w:tcPr>
          <w:p>
            <w:pPr>
              <w:spacing w:after="0"/>
              <w:rPr>
                <w:sz w:val="22"/>
                <w:szCs w:val="22"/>
                <w:color w:val="auto"/>
              </w:rPr>
            </w:pPr>
          </w:p>
        </w:tc>
      </w:tr>
      <w:tr>
        <w:trPr>
          <w:trHeight w:val="215"/>
        </w:trPr>
        <w:tc>
          <w:tcPr>
            <w:tcW w:w="6260" w:type="dxa"/>
            <w:vAlign w:val="bottom"/>
            <w:shd w:val="clear" w:color="auto" w:fill="E0E0E0"/>
          </w:tcPr>
          <w:p>
            <w:pPr>
              <w:spacing w:after="0" w:line="215" w:lineRule="exact"/>
              <w:rPr>
                <w:sz w:val="20"/>
                <w:szCs w:val="20"/>
                <w:color w:val="auto"/>
              </w:rPr>
            </w:pPr>
            <w:r>
              <w:rPr>
                <w:rFonts w:ascii="Arial" w:cs="Arial" w:eastAsia="Arial" w:hAnsi="Arial"/>
                <w:sz w:val="20"/>
                <w:szCs w:val="20"/>
                <w:color w:val="auto"/>
              </w:rPr>
              <w:t>Denominator:</w:t>
            </w:r>
          </w:p>
        </w:tc>
        <w:tc>
          <w:tcPr>
            <w:tcW w:w="1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1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1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626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Weighted average common shares outstanding - basic and diluted</w:t>
            </w:r>
          </w:p>
        </w:tc>
        <w:tc>
          <w:tcPr>
            <w:tcW w:w="10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114,828,494</w:t>
            </w:r>
          </w:p>
        </w:tc>
        <w:tc>
          <w:tcPr>
            <w:tcW w:w="260" w:type="dxa"/>
            <w:vAlign w:val="bottom"/>
            <w:tcBorders>
              <w:bottom w:val="single" w:sz="8" w:color="E0E0E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107,935,514</w:t>
            </w:r>
          </w:p>
        </w:tc>
        <w:tc>
          <w:tcPr>
            <w:tcW w:w="26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71,168,054</w:t>
            </w:r>
          </w:p>
        </w:tc>
        <w:tc>
          <w:tcPr>
            <w:tcW w:w="100" w:type="dxa"/>
            <w:vAlign w:val="bottom"/>
            <w:tcBorders>
              <w:bottom w:val="single" w:sz="8" w:color="E0E0E0"/>
            </w:tcBorders>
          </w:tcPr>
          <w:p>
            <w:pPr>
              <w:spacing w:after="0"/>
              <w:rPr>
                <w:sz w:val="19"/>
                <w:szCs w:val="19"/>
                <w:color w:val="auto"/>
              </w:rPr>
            </w:pPr>
          </w:p>
        </w:tc>
      </w:tr>
      <w:tr>
        <w:trPr>
          <w:trHeight w:val="201"/>
        </w:trPr>
        <w:tc>
          <w:tcPr>
            <w:tcW w:w="6260" w:type="dxa"/>
            <w:vAlign w:val="bottom"/>
            <w:shd w:val="clear" w:color="auto" w:fill="E0E0E0"/>
          </w:tcPr>
          <w:p>
            <w:pPr>
              <w:spacing w:after="0" w:line="201" w:lineRule="exact"/>
              <w:rPr>
                <w:sz w:val="20"/>
                <w:szCs w:val="20"/>
                <w:color w:val="auto"/>
              </w:rPr>
            </w:pPr>
            <w:r>
              <w:rPr>
                <w:rFonts w:ascii="Arial" w:cs="Arial" w:eastAsia="Arial" w:hAnsi="Arial"/>
                <w:sz w:val="20"/>
                <w:szCs w:val="20"/>
                <w:color w:val="auto"/>
              </w:rPr>
              <w:t>Net loss per share attributable to common stockholders - basic</w:t>
            </w:r>
          </w:p>
        </w:tc>
        <w:tc>
          <w:tcPr>
            <w:tcW w:w="10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14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14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0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49"/>
        </w:trPr>
        <w:tc>
          <w:tcPr>
            <w:tcW w:w="6260" w:type="dxa"/>
            <w:vAlign w:val="bottom"/>
            <w:shd w:val="clear" w:color="auto" w:fill="E0E0E0"/>
          </w:tcPr>
          <w:p>
            <w:pPr>
              <w:ind w:left="160"/>
              <w:spacing w:after="0"/>
              <w:rPr>
                <w:sz w:val="20"/>
                <w:szCs w:val="20"/>
                <w:color w:val="auto"/>
              </w:rPr>
            </w:pPr>
            <w:r>
              <w:rPr>
                <w:rFonts w:ascii="Arial" w:cs="Arial" w:eastAsia="Arial" w:hAnsi="Arial"/>
                <w:sz w:val="20"/>
                <w:szCs w:val="20"/>
                <w:color w:val="auto"/>
              </w:rPr>
              <w:t>and diluted</w:t>
            </w:r>
          </w:p>
        </w:tc>
        <w:tc>
          <w:tcPr>
            <w:tcW w:w="100" w:type="dxa"/>
            <w:vAlign w:val="bottom"/>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(0.07)</w:t>
            </w:r>
          </w:p>
        </w:tc>
        <w:tc>
          <w:tcPr>
            <w:tcW w:w="26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(0.36)</w:t>
            </w:r>
          </w:p>
        </w:tc>
        <w:tc>
          <w:tcPr>
            <w:tcW w:w="260" w:type="dxa"/>
            <w:vAlign w:val="bottom"/>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(0.39)</w:t>
            </w:r>
          </w:p>
        </w:tc>
        <w:tc>
          <w:tcPr>
            <w:tcW w:w="100" w:type="dxa"/>
            <w:vAlign w:val="bottom"/>
            <w:shd w:val="clear" w:color="auto" w:fill="E0E0E0"/>
          </w:tcPr>
          <w:p>
            <w:pPr>
              <w:spacing w:after="0"/>
              <w:rPr>
                <w:sz w:val="21"/>
                <w:szCs w:val="2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loss per share calculations because they would have been antidilutive were as follows as of the dates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3260" w:type="dxa"/>
            <w:vAlign w:val="bottom"/>
            <w:tcBorders>
              <w:bottom w:val="single" w:sz="8" w:color="auto"/>
            </w:tcBorders>
            <w:gridSpan w:val="5"/>
          </w:tcPr>
          <w:p>
            <w:pPr>
              <w:ind w:left="120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320" w:type="dxa"/>
            <w:vAlign w:val="bottom"/>
          </w:tcPr>
          <w:p>
            <w:pPr>
              <w:spacing w:after="0"/>
              <w:rPr>
                <w:sz w:val="15"/>
                <w:szCs w:val="15"/>
                <w:color w:val="auto"/>
              </w:rPr>
            </w:pPr>
          </w:p>
        </w:tc>
        <w:tc>
          <w:tcPr>
            <w:tcW w:w="1320" w:type="dxa"/>
            <w:vAlign w:val="bottom"/>
          </w:tcPr>
          <w:p>
            <w:pPr>
              <w:jc w:val="right"/>
              <w:ind w:right="388"/>
              <w:spacing w:after="0" w:line="174" w:lineRule="exact"/>
              <w:rPr>
                <w:sz w:val="20"/>
                <w:szCs w:val="20"/>
                <w:color w:val="auto"/>
              </w:rPr>
            </w:pPr>
            <w:r>
              <w:rPr>
                <w:rFonts w:ascii="Arial" w:cs="Arial" w:eastAsia="Arial" w:hAnsi="Arial"/>
                <w:sz w:val="16"/>
                <w:szCs w:val="16"/>
                <w:b w:val="1"/>
                <w:bCs w:val="1"/>
                <w:color w:val="auto"/>
              </w:rPr>
              <w:t>2023</w:t>
            </w:r>
          </w:p>
        </w:tc>
        <w:tc>
          <w:tcPr>
            <w:tcW w:w="1520" w:type="dxa"/>
            <w:vAlign w:val="bottom"/>
            <w:gridSpan w:val="2"/>
          </w:tcPr>
          <w:p>
            <w:pPr>
              <w:jc w:val="right"/>
              <w:ind w:right="380"/>
              <w:spacing w:after="0" w:line="174" w:lineRule="exact"/>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85"/>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r>
      <w:tr>
        <w:trPr>
          <w:trHeight w:val="220"/>
        </w:trPr>
        <w:tc>
          <w:tcPr>
            <w:tcW w:w="632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Unvested restricted stock units</w:t>
            </w:r>
          </w:p>
        </w:tc>
        <w:tc>
          <w:tcPr>
            <w:tcW w:w="13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4,430,725</w:t>
            </w:r>
          </w:p>
        </w:tc>
        <w:tc>
          <w:tcPr>
            <w:tcW w:w="200" w:type="dxa"/>
            <w:vAlign w:val="bottom"/>
            <w:tcBorders>
              <w:top w:val="single" w:sz="8" w:color="E0E0E0"/>
            </w:tcBorders>
            <w:shd w:val="clear" w:color="auto" w:fill="E0E0E0"/>
          </w:tcPr>
          <w:p>
            <w:pPr>
              <w:spacing w:after="0"/>
              <w:rPr>
                <w:sz w:val="19"/>
                <w:szCs w:val="19"/>
                <w:color w:val="auto"/>
              </w:rPr>
            </w:pPr>
          </w:p>
        </w:tc>
        <w:tc>
          <w:tcPr>
            <w:tcW w:w="13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2,934,442</w:t>
            </w:r>
          </w:p>
        </w:tc>
        <w:tc>
          <w:tcPr>
            <w:tcW w:w="220" w:type="dxa"/>
            <w:vAlign w:val="bottom"/>
            <w:tcBorders>
              <w:top w:val="single" w:sz="8" w:color="E0E0E0"/>
            </w:tcBorders>
            <w:shd w:val="clear" w:color="auto" w:fill="E0E0E0"/>
          </w:tcPr>
          <w:p>
            <w:pPr>
              <w:spacing w:after="0"/>
              <w:rPr>
                <w:sz w:val="19"/>
                <w:szCs w:val="19"/>
                <w:color w:val="auto"/>
              </w:rPr>
            </w:pPr>
          </w:p>
        </w:tc>
        <w:tc>
          <w:tcPr>
            <w:tcW w:w="200" w:type="dxa"/>
            <w:vAlign w:val="bottom"/>
            <w:tcBorders>
              <w:top w:val="single" w:sz="8" w:color="auto"/>
            </w:tcBorders>
            <w:shd w:val="clear" w:color="auto" w:fill="E0E0E0"/>
          </w:tcPr>
          <w:p>
            <w:pPr>
              <w:spacing w:after="0"/>
              <w:rPr>
                <w:sz w:val="19"/>
                <w:szCs w:val="19"/>
                <w:color w:val="auto"/>
              </w:rPr>
            </w:pPr>
          </w:p>
        </w:tc>
        <w:tc>
          <w:tcPr>
            <w:tcW w:w="1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213,121</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63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Stock options to purchase common stock</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8,107,861</w:t>
            </w:r>
          </w:p>
        </w:tc>
        <w:tc>
          <w:tcPr>
            <w:tcW w:w="200" w:type="dxa"/>
            <w:vAlign w:val="bottom"/>
            <w:tcBorders>
              <w:bottom w:val="single" w:sz="8" w:color="E0E0E0"/>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12,160,560</w:t>
            </w:r>
          </w:p>
        </w:tc>
        <w:tc>
          <w:tcPr>
            <w:tcW w:w="22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14,855,292</w:t>
            </w:r>
          </w:p>
        </w:tc>
        <w:tc>
          <w:tcPr>
            <w:tcW w:w="100" w:type="dxa"/>
            <w:vAlign w:val="bottom"/>
            <w:tcBorders>
              <w:bottom w:val="single" w:sz="8" w:color="E0E0E0"/>
            </w:tcBorders>
          </w:tcPr>
          <w:p>
            <w:pPr>
              <w:spacing w:after="0"/>
              <w:rPr>
                <w:sz w:val="19"/>
                <w:szCs w:val="19"/>
                <w:color w:val="auto"/>
              </w:rPr>
            </w:pPr>
          </w:p>
        </w:tc>
      </w:tr>
      <w:tr>
        <w:trPr>
          <w:trHeight w:val="220"/>
        </w:trPr>
        <w:tc>
          <w:tcPr>
            <w:tcW w:w="6320" w:type="dxa"/>
            <w:vAlign w:val="bottom"/>
            <w:shd w:val="clear" w:color="auto" w:fill="E0E0E0"/>
          </w:tcPr>
          <w:p>
            <w:pPr>
              <w:spacing w:after="0"/>
              <w:rPr>
                <w:sz w:val="19"/>
                <w:szCs w:val="19"/>
                <w:color w:val="auto"/>
              </w:rPr>
            </w:pPr>
          </w:p>
        </w:tc>
        <w:tc>
          <w:tcPr>
            <w:tcW w:w="13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12,538,586</w:t>
            </w:r>
          </w:p>
        </w:tc>
        <w:tc>
          <w:tcPr>
            <w:tcW w:w="200" w:type="dxa"/>
            <w:vAlign w:val="bottom"/>
            <w:shd w:val="clear" w:color="auto" w:fill="E0E0E0"/>
          </w:tcPr>
          <w:p>
            <w:pPr>
              <w:spacing w:after="0"/>
              <w:rPr>
                <w:sz w:val="19"/>
                <w:szCs w:val="19"/>
                <w:color w:val="auto"/>
              </w:rPr>
            </w:pPr>
          </w:p>
        </w:tc>
        <w:tc>
          <w:tcPr>
            <w:tcW w:w="13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15,095,002</w:t>
            </w:r>
          </w:p>
        </w:tc>
        <w:tc>
          <w:tcPr>
            <w:tcW w:w="22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rPr>
                <w:sz w:val="19"/>
                <w:szCs w:val="19"/>
                <w:color w:val="auto"/>
              </w:rPr>
            </w:pPr>
          </w:p>
        </w:tc>
        <w:tc>
          <w:tcPr>
            <w:tcW w:w="11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15,068,413</w:t>
            </w:r>
          </w:p>
        </w:tc>
        <w:tc>
          <w:tcPr>
            <w:tcW w:w="100" w:type="dxa"/>
            <w:vAlign w:val="bottom"/>
            <w:shd w:val="clear" w:color="auto" w:fill="E0E0E0"/>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Income Taxes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presents the components of loss before provision for income taxes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3780" w:type="dxa"/>
            <w:vAlign w:val="bottom"/>
            <w:tcBorders>
              <w:bottom w:val="single" w:sz="8" w:color="E0E0E0"/>
            </w:tcBorders>
          </w:tcPr>
          <w:p>
            <w:pPr>
              <w:spacing w:after="0"/>
              <w:rPr>
                <w:sz w:val="15"/>
                <w:szCs w:val="15"/>
                <w:color w:val="auto"/>
              </w:rPr>
            </w:pPr>
          </w:p>
        </w:tc>
        <w:tc>
          <w:tcPr>
            <w:tcW w:w="2580" w:type="dxa"/>
            <w:vAlign w:val="bottom"/>
            <w:tcBorders>
              <w:bottom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68"/>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65"/>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65"/>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37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United States</w:t>
            </w:r>
          </w:p>
        </w:tc>
        <w:tc>
          <w:tcPr>
            <w:tcW w:w="258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(23,190)</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(45,341)</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(29,186)</w:t>
            </w:r>
          </w:p>
        </w:tc>
        <w:tc>
          <w:tcPr>
            <w:tcW w:w="100" w:type="dxa"/>
            <w:vAlign w:val="bottom"/>
            <w:shd w:val="clear" w:color="auto" w:fill="E0E0E0"/>
          </w:tcPr>
          <w:p>
            <w:pPr>
              <w:spacing w:after="0"/>
              <w:rPr>
                <w:sz w:val="19"/>
                <w:szCs w:val="19"/>
                <w:color w:val="auto"/>
              </w:rPr>
            </w:pPr>
          </w:p>
        </w:tc>
      </w:tr>
      <w:tr>
        <w:trPr>
          <w:trHeight w:val="230"/>
        </w:trPr>
        <w:tc>
          <w:tcPr>
            <w:tcW w:w="378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Foreign</w:t>
            </w:r>
          </w:p>
        </w:tc>
        <w:tc>
          <w:tcPr>
            <w:tcW w:w="258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18,838</w:t>
            </w:r>
          </w:p>
        </w:tc>
        <w:tc>
          <w:tcPr>
            <w:tcW w:w="26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7,982</w:t>
            </w:r>
          </w:p>
        </w:tc>
        <w:tc>
          <w:tcPr>
            <w:tcW w:w="26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3,259</w:t>
            </w:r>
          </w:p>
        </w:tc>
        <w:tc>
          <w:tcPr>
            <w:tcW w:w="100" w:type="dxa"/>
            <w:vAlign w:val="bottom"/>
            <w:tcBorders>
              <w:bottom w:val="single" w:sz="8" w:color="E0E0E0"/>
            </w:tcBorders>
          </w:tcPr>
          <w:p>
            <w:pPr>
              <w:spacing w:after="0"/>
              <w:rPr>
                <w:sz w:val="19"/>
                <w:szCs w:val="19"/>
                <w:color w:val="auto"/>
              </w:rPr>
            </w:pPr>
          </w:p>
        </w:tc>
      </w:tr>
      <w:tr>
        <w:trPr>
          <w:trHeight w:val="220"/>
        </w:trPr>
        <w:tc>
          <w:tcPr>
            <w:tcW w:w="3780" w:type="dxa"/>
            <w:vAlign w:val="bottom"/>
            <w:shd w:val="clear" w:color="auto" w:fill="E0E0E0"/>
          </w:tcPr>
          <w:p>
            <w:pPr>
              <w:spacing w:after="0"/>
              <w:rPr>
                <w:sz w:val="19"/>
                <w:szCs w:val="19"/>
                <w:color w:val="auto"/>
              </w:rPr>
            </w:pPr>
          </w:p>
        </w:tc>
        <w:tc>
          <w:tcPr>
            <w:tcW w:w="258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(4,352)</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(37,359)</w:t>
            </w:r>
          </w:p>
        </w:tc>
        <w:tc>
          <w:tcPr>
            <w:tcW w:w="26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(25,927)</w:t>
            </w:r>
          </w:p>
        </w:tc>
        <w:tc>
          <w:tcPr>
            <w:tcW w:w="100" w:type="dxa"/>
            <w:vAlign w:val="bottom"/>
            <w:shd w:val="clear" w:color="auto" w:fill="E0E0E0"/>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the components of the Company’s provision for income taxes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420" w:type="dxa"/>
            <w:vAlign w:val="bottom"/>
            <w:tcBorders>
              <w:bottom w:val="single" w:sz="8" w:color="E0E0E0"/>
            </w:tcBorders>
          </w:tcPr>
          <w:p>
            <w:pPr>
              <w:spacing w:after="0"/>
              <w:rPr>
                <w:sz w:val="15"/>
                <w:szCs w:val="15"/>
                <w:color w:val="auto"/>
              </w:rPr>
            </w:pPr>
          </w:p>
        </w:tc>
        <w:tc>
          <w:tcPr>
            <w:tcW w:w="94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4"/>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2"/>
              <w:spacing w:after="0" w:line="174"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2"/>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5420" w:type="dxa"/>
            <w:vAlign w:val="bottom"/>
            <w:shd w:val="clear" w:color="auto" w:fill="E0E0E0"/>
          </w:tcPr>
          <w:p>
            <w:pPr>
              <w:spacing w:after="0" w:line="220" w:lineRule="exact"/>
              <w:rPr>
                <w:sz w:val="20"/>
                <w:szCs w:val="20"/>
                <w:color w:val="auto"/>
              </w:rPr>
            </w:pPr>
            <w:r>
              <w:rPr>
                <w:rFonts w:ascii="Arial" w:cs="Arial" w:eastAsia="Arial" w:hAnsi="Arial"/>
                <w:sz w:val="20"/>
                <w:szCs w:val="20"/>
                <w:b w:val="1"/>
                <w:bCs w:val="1"/>
                <w:color w:val="auto"/>
              </w:rPr>
              <w:t>Current</w:t>
            </w:r>
          </w:p>
        </w:tc>
        <w:tc>
          <w:tcPr>
            <w:tcW w:w="9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color w:val="auto"/>
              </w:rPr>
              <w:t>United States: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Federal</w:t>
            </w:r>
          </w:p>
        </w:tc>
        <w:tc>
          <w:tcPr>
            <w:tcW w:w="122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19"/>
                <w:szCs w:val="19"/>
                <w:color w:val="auto"/>
              </w:rPr>
            </w:pPr>
          </w:p>
        </w:tc>
      </w:tr>
      <w:tr>
        <w:trPr>
          <w:trHeight w:val="230"/>
        </w:trPr>
        <w:tc>
          <w:tcPr>
            <w:tcW w:w="5420" w:type="dxa"/>
            <w:vAlign w:val="bottom"/>
          </w:tcPr>
          <w:p>
            <w:pPr>
              <w:ind w:left="280"/>
              <w:spacing w:after="0"/>
              <w:rPr>
                <w:sz w:val="20"/>
                <w:szCs w:val="20"/>
                <w:color w:val="auto"/>
              </w:rPr>
            </w:pPr>
            <w:r>
              <w:rPr>
                <w:rFonts w:ascii="Arial" w:cs="Arial" w:eastAsia="Arial" w:hAnsi="Arial"/>
                <w:sz w:val="20"/>
                <w:szCs w:val="20"/>
                <w:color w:val="auto"/>
              </w:rPr>
              <w:t>State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198</w:t>
            </w:r>
          </w:p>
        </w:tc>
        <w:tc>
          <w:tcPr>
            <w:tcW w:w="100" w:type="dxa"/>
            <w:vAlign w:val="bottom"/>
          </w:tcPr>
          <w:p>
            <w:pPr>
              <w:spacing w:after="0"/>
              <w:rPr>
                <w:sz w:val="19"/>
                <w:szCs w:val="19"/>
                <w:color w:val="auto"/>
              </w:rPr>
            </w:pPr>
          </w:p>
        </w:tc>
      </w:tr>
      <w:tr>
        <w:trPr>
          <w:trHeight w:val="230"/>
        </w:trPr>
        <w:tc>
          <w:tcPr>
            <w:tcW w:w="5420" w:type="dxa"/>
            <w:vAlign w:val="bottom"/>
            <w:shd w:val="clear" w:color="auto" w:fill="E0E0E0"/>
          </w:tcPr>
          <w:p>
            <w:pPr>
              <w:spacing w:after="0"/>
              <w:rPr>
                <w:sz w:val="20"/>
                <w:szCs w:val="20"/>
                <w:color w:val="auto"/>
              </w:rPr>
            </w:pPr>
            <w:r>
              <w:rPr>
                <w:rFonts w:ascii="Arial" w:cs="Arial" w:eastAsia="Arial" w:hAnsi="Arial"/>
                <w:sz w:val="20"/>
                <w:szCs w:val="20"/>
                <w:color w:val="auto"/>
              </w:rPr>
              <w:t>Foreign</w:t>
            </w:r>
          </w:p>
        </w:tc>
        <w:tc>
          <w:tcPr>
            <w:tcW w:w="94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4,011</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3,490</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1,814</w:t>
            </w:r>
          </w:p>
        </w:tc>
        <w:tc>
          <w:tcPr>
            <w:tcW w:w="100" w:type="dxa"/>
            <w:vAlign w:val="bottom"/>
            <w:shd w:val="clear" w:color="auto" w:fill="E0E0E0"/>
          </w:tcPr>
          <w:p>
            <w:pPr>
              <w:spacing w:after="0"/>
              <w:rPr>
                <w:sz w:val="19"/>
                <w:szCs w:val="19"/>
                <w:color w:val="auto"/>
              </w:rPr>
            </w:pPr>
          </w:p>
        </w:tc>
      </w:tr>
      <w:tr>
        <w:trPr>
          <w:trHeight w:val="220"/>
        </w:trPr>
        <w:tc>
          <w:tcPr>
            <w:tcW w:w="5420" w:type="dxa"/>
            <w:vAlign w:val="bottom"/>
            <w:tcBorders>
              <w:bottom w:val="single" w:sz="8" w:color="E0E0E0"/>
            </w:tcBorders>
          </w:tcPr>
          <w:p>
            <w:pPr>
              <w:ind w:left="560"/>
              <w:spacing w:after="0" w:line="220" w:lineRule="exact"/>
              <w:rPr>
                <w:sz w:val="20"/>
                <w:szCs w:val="20"/>
                <w:color w:val="auto"/>
              </w:rPr>
            </w:pPr>
            <w:r>
              <w:rPr>
                <w:rFonts w:ascii="Arial" w:cs="Arial" w:eastAsia="Arial" w:hAnsi="Arial"/>
                <w:sz w:val="20"/>
                <w:szCs w:val="20"/>
                <w:color w:val="auto"/>
              </w:rPr>
              <w:t>Total current provision for income taxes</w:t>
            </w:r>
          </w:p>
        </w:tc>
        <w:tc>
          <w:tcPr>
            <w:tcW w:w="94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4,142</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3,696</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2,012</w:t>
            </w:r>
          </w:p>
        </w:tc>
        <w:tc>
          <w:tcPr>
            <w:tcW w:w="100" w:type="dxa"/>
            <w:vAlign w:val="bottom"/>
            <w:tcBorders>
              <w:bottom w:val="single" w:sz="8" w:color="E0E0E0"/>
            </w:tcBorders>
          </w:tcPr>
          <w:p>
            <w:pPr>
              <w:spacing w:after="0"/>
              <w:rPr>
                <w:sz w:val="19"/>
                <w:szCs w:val="19"/>
                <w:color w:val="auto"/>
              </w:rPr>
            </w:pPr>
          </w:p>
        </w:tc>
      </w:tr>
      <w:tr>
        <w:trPr>
          <w:trHeight w:val="220"/>
        </w:trPr>
        <w:tc>
          <w:tcPr>
            <w:tcW w:w="5420" w:type="dxa"/>
            <w:vAlign w:val="bottom"/>
            <w:shd w:val="clear" w:color="auto" w:fill="E0E0E0"/>
          </w:tcPr>
          <w:p>
            <w:pPr>
              <w:spacing w:after="0" w:line="220" w:lineRule="exact"/>
              <w:rPr>
                <w:sz w:val="20"/>
                <w:szCs w:val="20"/>
                <w:color w:val="auto"/>
              </w:rPr>
            </w:pPr>
            <w:r>
              <w:rPr>
                <w:rFonts w:ascii="Arial" w:cs="Arial" w:eastAsia="Arial" w:hAnsi="Arial"/>
                <w:sz w:val="20"/>
                <w:szCs w:val="20"/>
                <w:b w:val="1"/>
                <w:bCs w:val="1"/>
                <w:color w:val="auto"/>
              </w:rPr>
              <w:t>Deferred</w:t>
            </w:r>
          </w:p>
        </w:tc>
        <w:tc>
          <w:tcPr>
            <w:tcW w:w="9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color w:val="auto"/>
              </w:rPr>
              <w:t>United States: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Federal</w:t>
            </w:r>
          </w:p>
        </w:tc>
        <w:tc>
          <w:tcPr>
            <w:tcW w:w="122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55</w:t>
            </w:r>
          </w:p>
        </w:tc>
        <w:tc>
          <w:tcPr>
            <w:tcW w:w="160" w:type="dxa"/>
            <w:vAlign w:val="bottom"/>
            <w:shd w:val="clear" w:color="auto" w:fill="E0E0E0"/>
          </w:tcPr>
          <w:p>
            <w:pPr>
              <w:spacing w:after="0"/>
              <w:rPr>
                <w:sz w:val="19"/>
                <w:szCs w:val="19"/>
                <w:color w:val="auto"/>
              </w:rPr>
            </w:pPr>
          </w:p>
        </w:tc>
        <w:tc>
          <w:tcPr>
            <w:tcW w:w="38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36</w:t>
            </w:r>
          </w:p>
        </w:tc>
        <w:tc>
          <w:tcPr>
            <w:tcW w:w="160" w:type="dxa"/>
            <w:vAlign w:val="bottom"/>
            <w:shd w:val="clear" w:color="auto" w:fill="E0E0E0"/>
          </w:tcPr>
          <w:p>
            <w:pPr>
              <w:spacing w:after="0"/>
              <w:rPr>
                <w:sz w:val="19"/>
                <w:szCs w:val="19"/>
                <w:color w:val="auto"/>
              </w:rPr>
            </w:pPr>
          </w:p>
        </w:tc>
        <w:tc>
          <w:tcPr>
            <w:tcW w:w="38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15</w:t>
            </w:r>
          </w:p>
        </w:tc>
        <w:tc>
          <w:tcPr>
            <w:tcW w:w="100" w:type="dxa"/>
            <w:vAlign w:val="bottom"/>
            <w:shd w:val="clear" w:color="auto" w:fill="E0E0E0"/>
          </w:tcPr>
          <w:p>
            <w:pPr>
              <w:spacing w:after="0"/>
              <w:rPr>
                <w:sz w:val="19"/>
                <w:szCs w:val="19"/>
                <w:color w:val="auto"/>
              </w:rPr>
            </w:pPr>
          </w:p>
        </w:tc>
      </w:tr>
      <w:tr>
        <w:trPr>
          <w:trHeight w:val="230"/>
        </w:trPr>
        <w:tc>
          <w:tcPr>
            <w:tcW w:w="5420" w:type="dxa"/>
            <w:vAlign w:val="bottom"/>
          </w:tcPr>
          <w:p>
            <w:pPr>
              <w:ind w:left="280"/>
              <w:spacing w:after="0"/>
              <w:rPr>
                <w:sz w:val="20"/>
                <w:szCs w:val="20"/>
                <w:color w:val="auto"/>
              </w:rPr>
            </w:pPr>
            <w:r>
              <w:rPr>
                <w:rFonts w:ascii="Arial" w:cs="Arial" w:eastAsia="Arial" w:hAnsi="Arial"/>
                <w:sz w:val="20"/>
                <w:szCs w:val="20"/>
                <w:color w:val="auto"/>
              </w:rPr>
              <w:t>State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95</w:t>
            </w:r>
          </w:p>
        </w:tc>
        <w:tc>
          <w:tcPr>
            <w:tcW w:w="100" w:type="dxa"/>
            <w:vAlign w:val="bottom"/>
          </w:tcPr>
          <w:p>
            <w:pPr>
              <w:spacing w:after="0"/>
              <w:rPr>
                <w:sz w:val="19"/>
                <w:szCs w:val="19"/>
                <w:color w:val="auto"/>
              </w:rPr>
            </w:pPr>
          </w:p>
        </w:tc>
      </w:tr>
      <w:tr>
        <w:trPr>
          <w:trHeight w:val="230"/>
        </w:trPr>
        <w:tc>
          <w:tcPr>
            <w:tcW w:w="5420" w:type="dxa"/>
            <w:vAlign w:val="bottom"/>
            <w:shd w:val="clear" w:color="auto" w:fill="E0E0E0"/>
          </w:tcPr>
          <w:p>
            <w:pPr>
              <w:spacing w:after="0"/>
              <w:rPr>
                <w:sz w:val="20"/>
                <w:szCs w:val="20"/>
                <w:color w:val="auto"/>
              </w:rPr>
            </w:pPr>
            <w:r>
              <w:rPr>
                <w:rFonts w:ascii="Arial" w:cs="Arial" w:eastAsia="Arial" w:hAnsi="Arial"/>
                <w:sz w:val="20"/>
                <w:szCs w:val="20"/>
                <w:color w:val="auto"/>
              </w:rPr>
              <w:t>Foreign</w:t>
            </w:r>
          </w:p>
        </w:tc>
        <w:tc>
          <w:tcPr>
            <w:tcW w:w="9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119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14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(1,750)</w:t>
            </w: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36</w:t>
            </w:r>
          </w:p>
        </w:tc>
        <w:tc>
          <w:tcPr>
            <w:tcW w:w="100" w:type="dxa"/>
            <w:vAlign w:val="bottom"/>
            <w:shd w:val="clear" w:color="auto" w:fill="E0E0E0"/>
          </w:tcPr>
          <w:p>
            <w:pPr>
              <w:spacing w:after="0"/>
              <w:rPr>
                <w:sz w:val="19"/>
                <w:szCs w:val="19"/>
                <w:color w:val="auto"/>
              </w:rPr>
            </w:pPr>
          </w:p>
        </w:tc>
      </w:tr>
      <w:tr>
        <w:trPr>
          <w:trHeight w:val="220"/>
        </w:trPr>
        <w:tc>
          <w:tcPr>
            <w:tcW w:w="5420" w:type="dxa"/>
            <w:vAlign w:val="bottom"/>
            <w:tcBorders>
              <w:bottom w:val="single" w:sz="8" w:color="E0E0E0"/>
            </w:tcBorders>
          </w:tcPr>
          <w:p>
            <w:pPr>
              <w:ind w:left="560"/>
              <w:spacing w:after="0" w:line="220" w:lineRule="exact"/>
              <w:rPr>
                <w:sz w:val="20"/>
                <w:szCs w:val="20"/>
                <w:color w:val="auto"/>
              </w:rPr>
            </w:pPr>
            <w:r>
              <w:rPr>
                <w:rFonts w:ascii="Arial" w:cs="Arial" w:eastAsia="Arial" w:hAnsi="Arial"/>
                <w:sz w:val="20"/>
                <w:szCs w:val="20"/>
                <w:color w:val="auto"/>
              </w:rPr>
              <w:t>Total deferred income tax provision (benefit)</w:t>
            </w:r>
          </w:p>
        </w:tc>
        <w:tc>
          <w:tcPr>
            <w:tcW w:w="940" w:type="dxa"/>
            <w:vAlign w:val="bottom"/>
            <w:tcBorders>
              <w:bottom w:val="single" w:sz="8" w:color="E0E0E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72</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(1,708)</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146</w:t>
            </w:r>
          </w:p>
        </w:tc>
        <w:tc>
          <w:tcPr>
            <w:tcW w:w="100" w:type="dxa"/>
            <w:vAlign w:val="bottom"/>
            <w:tcBorders>
              <w:bottom w:val="single" w:sz="8" w:color="E0E0E0"/>
            </w:tcBorders>
          </w:tcPr>
          <w:p>
            <w:pPr>
              <w:spacing w:after="0"/>
              <w:rPr>
                <w:sz w:val="19"/>
                <w:szCs w:val="19"/>
                <w:color w:val="auto"/>
              </w:rPr>
            </w:pPr>
          </w:p>
        </w:tc>
      </w:tr>
      <w:tr>
        <w:trPr>
          <w:trHeight w:val="220"/>
        </w:trPr>
        <w:tc>
          <w:tcPr>
            <w:tcW w:w="542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income tax provision</w:t>
            </w:r>
          </w:p>
        </w:tc>
        <w:tc>
          <w:tcPr>
            <w:tcW w:w="94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4,214</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1,988</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2,158</w:t>
            </w:r>
          </w:p>
        </w:tc>
        <w:tc>
          <w:tcPr>
            <w:tcW w:w="100" w:type="dxa"/>
            <w:vAlign w:val="bottom"/>
            <w:shd w:val="clear" w:color="auto" w:fill="E0E0E0"/>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160" w:right="720" w:bottom="186"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2240" w:h="15840" w:orient="portrait"/>
          <w:cols w:equalWidth="0" w:num="1">
            <w:col w:w="10800"/>
          </w:cols>
          <w:pgMar w:left="720" w:top="1160" w:right="720" w:bottom="186" w:gutter="0" w:footer="0" w:header="0"/>
          <w:type w:val="continuous"/>
        </w:sectPr>
      </w:pPr>
    </w:p>
    <w:bookmarkStart w:id="147" w:name="page148"/>
    <w:bookmarkEnd w:id="147"/>
    <w:p>
      <w:pPr>
        <w:ind w:left="500"/>
        <w:spacing w:after="0"/>
        <w:rPr>
          <w:sz w:val="20"/>
          <w:szCs w:val="20"/>
          <w:color w:val="auto"/>
        </w:rPr>
      </w:pPr>
      <w:r>
        <w:rPr>
          <w:rFonts w:ascii="Arial" w:cs="Arial" w:eastAsia="Arial" w:hAnsi="Arial"/>
          <w:sz w:val="20"/>
          <w:szCs w:val="20"/>
          <w:color w:val="auto"/>
        </w:rPr>
        <w:t>A reconciliation of the U.S. federal statutory income tax rate to the Company’s effective income tax rate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6"/>
                <w:szCs w:val="16"/>
                <w:b w:val="1"/>
                <w:bCs w:val="1"/>
                <w:color w:val="auto"/>
                <w:w w:val="99"/>
              </w:rPr>
              <w:t>Year Ended December 31,</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60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80"/>
              <w:spacing w:after="0" w:line="174" w:lineRule="exact"/>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line="174" w:lineRule="exact"/>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20"/>
              <w:spacing w:after="0" w:line="174"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Federal statutory income tax rate</w:t>
            </w:r>
          </w:p>
        </w:tc>
        <w:tc>
          <w:tcPr>
            <w:tcW w:w="1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7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(914)</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line="220" w:lineRule="exact"/>
              <w:rPr>
                <w:sz w:val="20"/>
                <w:szCs w:val="20"/>
                <w:color w:val="auto"/>
              </w:rPr>
            </w:pPr>
            <w:r>
              <w:rPr>
                <w:rFonts w:ascii="Arial" w:cs="Arial" w:eastAsia="Arial" w:hAnsi="Arial"/>
                <w:sz w:val="20"/>
                <w:szCs w:val="20"/>
                <w:color w:val="auto"/>
              </w:rPr>
              <w:t>21.0%</w:t>
            </w:r>
          </w:p>
        </w:tc>
        <w:tc>
          <w:tcPr>
            <w:tcW w:w="140" w:type="dxa"/>
            <w:vAlign w:val="bottom"/>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6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(7,845</w:t>
            </w:r>
          </w:p>
        </w:tc>
        <w:tc>
          <w:tcPr>
            <w:tcW w:w="120" w:type="dxa"/>
            <w:vAlign w:val="bottom"/>
            <w:tcBorders>
              <w:right w:val="single" w:sz="8" w:color="E0E0E0"/>
            </w:tcBorders>
            <w:shd w:val="clear" w:color="auto" w:fill="E0E0E0"/>
          </w:tcPr>
          <w:p>
            <w:pPr>
              <w:jc w:val="right"/>
              <w:spacing w:after="0"/>
              <w:rPr>
                <w:sz w:val="20"/>
                <w:szCs w:val="20"/>
                <w:color w:val="auto"/>
              </w:rPr>
            </w:pPr>
            <w:r>
              <w:rPr>
                <w:rFonts w:ascii="Arial" w:cs="Arial" w:eastAsia="Arial" w:hAnsi="Arial"/>
                <w:sz w:val="16"/>
                <w:szCs w:val="16"/>
                <w:color w:val="auto"/>
                <w:w w:val="74"/>
                <w:shd w:val="clear" w:color="auto" w:fill="E0E0E0"/>
              </w:rPr>
              <w:t>)</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line="220" w:lineRule="exact"/>
              <w:rPr>
                <w:sz w:val="20"/>
                <w:szCs w:val="20"/>
                <w:color w:val="auto"/>
              </w:rPr>
            </w:pPr>
            <w:r>
              <w:rPr>
                <w:rFonts w:ascii="Arial" w:cs="Arial" w:eastAsia="Arial" w:hAnsi="Arial"/>
                <w:sz w:val="20"/>
                <w:szCs w:val="20"/>
                <w:color w:val="auto"/>
              </w:rPr>
              <w:t>21.0%</w:t>
            </w:r>
          </w:p>
        </w:tc>
        <w:tc>
          <w:tcPr>
            <w:tcW w:w="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6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(5,435</w:t>
            </w:r>
          </w:p>
        </w:tc>
        <w:tc>
          <w:tcPr>
            <w:tcW w:w="120" w:type="dxa"/>
            <w:vAlign w:val="bottom"/>
            <w:tcBorders>
              <w:right w:val="single" w:sz="8" w:color="E0E0E0"/>
            </w:tcBorders>
            <w:shd w:val="clear" w:color="auto" w:fill="E0E0E0"/>
          </w:tcPr>
          <w:p>
            <w:pPr>
              <w:jc w:val="right"/>
              <w:spacing w:after="0"/>
              <w:rPr>
                <w:sz w:val="20"/>
                <w:szCs w:val="20"/>
                <w:color w:val="auto"/>
              </w:rPr>
            </w:pPr>
            <w:r>
              <w:rPr>
                <w:rFonts w:ascii="Arial" w:cs="Arial" w:eastAsia="Arial" w:hAnsi="Arial"/>
                <w:sz w:val="16"/>
                <w:szCs w:val="16"/>
                <w:color w:val="auto"/>
                <w:w w:val="74"/>
                <w:shd w:val="clear" w:color="auto" w:fill="E0E0E0"/>
              </w:rPr>
              <w:t>)</w:t>
            </w:r>
          </w:p>
        </w:tc>
        <w:tc>
          <w:tcPr>
            <w:tcW w:w="180" w:type="dxa"/>
            <w:vAlign w:val="bottom"/>
          </w:tcPr>
          <w:p>
            <w:pPr>
              <w:spacing w:after="0"/>
              <w:rPr>
                <w:sz w:val="19"/>
                <w:szCs w:val="19"/>
                <w:color w:val="auto"/>
              </w:rPr>
            </w:pPr>
          </w:p>
        </w:tc>
        <w:tc>
          <w:tcPr>
            <w:tcW w:w="840" w:type="dxa"/>
            <w:vAlign w:val="bottom"/>
            <w:gridSpan w:val="3"/>
          </w:tcPr>
          <w:p>
            <w:pPr>
              <w:jc w:val="right"/>
              <w:ind w:right="100"/>
              <w:spacing w:after="0" w:line="220" w:lineRule="exact"/>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State income taxes, net of federal benefit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Non-deductible expenses</w:t>
            </w: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181</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(4.2)</w:t>
            </w:r>
          </w:p>
        </w:tc>
        <w:tc>
          <w:tcPr>
            <w:tcW w:w="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ind w:right="280"/>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E0E0E0"/>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ind w:right="300"/>
              <w:spacing w:after="0"/>
              <w:rPr>
                <w:sz w:val="20"/>
                <w:szCs w:val="20"/>
                <w:color w:val="auto"/>
              </w:rPr>
            </w:pPr>
            <w:r>
              <w:rPr>
                <w:rFonts w:ascii="Arial" w:cs="Arial" w:eastAsia="Arial" w:hAnsi="Arial"/>
                <w:sz w:val="20"/>
                <w:szCs w:val="20"/>
                <w:color w:val="auto"/>
              </w:rPr>
              <w:t>—</w:t>
            </w:r>
          </w:p>
        </w:tc>
        <w:tc>
          <w:tcPr>
            <w:tcW w:w="840" w:type="dxa"/>
            <w:vAlign w:val="bottom"/>
            <w:gridSpan w:val="3"/>
            <w:shd w:val="clear" w:color="auto" w:fill="E0E0E0"/>
          </w:tcPr>
          <w:p>
            <w:pPr>
              <w:jc w:val="right"/>
              <w:ind w:right="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Imputed interest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Fair value of contingent consideration</w:t>
            </w: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79</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(1.8)</w:t>
            </w:r>
          </w:p>
        </w:tc>
        <w:tc>
          <w:tcPr>
            <w:tcW w:w="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00" w:type="dxa"/>
            <w:vAlign w:val="bottom"/>
            <w:tcBorders>
              <w:right w:val="single" w:sz="8" w:color="E0E0E0"/>
            </w:tcBorders>
            <w:gridSpan w:val="2"/>
            <w:shd w:val="clear" w:color="auto" w:fill="E0E0E0"/>
          </w:tcPr>
          <w:p>
            <w:pPr>
              <w:jc w:val="right"/>
              <w:spacing w:after="0"/>
              <w:rPr>
                <w:sz w:val="20"/>
                <w:szCs w:val="20"/>
                <w:color w:val="auto"/>
              </w:rPr>
            </w:pPr>
            <w:r>
              <w:rPr>
                <w:rFonts w:ascii="Arial" w:cs="Arial" w:eastAsia="Arial" w:hAnsi="Arial"/>
                <w:sz w:val="20"/>
                <w:szCs w:val="20"/>
                <w:color w:val="auto"/>
              </w:rPr>
              <w:t>(579)</w:t>
            </w:r>
          </w:p>
        </w:tc>
        <w:tc>
          <w:tcPr>
            <w:tcW w:w="16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1.5</w:t>
            </w:r>
          </w:p>
        </w:tc>
        <w:tc>
          <w:tcPr>
            <w:tcW w:w="3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462</w:t>
            </w:r>
          </w:p>
        </w:tc>
        <w:tc>
          <w:tcPr>
            <w:tcW w:w="12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22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Global intangible low-taxed income inclusion</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3,128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(71.9)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Equity-based compensation</w:t>
            </w: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(4,668)</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107.3</w:t>
            </w:r>
          </w:p>
        </w:tc>
        <w:tc>
          <w:tcPr>
            <w:tcW w:w="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00" w:type="dxa"/>
            <w:vAlign w:val="bottom"/>
            <w:tcBorders>
              <w:right w:val="single" w:sz="8" w:color="E0E0E0"/>
            </w:tcBorders>
            <w:gridSpan w:val="2"/>
            <w:shd w:val="clear" w:color="auto" w:fill="E0E0E0"/>
          </w:tcPr>
          <w:p>
            <w:pPr>
              <w:jc w:val="right"/>
              <w:spacing w:after="0"/>
              <w:rPr>
                <w:sz w:val="20"/>
                <w:szCs w:val="20"/>
                <w:color w:val="auto"/>
              </w:rPr>
            </w:pPr>
            <w:r>
              <w:rPr>
                <w:rFonts w:ascii="Arial" w:cs="Arial" w:eastAsia="Arial" w:hAnsi="Arial"/>
                <w:sz w:val="20"/>
                <w:szCs w:val="20"/>
                <w:color w:val="auto"/>
              </w:rPr>
              <w:t>(3,538)</w:t>
            </w:r>
          </w:p>
        </w:tc>
        <w:tc>
          <w:tcPr>
            <w:tcW w:w="16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9.5</w:t>
            </w:r>
          </w:p>
        </w:tc>
        <w:tc>
          <w:tcPr>
            <w:tcW w:w="3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80" w:type="dxa"/>
            <w:vAlign w:val="bottom"/>
            <w:tcBorders>
              <w:right w:val="single" w:sz="8" w:color="E0E0E0"/>
            </w:tcBorders>
            <w:gridSpan w:val="2"/>
            <w:shd w:val="clear" w:color="auto" w:fill="E0E0E0"/>
          </w:tcPr>
          <w:p>
            <w:pPr>
              <w:jc w:val="right"/>
              <w:spacing w:after="0"/>
              <w:rPr>
                <w:sz w:val="20"/>
                <w:szCs w:val="20"/>
                <w:color w:val="auto"/>
              </w:rPr>
            </w:pPr>
            <w:r>
              <w:rPr>
                <w:rFonts w:ascii="Arial" w:cs="Arial" w:eastAsia="Arial" w:hAnsi="Arial"/>
                <w:sz w:val="20"/>
                <w:szCs w:val="20"/>
                <w:color w:val="auto"/>
              </w:rPr>
              <w:t>(2,724)</w:t>
            </w:r>
          </w:p>
        </w:tc>
        <w:tc>
          <w:tcPr>
            <w:tcW w:w="180" w:type="dxa"/>
            <w:vAlign w:val="bottom"/>
            <w:shd w:val="clear" w:color="auto" w:fill="E0E0E0"/>
          </w:tcPr>
          <w:p>
            <w:pPr>
              <w:spacing w:after="0"/>
              <w:rPr>
                <w:sz w:val="19"/>
                <w:szCs w:val="19"/>
                <w:color w:val="auto"/>
              </w:rPr>
            </w:pPr>
          </w:p>
        </w:tc>
        <w:tc>
          <w:tcPr>
            <w:tcW w:w="5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10.5</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00" w:type="dxa"/>
            <w:vAlign w:val="bottom"/>
          </w:tcPr>
          <w:p>
            <w:pPr>
              <w:ind w:left="280"/>
              <w:spacing w:after="0" w:line="210" w:lineRule="exact"/>
              <w:rPr>
                <w:sz w:val="20"/>
                <w:szCs w:val="20"/>
                <w:color w:val="auto"/>
              </w:rPr>
            </w:pPr>
            <w:r>
              <w:rPr>
                <w:rFonts w:ascii="Arial" w:cs="Arial" w:eastAsia="Arial" w:hAnsi="Arial"/>
                <w:sz w:val="20"/>
                <w:szCs w:val="20"/>
                <w:color w:val="auto"/>
              </w:rPr>
              <w:t>Change in fair value of preferred stock</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0" w:type="dxa"/>
            <w:vAlign w:val="bottom"/>
          </w:tcPr>
          <w:p>
            <w:pPr>
              <w:ind w:left="440"/>
              <w:spacing w:after="0"/>
              <w:rPr>
                <w:sz w:val="20"/>
                <w:szCs w:val="20"/>
                <w:color w:val="auto"/>
              </w:rPr>
            </w:pPr>
            <w:r>
              <w:rPr>
                <w:rFonts w:ascii="Arial" w:cs="Arial" w:eastAsia="Arial" w:hAnsi="Arial"/>
                <w:sz w:val="20"/>
                <w:szCs w:val="20"/>
                <w:color w:val="auto"/>
              </w:rPr>
              <w:t>warrant liability</w:t>
            </w:r>
          </w:p>
        </w:tc>
        <w:tc>
          <w:tcPr>
            <w:tcW w:w="120" w:type="dxa"/>
            <w:vAlign w:val="bottom"/>
          </w:tcPr>
          <w:p>
            <w:pPr>
              <w:spacing w:after="0"/>
              <w:rPr>
                <w:sz w:val="21"/>
                <w:szCs w:val="21"/>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2,259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30"/>
        </w:trPr>
        <w:tc>
          <w:tcPr>
            <w:tcW w:w="46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Excess executive compensation</w:t>
            </w: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1,865</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(42.9)</w:t>
            </w:r>
          </w:p>
        </w:tc>
        <w:tc>
          <w:tcPr>
            <w:tcW w:w="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1,267</w:t>
            </w:r>
          </w:p>
        </w:tc>
        <w:tc>
          <w:tcPr>
            <w:tcW w:w="12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240"/>
              <w:spacing w:after="0"/>
              <w:rPr>
                <w:sz w:val="20"/>
                <w:szCs w:val="20"/>
                <w:color w:val="auto"/>
              </w:rPr>
            </w:pPr>
            <w:r>
              <w:rPr>
                <w:rFonts w:ascii="Arial" w:cs="Arial" w:eastAsia="Arial" w:hAnsi="Arial"/>
                <w:sz w:val="20"/>
                <w:szCs w:val="20"/>
                <w:color w:val="auto"/>
              </w:rPr>
              <w:t>(3.4)</w:t>
            </w:r>
          </w:p>
        </w:tc>
        <w:tc>
          <w:tcPr>
            <w:tcW w:w="2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1,727</w:t>
            </w:r>
          </w:p>
        </w:tc>
        <w:tc>
          <w:tcPr>
            <w:tcW w:w="12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220"/>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Change in uncertain tax position</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(68)</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0.2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0"/>
        </w:trPr>
        <w:tc>
          <w:tcPr>
            <w:tcW w:w="46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Change in valuation allowance</w:t>
            </w: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2,734</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(62.8)</w:t>
            </w:r>
          </w:p>
        </w:tc>
        <w:tc>
          <w:tcPr>
            <w:tcW w:w="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13,797</w:t>
            </w:r>
          </w:p>
        </w:tc>
        <w:tc>
          <w:tcPr>
            <w:tcW w:w="12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240"/>
              <w:spacing w:after="0"/>
              <w:rPr>
                <w:sz w:val="20"/>
                <w:szCs w:val="20"/>
                <w:color w:val="auto"/>
              </w:rPr>
            </w:pPr>
            <w:r>
              <w:rPr>
                <w:rFonts w:ascii="Arial" w:cs="Arial" w:eastAsia="Arial" w:hAnsi="Arial"/>
                <w:sz w:val="20"/>
                <w:szCs w:val="20"/>
                <w:color w:val="auto"/>
              </w:rPr>
              <w:t>(36.9)</w:t>
            </w:r>
          </w:p>
        </w:tc>
        <w:tc>
          <w:tcPr>
            <w:tcW w:w="2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6,384</w:t>
            </w:r>
          </w:p>
        </w:tc>
        <w:tc>
          <w:tcPr>
            <w:tcW w:w="12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220"/>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Foreign rate differential</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(23.3)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(1.3)</w:t>
            </w: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0.2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Deferred statutory rate changes</w:t>
            </w: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1,296</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(29.8)</w:t>
            </w:r>
          </w:p>
        </w:tc>
        <w:tc>
          <w:tcPr>
            <w:tcW w:w="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00" w:type="dxa"/>
            <w:vAlign w:val="bottom"/>
            <w:tcBorders>
              <w:right w:val="single" w:sz="8" w:color="E0E0E0"/>
            </w:tcBorders>
            <w:gridSpan w:val="2"/>
            <w:shd w:val="clear" w:color="auto" w:fill="E0E0E0"/>
          </w:tcPr>
          <w:p>
            <w:pPr>
              <w:jc w:val="right"/>
              <w:spacing w:after="0"/>
              <w:rPr>
                <w:sz w:val="20"/>
                <w:szCs w:val="20"/>
                <w:color w:val="auto"/>
              </w:rPr>
            </w:pPr>
            <w:r>
              <w:rPr>
                <w:rFonts w:ascii="Arial" w:cs="Arial" w:eastAsia="Arial" w:hAnsi="Arial"/>
                <w:sz w:val="20"/>
                <w:szCs w:val="20"/>
                <w:color w:val="auto"/>
              </w:rPr>
              <w:t>(367)</w:t>
            </w:r>
          </w:p>
        </w:tc>
        <w:tc>
          <w:tcPr>
            <w:tcW w:w="16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w:t>
            </w:r>
          </w:p>
        </w:tc>
        <w:tc>
          <w:tcPr>
            <w:tcW w:w="3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87</w:t>
            </w:r>
          </w:p>
        </w:tc>
        <w:tc>
          <w:tcPr>
            <w:tcW w:w="12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22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Foreign withholding taxes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20"/>
                <w:szCs w:val="20"/>
                <w:color w:val="auto"/>
              </w:rPr>
              <w:t>Other</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(2)</w:t>
            </w: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(0.8)</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Arial" w:cs="Arial" w:eastAsia="Arial" w:hAnsi="Arial"/>
                <w:sz w:val="20"/>
                <w:szCs w:val="20"/>
                <w:color w:val="auto"/>
              </w:rPr>
              <w:t>Effective income tax rate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00" w:type="dxa"/>
            <w:vAlign w:val="bottom"/>
            <w:vMerge w:val="continue"/>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line="220" w:lineRule="exact"/>
              <w:rPr>
                <w:sz w:val="20"/>
                <w:szCs w:val="20"/>
                <w:color w:val="auto"/>
              </w:rPr>
            </w:pPr>
            <w:r>
              <w:rPr>
                <w:rFonts w:ascii="Arial" w:cs="Arial" w:eastAsia="Arial" w:hAnsi="Arial"/>
                <w:sz w:val="20"/>
                <w:szCs w:val="20"/>
                <w:color w:val="auto"/>
              </w:rPr>
              <w:t>4,214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(96.8)%</w:t>
            </w:r>
          </w:p>
        </w:tc>
        <w:tc>
          <w:tcPr>
            <w:tcW w:w="140" w:type="dxa"/>
            <w:vAlign w:val="bottom"/>
            <w:vMerge w:val="continue"/>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1,988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Arial" w:cs="Arial" w:eastAsia="Arial" w:hAnsi="Arial"/>
                <w:sz w:val="20"/>
                <w:szCs w:val="20"/>
                <w:color w:val="auto"/>
              </w:rPr>
              <w:t>(5.4)%</w:t>
            </w:r>
          </w:p>
        </w:tc>
        <w:tc>
          <w:tcPr>
            <w:tcW w:w="300" w:type="dxa"/>
            <w:vAlign w:val="bottom"/>
          </w:tcPr>
          <w:p>
            <w:pPr>
              <w:spacing w:after="0"/>
              <w:rPr>
                <w:sz w:val="19"/>
                <w:szCs w:val="19"/>
                <w:color w:val="auto"/>
              </w:rPr>
            </w:pPr>
          </w:p>
        </w:tc>
        <w:tc>
          <w:tcPr>
            <w:tcW w:w="200" w:type="dxa"/>
            <w:vAlign w:val="bottom"/>
          </w:tcPr>
          <w:p>
            <w:pPr>
              <w:jc w:val="right"/>
              <w:spacing w:after="0" w:line="220" w:lineRule="exact"/>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line="220" w:lineRule="exact"/>
              <w:rPr>
                <w:sz w:val="20"/>
                <w:szCs w:val="20"/>
                <w:color w:val="auto"/>
              </w:rPr>
            </w:pPr>
            <w:r>
              <w:rPr>
                <w:rFonts w:ascii="Arial" w:cs="Arial" w:eastAsia="Arial" w:hAnsi="Arial"/>
                <w:sz w:val="20"/>
                <w:szCs w:val="20"/>
                <w:color w:val="auto"/>
              </w:rPr>
              <w:t>2,158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40"/>
              <w:spacing w:after="0" w:line="220" w:lineRule="exact"/>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3528060</wp:posOffset>
                </wp:positionH>
                <wp:positionV relativeFrom="paragraph">
                  <wp:posOffset>-2517140</wp:posOffset>
                </wp:positionV>
                <wp:extent cx="483235" cy="14605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235" cy="146050"/>
                        </a:xfrm>
                        <a:prstGeom prst="rect">
                          <a:avLst/>
                        </a:prstGeom>
                        <a:solidFill>
                          <a:srgbClr val="E0E0E0"/>
                        </a:solidFill>
                      </wps:spPr>
                      <wps:bodyPr/>
                    </wps:wsp>
                  </a:graphicData>
                </a:graphic>
              </wp:anchor>
            </w:drawing>
          </mc:Choice>
          <mc:Fallback>
            <w:pict>
              <v:rect id="Shape 59" o:spid="_x0000_s1084" style="position:absolute;margin-left:277.8pt;margin-top:-198.1999pt;width:38.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4011295</wp:posOffset>
                </wp:positionH>
                <wp:positionV relativeFrom="paragraph">
                  <wp:posOffset>-2523490</wp:posOffset>
                </wp:positionV>
                <wp:extent cx="247015" cy="1524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015" cy="152400"/>
                        </a:xfrm>
                        <a:prstGeom prst="rect">
                          <a:avLst/>
                        </a:prstGeom>
                        <a:solidFill>
                          <a:srgbClr val="E0E0E0"/>
                        </a:solidFill>
                      </wps:spPr>
                      <wps:bodyPr/>
                    </wps:wsp>
                  </a:graphicData>
                </a:graphic>
              </wp:anchor>
            </w:drawing>
          </mc:Choice>
          <mc:Fallback>
            <w:pict>
              <v:rect id="Shape 60" o:spid="_x0000_s1085" style="position:absolute;margin-left:315.85pt;margin-top:-198.6999pt;width:19.4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4862830</wp:posOffset>
                </wp:positionH>
                <wp:positionV relativeFrom="paragraph">
                  <wp:posOffset>-2517140</wp:posOffset>
                </wp:positionV>
                <wp:extent cx="532130" cy="14605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30" cy="146050"/>
                        </a:xfrm>
                        <a:prstGeom prst="rect">
                          <a:avLst/>
                        </a:prstGeom>
                        <a:solidFill>
                          <a:srgbClr val="E0E0E0"/>
                        </a:solidFill>
                      </wps:spPr>
                      <wps:bodyPr/>
                    </wps:wsp>
                  </a:graphicData>
                </a:graphic>
              </wp:anchor>
            </w:drawing>
          </mc:Choice>
          <mc:Fallback>
            <w:pict>
              <v:rect id="Shape 61" o:spid="_x0000_s1086" style="position:absolute;margin-left:382.9pt;margin-top:-198.1999pt;width:41.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5394960</wp:posOffset>
                </wp:positionH>
                <wp:positionV relativeFrom="paragraph">
                  <wp:posOffset>-2523490</wp:posOffset>
                </wp:positionV>
                <wp:extent cx="197485" cy="1524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152400"/>
                        </a:xfrm>
                        <a:prstGeom prst="rect">
                          <a:avLst/>
                        </a:prstGeom>
                        <a:solidFill>
                          <a:srgbClr val="E0E0E0"/>
                        </a:solidFill>
                      </wps:spPr>
                      <wps:bodyPr/>
                    </wps:wsp>
                  </a:graphicData>
                </a:graphic>
              </wp:anchor>
            </w:drawing>
          </mc:Choice>
          <mc:Fallback>
            <w:pict>
              <v:rect id="Shape 62" o:spid="_x0000_s1087" style="position:absolute;margin-left:424.8pt;margin-top:-198.6999pt;width:15.5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6196965</wp:posOffset>
                </wp:positionH>
                <wp:positionV relativeFrom="paragraph">
                  <wp:posOffset>-2517140</wp:posOffset>
                </wp:positionV>
                <wp:extent cx="482600" cy="14605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0" cy="146050"/>
                        </a:xfrm>
                        <a:prstGeom prst="rect">
                          <a:avLst/>
                        </a:prstGeom>
                        <a:solidFill>
                          <a:srgbClr val="E0E0E0"/>
                        </a:solidFill>
                      </wps:spPr>
                      <wps:bodyPr/>
                    </wps:wsp>
                  </a:graphicData>
                </a:graphic>
              </wp:anchor>
            </w:drawing>
          </mc:Choice>
          <mc:Fallback>
            <w:pict>
              <v:rect id="Shape 63" o:spid="_x0000_s1088" style="position:absolute;margin-left:487.95pt;margin-top:-198.1999pt;width:3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6679565</wp:posOffset>
                </wp:positionH>
                <wp:positionV relativeFrom="paragraph">
                  <wp:posOffset>-2523490</wp:posOffset>
                </wp:positionV>
                <wp:extent cx="178435" cy="1524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52400"/>
                        </a:xfrm>
                        <a:prstGeom prst="rect">
                          <a:avLst/>
                        </a:prstGeom>
                        <a:solidFill>
                          <a:srgbClr val="E0E0E0"/>
                        </a:solidFill>
                      </wps:spPr>
                      <wps:bodyPr/>
                    </wps:wsp>
                  </a:graphicData>
                </a:graphic>
              </wp:anchor>
            </w:drawing>
          </mc:Choice>
          <mc:Fallback>
            <w:pict>
              <v:rect id="Shape 64" o:spid="_x0000_s1089" style="position:absolute;margin-left:525.95pt;margin-top:-198.6999pt;width:14.0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-326390</wp:posOffset>
                </wp:positionV>
                <wp:extent cx="3458845" cy="14605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58845" cy="146050"/>
                        </a:xfrm>
                        <a:prstGeom prst="rect">
                          <a:avLst/>
                        </a:prstGeom>
                        <a:solidFill>
                          <a:srgbClr val="E0E0E0"/>
                        </a:solidFill>
                      </wps:spPr>
                      <wps:bodyPr/>
                    </wps:wsp>
                  </a:graphicData>
                </a:graphic>
              </wp:anchor>
            </w:drawing>
          </mc:Choice>
          <mc:Fallback>
            <w:pict>
              <v:rect id="Shape 65" o:spid="_x0000_s1090" style="position:absolute;margin-left:0pt;margin-top:-25.6999pt;width:272.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3458845</wp:posOffset>
                </wp:positionH>
                <wp:positionV relativeFrom="paragraph">
                  <wp:posOffset>-326390</wp:posOffset>
                </wp:positionV>
                <wp:extent cx="3399155" cy="14605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9155" cy="146050"/>
                        </a:xfrm>
                        <a:prstGeom prst="rect">
                          <a:avLst/>
                        </a:prstGeom>
                        <a:solidFill>
                          <a:srgbClr val="E0E0E0"/>
                        </a:solidFill>
                      </wps:spPr>
                      <wps:bodyPr/>
                    </wps:wsp>
                  </a:graphicData>
                </a:graphic>
              </wp:anchor>
            </w:drawing>
          </mc:Choice>
          <mc:Fallback>
            <w:pict>
              <v:rect id="Shape 66" o:spid="_x0000_s1091" style="position:absolute;margin-left:272.35pt;margin-top:-25.6999pt;width:267.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61"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During the years ended December 31, 2023, 2022 and 2021, the Company recorded an income tax provision of $4.2 million, $2.0 million and $2.2 million, respectively, which is primarily attributable to foreign activity and U.S. state taxes.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Company’s deferred tax assets and liabilities consisted of the following components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7420" w:type="dxa"/>
            <w:vAlign w:val="bottom"/>
            <w:tcBorders>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2"/>
              <w:spacing w:after="0" w:line="174"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bottom w:val="single" w:sz="8" w:color="E0E0E0"/>
            </w:tcBorders>
          </w:tcPr>
          <w:p>
            <w:pPr>
              <w:spacing w:after="0"/>
              <w:rPr>
                <w:sz w:val="15"/>
                <w:szCs w:val="15"/>
                <w:color w:val="auto"/>
              </w:rPr>
            </w:pPr>
          </w:p>
        </w:tc>
        <w:tc>
          <w:tcPr>
            <w:tcW w:w="120" w:type="dxa"/>
            <w:vAlign w:val="bottom"/>
            <w:tcBorders>
              <w:top w:val="single" w:sz="8" w:color="auto"/>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1"/>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Deferred tax assets:</w:t>
            </w: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Net operating loss carryforwards</w:t>
            </w:r>
          </w:p>
        </w:tc>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26,690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33,078</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Property and equipment</w:t>
            </w: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395</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496</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Accrued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1,398</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Equity-based compensation</w:t>
            </w: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5,113</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5,370</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Lease liability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686</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Interest limitation carryforward</w:t>
            </w:r>
          </w:p>
        </w:tc>
        <w:tc>
          <w:tcPr>
            <w:tcW w:w="340" w:type="dxa"/>
            <w:vAlign w:val="bottom"/>
            <w:shd w:val="clear" w:color="auto" w:fill="E0E0E0"/>
          </w:tcPr>
          <w:p>
            <w:pPr>
              <w:spacing w:after="0"/>
              <w:rPr>
                <w:sz w:val="19"/>
                <w:szCs w:val="19"/>
                <w:color w:val="auto"/>
              </w:rPr>
            </w:pPr>
          </w:p>
        </w:tc>
        <w:tc>
          <w:tcPr>
            <w:tcW w:w="132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650</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Capitalized research and development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20,776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10,360</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Unrealized foreign exchange loss</w:t>
            </w: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46</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941</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Other temporary differences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w:t>
            </w:r>
          </w:p>
        </w:tc>
        <w:tc>
          <w:tcPr>
            <w:tcW w:w="100" w:type="dxa"/>
            <w:vAlign w:val="bottom"/>
            <w:tcBorders>
              <w:bottom w:val="single" w:sz="8" w:color="E0E0E0"/>
            </w:tcBorders>
          </w:tcPr>
          <w:p>
            <w:pPr>
              <w:spacing w:after="0"/>
              <w:rPr>
                <w:sz w:val="19"/>
                <w:szCs w:val="19"/>
                <w:color w:val="auto"/>
              </w:rPr>
            </w:pPr>
          </w:p>
        </w:tc>
      </w:tr>
      <w:tr>
        <w:trPr>
          <w:trHeight w:val="220"/>
        </w:trPr>
        <w:tc>
          <w:tcPr>
            <w:tcW w:w="742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deferred tax assets</w:t>
            </w: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55,861</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53,339</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Deferred tax asset valuation allowance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(40,444)</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(37,627)</w:t>
            </w:r>
          </w:p>
        </w:tc>
        <w:tc>
          <w:tcPr>
            <w:tcW w:w="100" w:type="dxa"/>
            <w:vAlign w:val="bottom"/>
            <w:tcBorders>
              <w:bottom w:val="single" w:sz="8" w:color="E0E0E0"/>
            </w:tcBorders>
          </w:tcPr>
          <w:p>
            <w:pPr>
              <w:spacing w:after="0"/>
              <w:rPr>
                <w:sz w:val="19"/>
                <w:szCs w:val="19"/>
                <w:color w:val="auto"/>
              </w:rPr>
            </w:pPr>
          </w:p>
        </w:tc>
      </w:tr>
      <w:tr>
        <w:trPr>
          <w:trHeight w:val="220"/>
        </w:trPr>
        <w:tc>
          <w:tcPr>
            <w:tcW w:w="742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15,417</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15,712</w:t>
            </w:r>
          </w:p>
        </w:tc>
        <w:tc>
          <w:tcPr>
            <w:tcW w:w="100" w:type="dxa"/>
            <w:vAlign w:val="bottom"/>
            <w:shd w:val="clear" w:color="auto" w:fill="E0E0E0"/>
          </w:tcPr>
          <w:p>
            <w:pPr>
              <w:spacing w:after="0"/>
              <w:rPr>
                <w:sz w:val="19"/>
                <w:szCs w:val="19"/>
                <w:color w:val="auto"/>
              </w:rPr>
            </w:pPr>
          </w:p>
        </w:tc>
      </w:tr>
      <w:tr>
        <w:trPr>
          <w:trHeight w:val="220"/>
        </w:trPr>
        <w:tc>
          <w:tcPr>
            <w:tcW w:w="7420" w:type="dxa"/>
            <w:vAlign w:val="bottom"/>
          </w:tcPr>
          <w:p>
            <w:pPr>
              <w:spacing w:after="0" w:line="220" w:lineRule="exact"/>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Intangible assets</w:t>
            </w:r>
          </w:p>
        </w:tc>
        <w:tc>
          <w:tcPr>
            <w:tcW w:w="340" w:type="dxa"/>
            <w:vAlign w:val="bottom"/>
            <w:shd w:val="clear" w:color="auto" w:fill="E0E0E0"/>
          </w:tcPr>
          <w:p>
            <w:pPr>
              <w:spacing w:after="0"/>
              <w:rPr>
                <w:sz w:val="19"/>
                <w:szCs w:val="19"/>
                <w:color w:val="auto"/>
              </w:rPr>
            </w:pPr>
          </w:p>
        </w:tc>
        <w:tc>
          <w:tcPr>
            <w:tcW w:w="13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(15,234)</w:t>
            </w: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(20,272)</w:t>
            </w: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Goodwill</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(7,843)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(1,033)</w:t>
            </w: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Right-of-use asset</w:t>
            </w:r>
          </w:p>
        </w:tc>
        <w:tc>
          <w:tcPr>
            <w:tcW w:w="340" w:type="dxa"/>
            <w:vAlign w:val="bottom"/>
            <w:shd w:val="clear" w:color="auto" w:fill="E0E0E0"/>
          </w:tcPr>
          <w:p>
            <w:pPr>
              <w:spacing w:after="0"/>
              <w:rPr>
                <w:sz w:val="19"/>
                <w:szCs w:val="19"/>
                <w:color w:val="auto"/>
              </w:rPr>
            </w:pPr>
          </w:p>
        </w:tc>
        <w:tc>
          <w:tcPr>
            <w:tcW w:w="13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(743)</w:t>
            </w: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(596)</w:t>
            </w: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Deferred revenue</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(2,387)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(2,272)</w:t>
            </w:r>
          </w:p>
        </w:tc>
      </w:tr>
      <w:tr>
        <w:trPr>
          <w:trHeight w:val="230"/>
        </w:trPr>
        <w:tc>
          <w:tcPr>
            <w:tcW w:w="7420" w:type="dxa"/>
            <w:vAlign w:val="bottom"/>
            <w:shd w:val="clear" w:color="auto" w:fill="E0E0E0"/>
          </w:tcPr>
          <w:p>
            <w:pPr>
              <w:ind w:left="280"/>
              <w:spacing w:after="0"/>
              <w:rPr>
                <w:sz w:val="20"/>
                <w:szCs w:val="20"/>
                <w:color w:val="auto"/>
              </w:rPr>
            </w:pPr>
            <w:r>
              <w:rPr>
                <w:rFonts w:ascii="Arial" w:cs="Arial" w:eastAsia="Arial" w:hAnsi="Arial"/>
                <w:sz w:val="20"/>
                <w:szCs w:val="20"/>
                <w:color w:val="auto"/>
              </w:rPr>
              <w:t>Deferred contract costs</w:t>
            </w:r>
          </w:p>
        </w:tc>
        <w:tc>
          <w:tcPr>
            <w:tcW w:w="340" w:type="dxa"/>
            <w:vAlign w:val="bottom"/>
            <w:shd w:val="clear" w:color="auto" w:fill="E0E0E0"/>
          </w:tcPr>
          <w:p>
            <w:pPr>
              <w:spacing w:after="0"/>
              <w:rPr>
                <w:sz w:val="19"/>
                <w:szCs w:val="19"/>
                <w:color w:val="auto"/>
              </w:rPr>
            </w:pPr>
          </w:p>
        </w:tc>
        <w:tc>
          <w:tcPr>
            <w:tcW w:w="13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(2,668)</w:t>
            </w: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(1,726)</w:t>
            </w:r>
          </w:p>
        </w:tc>
      </w:tr>
      <w:tr>
        <w:trPr>
          <w:trHeight w:val="230"/>
        </w:trPr>
        <w:tc>
          <w:tcPr>
            <w:tcW w:w="7420" w:type="dxa"/>
            <w:vAlign w:val="bottom"/>
          </w:tcPr>
          <w:p>
            <w:pPr>
              <w:ind w:left="280"/>
              <w:spacing w:after="0"/>
              <w:rPr>
                <w:sz w:val="20"/>
                <w:szCs w:val="20"/>
                <w:color w:val="auto"/>
              </w:rPr>
            </w:pPr>
            <w:r>
              <w:rPr>
                <w:rFonts w:ascii="Arial" w:cs="Arial" w:eastAsia="Arial" w:hAnsi="Arial"/>
                <w:sz w:val="20"/>
                <w:szCs w:val="20"/>
                <w:color w:val="auto"/>
              </w:rPr>
              <w:t>Other temporary differences</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(163)</w:t>
            </w:r>
          </w:p>
        </w:tc>
      </w:tr>
      <w:tr>
        <w:trPr>
          <w:trHeight w:val="220"/>
        </w:trPr>
        <w:tc>
          <w:tcPr>
            <w:tcW w:w="7420" w:type="dxa"/>
            <w:vAlign w:val="bottom"/>
            <w:tcBorders>
              <w:top w:val="single" w:sz="8" w:color="E0E0E0"/>
            </w:tcBorders>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deferred tax liabilities</w:t>
            </w:r>
          </w:p>
        </w:tc>
        <w:tc>
          <w:tcPr>
            <w:tcW w:w="340" w:type="dxa"/>
            <w:vAlign w:val="bottom"/>
            <w:tcBorders>
              <w:top w:val="single" w:sz="8" w:color="auto"/>
              <w:bottom w:val="single" w:sz="8" w:color="auto"/>
            </w:tcBorders>
            <w:shd w:val="clear" w:color="auto" w:fill="E0E0E0"/>
          </w:tcPr>
          <w:p>
            <w:pPr>
              <w:spacing w:after="0"/>
              <w:rPr>
                <w:sz w:val="19"/>
                <w:szCs w:val="19"/>
                <w:color w:val="auto"/>
              </w:rPr>
            </w:pPr>
          </w:p>
        </w:tc>
        <w:tc>
          <w:tcPr>
            <w:tcW w:w="11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(28,913)</w:t>
            </w:r>
          </w:p>
        </w:tc>
        <w:tc>
          <w:tcPr>
            <w:tcW w:w="1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340" w:type="dxa"/>
            <w:vAlign w:val="bottom"/>
            <w:tcBorders>
              <w:top w:val="single" w:sz="8" w:color="auto"/>
              <w:bottom w:val="single" w:sz="8" w:color="auto"/>
            </w:tcBorders>
            <w:shd w:val="clear" w:color="auto" w:fill="E0E0E0"/>
          </w:tcPr>
          <w:p>
            <w:pPr>
              <w:spacing w:after="0"/>
              <w:rPr>
                <w:sz w:val="19"/>
                <w:szCs w:val="19"/>
                <w:color w:val="auto"/>
              </w:rPr>
            </w:pPr>
          </w:p>
        </w:tc>
        <w:tc>
          <w:tcPr>
            <w:tcW w:w="11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(26,062)</w:t>
            </w:r>
          </w:p>
        </w:tc>
        <w:tc>
          <w:tcPr>
            <w:tcW w:w="100" w:type="dxa"/>
            <w:vAlign w:val="bottom"/>
            <w:tcBorders>
              <w:top w:val="single" w:sz="8" w:color="E0E0E0"/>
            </w:tcBorders>
            <w:shd w:val="clear" w:color="auto" w:fill="E0E0E0"/>
          </w:tcPr>
          <w:p>
            <w:pPr>
              <w:spacing w:after="0"/>
              <w:rPr>
                <w:sz w:val="19"/>
                <w:szCs w:val="19"/>
                <w:color w:val="auto"/>
              </w:rPr>
            </w:pPr>
          </w:p>
        </w:tc>
      </w:tr>
      <w:tr>
        <w:trPr>
          <w:trHeight w:val="220"/>
        </w:trPr>
        <w:tc>
          <w:tcPr>
            <w:tcW w:w="7420" w:type="dxa"/>
            <w:vAlign w:val="bottom"/>
          </w:tcPr>
          <w:p>
            <w:pPr>
              <w:ind w:left="560"/>
              <w:spacing w:after="0" w:line="220" w:lineRule="exact"/>
              <w:rPr>
                <w:sz w:val="20"/>
                <w:szCs w:val="20"/>
                <w:color w:val="auto"/>
              </w:rPr>
            </w:pPr>
            <w:r>
              <w:rPr>
                <w:rFonts w:ascii="Arial" w:cs="Arial" w:eastAsia="Arial" w:hAnsi="Arial"/>
                <w:sz w:val="20"/>
                <w:szCs w:val="20"/>
                <w:color w:val="auto"/>
              </w:rPr>
              <w:t>Net deferred tax liabilities</w:t>
            </w:r>
          </w:p>
        </w:tc>
        <w:tc>
          <w:tcPr>
            <w:tcW w:w="340" w:type="dxa"/>
            <w:vAlign w:val="bottom"/>
            <w:tcBorders>
              <w:bottom w:val="single" w:sz="8" w:color="auto"/>
            </w:tcBorders>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(13,496)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0"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(10,350)</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As of December 31, 2023, the Company had gross federal and state NOL carryforwards of $86.3 million and $101.4 million, respectively, out of which $17.6 million of federal NOL carryforwards and $99.3 million of state NOL carryforwards begin to expire in 2032 and 2024, respectively. Additionally, $68.7 million of federal NOL carryforwards and $2.2 million of state NOL carryforwards have indefinite lives. As of December 31, 2023, the Company has gross foreign NOL carryforwards of $8.7 million which have indefinite lives. The federal, state and foreign NOL carryforwards may be available to reduce future federal, state and foreign taxable income, respectively.</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2240" w:h="15840" w:orient="portrait"/>
          <w:cols w:equalWidth="0" w:num="1">
            <w:col w:w="10800"/>
          </w:cols>
          <w:pgMar w:left="720" w:top="1160" w:right="720" w:bottom="186" w:gutter="0" w:footer="0" w:header="0"/>
          <w:type w:val="continuous"/>
        </w:sectPr>
      </w:pPr>
    </w:p>
    <w:bookmarkStart w:id="148" w:name="page149"/>
    <w:bookmarkEnd w:id="148"/>
    <w:p>
      <w:pPr>
        <w:ind w:right="20" w:firstLine="490"/>
        <w:spacing w:after="0" w:line="245" w:lineRule="auto"/>
        <w:rPr>
          <w:sz w:val="20"/>
          <w:szCs w:val="20"/>
          <w:color w:val="auto"/>
        </w:rPr>
      </w:pPr>
      <w:r>
        <w:rPr>
          <w:rFonts w:ascii="Arial" w:cs="Arial" w:eastAsia="Arial" w:hAnsi="Arial"/>
          <w:sz w:val="20"/>
          <w:szCs w:val="20"/>
          <w:color w:val="auto"/>
        </w:rPr>
        <w:t>Ownership changes, as defined under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limit the Company’s ability to utilize federal and state NOL carryforwards for tax purposes. During 2022, the Company completed a Section 382 study and as a result of the ownership changes identified, $1.6 million of Flywire’s NOLs and $0.2 million of Simplee’s NOLs will expire unutilized, assuming sufficient taxable income is generated in the future. The Company is in the process of updating its Section 382 study and preliminary indications show there will be no additional limitations in using Federal and State NOL carryforwards.</w:t>
      </w:r>
    </w:p>
    <w:p>
      <w:pPr>
        <w:spacing w:after="0" w:line="157"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2023 and 2022.</w:t>
      </w:r>
    </w:p>
    <w:p>
      <w:pPr>
        <w:spacing w:after="0" w:line="15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During the year ended December 31, 2023, the Company recorded a net increase in the valuation allowance of $2.8 million, which is primarily due to an increase of $12.1 million related to capitalized research and development costs, offset by NOL utilization in the U.S. and the U.K. During the year ended December 31, 2022, the Company recorded a net increase in the valuation allowance of $13.8 million, which is primarily due to an increase of $12.7 million related to capitalized research and development costs in the U.S. The Company also recorded a valuation allowance of $1.3 million related to a foreign subsidiary, offset by a decrease of $0.2 million due to the release of valuation allowance in foreign entities. During the year ended December 31, 2021, the Company recorded an increase in the valuation allowance of $6.4 million, which is primarily related to generating losses in the U.S. Changes in the valuation allowance are summarized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440" w:type="dxa"/>
            <w:vAlign w:val="bottom"/>
            <w:tcBorders>
              <w:bottom w:val="single" w:sz="8" w:color="E0E0E0"/>
            </w:tcBorders>
          </w:tcPr>
          <w:p>
            <w:pPr>
              <w:spacing w:after="0"/>
              <w:rPr>
                <w:sz w:val="15"/>
                <w:szCs w:val="15"/>
                <w:color w:val="auto"/>
              </w:rPr>
            </w:pPr>
          </w:p>
        </w:tc>
        <w:tc>
          <w:tcPr>
            <w:tcW w:w="92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5"/>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5"/>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54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Valuation allowance at beginning of year</w:t>
            </w:r>
          </w:p>
        </w:tc>
        <w:tc>
          <w:tcPr>
            <w:tcW w:w="92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(37,627)</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0E0E0"/>
          </w:tcPr>
          <w:p>
            <w:pPr>
              <w:ind w:left="300"/>
              <w:spacing w:after="0" w:line="220" w:lineRule="exact"/>
              <w:rPr>
                <w:sz w:val="20"/>
                <w:szCs w:val="20"/>
                <w:color w:val="auto"/>
              </w:rPr>
            </w:pPr>
            <w:r>
              <w:rPr>
                <w:rFonts w:ascii="Arial" w:cs="Arial" w:eastAsia="Arial" w:hAnsi="Arial"/>
                <w:sz w:val="20"/>
                <w:szCs w:val="20"/>
                <w:color w:val="auto"/>
                <w:w w:val="88"/>
              </w:rPr>
              <w:t>(23,864)</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(17,485)</w:t>
            </w:r>
          </w:p>
        </w:tc>
        <w:tc>
          <w:tcPr>
            <w:tcW w:w="100" w:type="dxa"/>
            <w:vAlign w:val="bottom"/>
            <w:shd w:val="clear" w:color="auto" w:fill="E0E0E0"/>
          </w:tcPr>
          <w:p>
            <w:pPr>
              <w:spacing w:after="0"/>
              <w:rPr>
                <w:sz w:val="19"/>
                <w:szCs w:val="19"/>
                <w:color w:val="auto"/>
              </w:rPr>
            </w:pPr>
          </w:p>
        </w:tc>
      </w:tr>
      <w:tr>
        <w:trPr>
          <w:trHeight w:val="211"/>
        </w:trPr>
        <w:tc>
          <w:tcPr>
            <w:tcW w:w="5440" w:type="dxa"/>
            <w:vAlign w:val="bottom"/>
          </w:tcPr>
          <w:p>
            <w:pPr>
              <w:spacing w:after="0" w:line="210" w:lineRule="exact"/>
              <w:rPr>
                <w:sz w:val="20"/>
                <w:szCs w:val="20"/>
                <w:color w:val="auto"/>
              </w:rPr>
            </w:pPr>
            <w:r>
              <w:rPr>
                <w:rFonts w:ascii="Arial" w:cs="Arial" w:eastAsia="Arial" w:hAnsi="Arial"/>
                <w:sz w:val="20"/>
                <w:szCs w:val="20"/>
                <w:color w:val="auto"/>
              </w:rPr>
              <w:t>Change recorded to income tax provision as part of</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440" w:type="dxa"/>
            <w:vAlign w:val="bottom"/>
          </w:tcPr>
          <w:p>
            <w:pPr>
              <w:ind w:left="160"/>
              <w:spacing w:after="0"/>
              <w:rPr>
                <w:sz w:val="20"/>
                <w:szCs w:val="20"/>
                <w:color w:val="auto"/>
              </w:rPr>
            </w:pPr>
            <w:r>
              <w:rPr>
                <w:rFonts w:ascii="Arial" w:cs="Arial" w:eastAsia="Arial" w:hAnsi="Arial"/>
                <w:sz w:val="20"/>
                <w:szCs w:val="20"/>
                <w:color w:val="auto"/>
              </w:rPr>
              <w:t>operations</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auto"/>
              </w:rPr>
              <w:t>(2,817)</w:t>
            </w:r>
          </w:p>
        </w:tc>
        <w:tc>
          <w:tcPr>
            <w:tcW w:w="280" w:type="dxa"/>
            <w:vAlign w:val="bottom"/>
          </w:tcPr>
          <w:p>
            <w:pPr>
              <w:spacing w:after="0"/>
              <w:rPr>
                <w:sz w:val="21"/>
                <w:szCs w:val="21"/>
                <w:color w:val="auto"/>
              </w:rPr>
            </w:pPr>
          </w:p>
        </w:tc>
        <w:tc>
          <w:tcPr>
            <w:tcW w:w="1240" w:type="dxa"/>
            <w:vAlign w:val="bottom"/>
            <w:gridSpan w:val="2"/>
          </w:tcPr>
          <w:p>
            <w:pPr>
              <w:ind w:left="300"/>
              <w:spacing w:after="0"/>
              <w:rPr>
                <w:sz w:val="20"/>
                <w:szCs w:val="20"/>
                <w:color w:val="auto"/>
              </w:rPr>
            </w:pPr>
            <w:r>
              <w:rPr>
                <w:rFonts w:ascii="Arial" w:cs="Arial" w:eastAsia="Arial" w:hAnsi="Arial"/>
                <w:sz w:val="20"/>
                <w:szCs w:val="20"/>
                <w:color w:val="auto"/>
              </w:rPr>
              <w:t>(13,763)</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(6,379)</w:t>
            </w:r>
          </w:p>
        </w:tc>
      </w:tr>
      <w:tr>
        <w:trPr>
          <w:trHeight w:val="220"/>
        </w:trPr>
        <w:tc>
          <w:tcPr>
            <w:tcW w:w="544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Valuation allowance at end of year</w:t>
            </w:r>
          </w:p>
        </w:tc>
        <w:tc>
          <w:tcPr>
            <w:tcW w:w="920" w:type="dxa"/>
            <w:vAlign w:val="bottom"/>
            <w:tcBorders>
              <w:top w:val="single" w:sz="8" w:color="E0E0E0"/>
            </w:tcBorders>
            <w:shd w:val="clear" w:color="auto" w:fill="E0E0E0"/>
          </w:tcPr>
          <w:p>
            <w:pPr>
              <w:spacing w:after="0"/>
              <w:rPr>
                <w:sz w:val="19"/>
                <w:szCs w:val="19"/>
                <w:color w:val="auto"/>
              </w:rPr>
            </w:pPr>
          </w:p>
        </w:tc>
        <w:tc>
          <w:tcPr>
            <w:tcW w:w="280" w:type="dxa"/>
            <w:vAlign w:val="bottom"/>
            <w:tcBorders>
              <w:top w:val="single" w:sz="8" w:color="auto"/>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(40,444)</w:t>
            </w:r>
          </w:p>
        </w:tc>
        <w:tc>
          <w:tcPr>
            <w:tcW w:w="260" w:type="dxa"/>
            <w:vAlign w:val="bottom"/>
            <w:tcBorders>
              <w:top w:val="single" w:sz="8" w:color="E0E0E0"/>
            </w:tcBorders>
            <w:shd w:val="clear" w:color="auto" w:fill="E0E0E0"/>
          </w:tcPr>
          <w:p>
            <w:pPr>
              <w:spacing w:after="0"/>
              <w:rPr>
                <w:sz w:val="19"/>
                <w:szCs w:val="19"/>
                <w:color w:val="auto"/>
              </w:rPr>
            </w:pPr>
          </w:p>
        </w:tc>
        <w:tc>
          <w:tcPr>
            <w:tcW w:w="280" w:type="dxa"/>
            <w:vAlign w:val="bottom"/>
            <w:tcBorders>
              <w:top w:val="single" w:sz="8" w:color="auto"/>
              <w:bottom w:val="single" w:sz="8" w:color="auto"/>
            </w:tcBorders>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E0E0E0"/>
          </w:tcPr>
          <w:p>
            <w:pPr>
              <w:ind w:left="300"/>
              <w:spacing w:after="0" w:line="220" w:lineRule="exact"/>
              <w:rPr>
                <w:sz w:val="20"/>
                <w:szCs w:val="20"/>
                <w:color w:val="auto"/>
              </w:rPr>
            </w:pPr>
            <w:r>
              <w:rPr>
                <w:rFonts w:ascii="Arial" w:cs="Arial" w:eastAsia="Arial" w:hAnsi="Arial"/>
                <w:sz w:val="20"/>
                <w:szCs w:val="20"/>
                <w:color w:val="auto"/>
                <w:w w:val="88"/>
              </w:rPr>
              <w:t>(37,627)</w:t>
            </w:r>
          </w:p>
        </w:tc>
        <w:tc>
          <w:tcPr>
            <w:tcW w:w="260" w:type="dxa"/>
            <w:vAlign w:val="bottom"/>
            <w:tcBorders>
              <w:top w:val="single" w:sz="8" w:color="E0E0E0"/>
            </w:tcBorders>
            <w:shd w:val="clear" w:color="auto" w:fill="E0E0E0"/>
          </w:tcPr>
          <w:p>
            <w:pPr>
              <w:spacing w:after="0"/>
              <w:rPr>
                <w:sz w:val="19"/>
                <w:szCs w:val="19"/>
                <w:color w:val="auto"/>
              </w:rPr>
            </w:pPr>
          </w:p>
        </w:tc>
        <w:tc>
          <w:tcPr>
            <w:tcW w:w="280" w:type="dxa"/>
            <w:vAlign w:val="bottom"/>
            <w:tcBorders>
              <w:top w:val="single" w:sz="8" w:color="auto"/>
              <w:bottom w:val="single" w:sz="8" w:color="auto"/>
            </w:tcBorders>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(23,864)</w:t>
            </w:r>
          </w:p>
        </w:tc>
        <w:tc>
          <w:tcPr>
            <w:tcW w:w="100" w:type="dxa"/>
            <w:vAlign w:val="bottom"/>
            <w:tcBorders>
              <w:top w:val="single" w:sz="8" w:color="E0E0E0"/>
            </w:tcBorders>
            <w:shd w:val="clear" w:color="auto" w:fill="E0E0E0"/>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The Company permanently reinvests the earnings of its foreign subsidiaries. No additional income taxes have been provided on the indefinitely invested foreign earnings at December 31, 2023. The Company has approximately $31.7 million of unremitted earnings at December 31, 2023, which the Company believes to approximate the outside basis difference in its foreign subsidiaries. If these earnings were distributed, the Company could be subject to income taxes and foreign withholding taxes. As of December 31 2023, the amount of the unrecognized deferred taxes on these earnings are not material.</w:t>
      </w:r>
    </w:p>
    <w:p>
      <w:pPr>
        <w:spacing w:after="0" w:line="154" w:lineRule="exact"/>
        <w:rPr>
          <w:sz w:val="20"/>
          <w:szCs w:val="20"/>
          <w:color w:val="auto"/>
        </w:rPr>
      </w:pPr>
    </w:p>
    <w:p>
      <w:pPr>
        <w:ind w:right="140" w:firstLine="490"/>
        <w:spacing w:after="0" w:line="250" w:lineRule="auto"/>
        <w:rPr>
          <w:sz w:val="20"/>
          <w:szCs w:val="20"/>
          <w:color w:val="auto"/>
        </w:rPr>
      </w:pPr>
      <w:r>
        <w:rPr>
          <w:rFonts w:ascii="Arial" w:cs="Arial" w:eastAsia="Arial" w:hAnsi="Arial"/>
          <w:sz w:val="20"/>
          <w:szCs w:val="20"/>
          <w:color w:val="auto"/>
        </w:rPr>
        <w:t>As of December 31, 2023, 2022 and 2021, the Company accrued $0.8 million, $0.8 million and $0.9 million related to uncertain tax positions, inclusive of interest and penalties, respectively, which includes potential tax benefits of $0.5 million, $0.6 million and $0.6 million, respectively, that, when recognized, would impact the effective tax rate. As of December 31, 2023, $0.3 million of the reserve is reflected as a reduction to deferred taxes and the remaining balance is recorded as a component of other liabilities in the consolidated balance sheet.</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 reconciliation of the beginning and ending amount of unrecognized tax benefits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line="174"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r>
      <w:tr>
        <w:trPr>
          <w:trHeight w:val="220"/>
        </w:trPr>
        <w:tc>
          <w:tcPr>
            <w:tcW w:w="63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Balance at beginning of year</w:t>
            </w:r>
          </w:p>
        </w:tc>
        <w:tc>
          <w:tcPr>
            <w:tcW w:w="20" w:type="dxa"/>
            <w:vAlign w:val="bottom"/>
            <w:shd w:val="clear" w:color="auto" w:fill="E0E0E0"/>
          </w:tcPr>
          <w:p>
            <w:pPr>
              <w:spacing w:after="0"/>
              <w:rPr>
                <w:sz w:val="19"/>
                <w:szCs w:val="19"/>
                <w:color w:val="auto"/>
              </w:rPr>
            </w:pPr>
          </w:p>
        </w:tc>
        <w:tc>
          <w:tcPr>
            <w:tcW w:w="860" w:type="dxa"/>
            <w:vAlign w:val="bottom"/>
            <w:shd w:val="clear" w:color="auto" w:fill="E0E0E0"/>
          </w:tcPr>
          <w:p>
            <w:pPr>
              <w:jc w:val="right"/>
              <w:ind w:right="667"/>
              <w:spacing w:after="0" w:line="220" w:lineRule="exact"/>
              <w:rPr>
                <w:sz w:val="20"/>
                <w:szCs w:val="20"/>
                <w:color w:val="auto"/>
              </w:rPr>
            </w:pPr>
            <w:r>
              <w:rPr>
                <w:rFonts w:ascii="Arial" w:cs="Arial" w:eastAsia="Arial" w:hAnsi="Arial"/>
                <w:sz w:val="20"/>
                <w:szCs w:val="20"/>
                <w:color w:val="auto"/>
                <w:w w:val="71"/>
              </w:rPr>
              <w:t>$</w:t>
            </w:r>
          </w:p>
        </w:tc>
        <w:tc>
          <w:tcPr>
            <w:tcW w:w="4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659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889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20"/>
                <w:szCs w:val="20"/>
                <w:color w:val="auto"/>
              </w:rPr>
              <w:t>Settlements with taxing authorities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r>
      <w:tr>
        <w:trPr>
          <w:trHeight w:val="211"/>
        </w:trPr>
        <w:tc>
          <w:tcPr>
            <w:tcW w:w="636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Increases (decreases) related to tax positions taken during</w:t>
            </w:r>
          </w:p>
        </w:tc>
        <w:tc>
          <w:tcPr>
            <w:tcW w:w="2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4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49"/>
        </w:trPr>
        <w:tc>
          <w:tcPr>
            <w:tcW w:w="6360" w:type="dxa"/>
            <w:vAlign w:val="bottom"/>
            <w:shd w:val="clear" w:color="auto" w:fill="E0E0E0"/>
          </w:tcPr>
          <w:p>
            <w:pPr>
              <w:ind w:left="160"/>
              <w:spacing w:after="0"/>
              <w:rPr>
                <w:sz w:val="20"/>
                <w:szCs w:val="20"/>
                <w:color w:val="auto"/>
              </w:rPr>
            </w:pPr>
            <w:r>
              <w:rPr>
                <w:rFonts w:ascii="Arial" w:cs="Arial" w:eastAsia="Arial" w:hAnsi="Arial"/>
                <w:sz w:val="20"/>
                <w:szCs w:val="20"/>
                <w:color w:val="auto"/>
              </w:rPr>
              <w:t>prior years</w:t>
            </w:r>
          </w:p>
        </w:tc>
        <w:tc>
          <w:tcPr>
            <w:tcW w:w="2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56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80"/>
              <w:spacing w:after="0"/>
              <w:rPr>
                <w:sz w:val="20"/>
                <w:szCs w:val="20"/>
                <w:color w:val="auto"/>
              </w:rPr>
            </w:pPr>
            <w:r>
              <w:rPr>
                <w:rFonts w:ascii="Arial" w:cs="Arial" w:eastAsia="Arial" w:hAnsi="Arial"/>
                <w:sz w:val="20"/>
                <w:szCs w:val="20"/>
                <w:color w:val="auto"/>
              </w:rPr>
              <w:t>(170)</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502</w:t>
            </w:r>
          </w:p>
        </w:tc>
        <w:tc>
          <w:tcPr>
            <w:tcW w:w="100" w:type="dxa"/>
            <w:vAlign w:val="bottom"/>
            <w:shd w:val="clear" w:color="auto" w:fill="E0E0E0"/>
          </w:tcPr>
          <w:p>
            <w:pPr>
              <w:spacing w:after="0"/>
              <w:rPr>
                <w:sz w:val="21"/>
                <w:szCs w:val="2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20"/>
                <w:szCs w:val="20"/>
                <w:color w:val="auto"/>
              </w:rPr>
              <w:t>Decreases related to lapses in statute of limitations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r>
      <w:tr>
        <w:trPr>
          <w:trHeight w:val="211"/>
        </w:trPr>
        <w:tc>
          <w:tcPr>
            <w:tcW w:w="636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Increases related to tax positions taken</w:t>
            </w:r>
          </w:p>
        </w:tc>
        <w:tc>
          <w:tcPr>
            <w:tcW w:w="2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4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49"/>
        </w:trPr>
        <w:tc>
          <w:tcPr>
            <w:tcW w:w="6360" w:type="dxa"/>
            <w:vAlign w:val="bottom"/>
            <w:shd w:val="clear" w:color="auto" w:fill="E0E0E0"/>
          </w:tcPr>
          <w:p>
            <w:pPr>
              <w:ind w:left="160"/>
              <w:spacing w:after="0"/>
              <w:rPr>
                <w:sz w:val="20"/>
                <w:szCs w:val="20"/>
                <w:color w:val="auto"/>
              </w:rPr>
            </w:pPr>
            <w:r>
              <w:rPr>
                <w:rFonts w:ascii="Arial" w:cs="Arial" w:eastAsia="Arial" w:hAnsi="Arial"/>
                <w:sz w:val="20"/>
                <w:szCs w:val="20"/>
                <w:color w:val="auto"/>
              </w:rPr>
              <w:t>during the current year</w:t>
            </w:r>
          </w:p>
        </w:tc>
        <w:tc>
          <w:tcPr>
            <w:tcW w:w="2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56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387</w:t>
            </w:r>
          </w:p>
        </w:tc>
        <w:tc>
          <w:tcPr>
            <w:tcW w:w="100" w:type="dxa"/>
            <w:vAlign w:val="bottom"/>
            <w:shd w:val="clear" w:color="auto" w:fill="E0E0E0"/>
          </w:tcPr>
          <w:p>
            <w:pPr>
              <w:spacing w:after="0"/>
              <w:rPr>
                <w:sz w:val="21"/>
                <w:szCs w:val="21"/>
                <w:color w:val="auto"/>
              </w:rPr>
            </w:pPr>
          </w:p>
        </w:tc>
      </w:tr>
      <w:tr>
        <w:trPr>
          <w:trHeight w:val="220"/>
        </w:trPr>
        <w:tc>
          <w:tcPr>
            <w:tcW w:w="6360" w:type="dxa"/>
            <w:vAlign w:val="bottom"/>
          </w:tcPr>
          <w:p>
            <w:pPr>
              <w:spacing w:after="0" w:line="220" w:lineRule="exact"/>
              <w:rPr>
                <w:sz w:val="20"/>
                <w:szCs w:val="20"/>
                <w:color w:val="auto"/>
              </w:rPr>
            </w:pPr>
            <w:r>
              <w:rPr>
                <w:rFonts w:ascii="Arial" w:cs="Arial" w:eastAsia="Arial" w:hAnsi="Arial"/>
                <w:sz w:val="20"/>
                <w:szCs w:val="20"/>
                <w:color w:val="auto"/>
              </w:rPr>
              <w:t>Balance at end of year</w:t>
            </w: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67"/>
              <w:spacing w:after="0" w:line="220" w:lineRule="exact"/>
              <w:rPr>
                <w:sz w:val="20"/>
                <w:szCs w:val="20"/>
                <w:color w:val="auto"/>
              </w:rPr>
            </w:pPr>
            <w:r>
              <w:rPr>
                <w:rFonts w:ascii="Arial" w:cs="Arial" w:eastAsia="Arial" w:hAnsi="Arial"/>
                <w:sz w:val="20"/>
                <w:szCs w:val="20"/>
                <w:color w:val="auto"/>
                <w:w w:val="71"/>
              </w:rPr>
              <w:t>$</w:t>
            </w:r>
          </w:p>
        </w:tc>
        <w:tc>
          <w:tcPr>
            <w:tcW w:w="4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889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160" w:right="720" w:bottom="186"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2240" w:h="15840" w:orient="portrait"/>
          <w:cols w:equalWidth="0" w:num="1">
            <w:col w:w="10800"/>
          </w:cols>
          <w:pgMar w:left="720" w:top="1160" w:right="720" w:bottom="186" w:gutter="0" w:footer="0" w:header="0"/>
          <w:type w:val="continuous"/>
        </w:sectPr>
      </w:pPr>
    </w:p>
    <w:bookmarkStart w:id="149" w:name="page150"/>
    <w:bookmarkEnd w:id="149"/>
    <w:p>
      <w:pPr>
        <w:ind w:right="40" w:firstLine="490"/>
        <w:spacing w:after="0" w:line="282" w:lineRule="auto"/>
        <w:rPr>
          <w:sz w:val="20"/>
          <w:szCs w:val="20"/>
          <w:color w:val="auto"/>
        </w:rPr>
      </w:pPr>
      <w:r>
        <w:rPr>
          <w:rFonts w:ascii="Arial" w:cs="Arial" w:eastAsia="Arial" w:hAnsi="Arial"/>
          <w:sz w:val="20"/>
          <w:szCs w:val="20"/>
          <w:color w:val="auto"/>
        </w:rPr>
        <w:t>The Company expects a decrease of $0.1 million in uncertain tax positions in the next 12 months due to the lapse of statute of limitations.</w:t>
      </w:r>
    </w:p>
    <w:p>
      <w:pPr>
        <w:spacing w:after="0" w:line="120"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The Company recognized accrued interest and penalties of $0, $0 and $0.2 million for the years ended December 31, 2023, 2022 and 2021, respectively, related to the reserves for uncertain tax positions in the income tax provision. Included in the total reserve for uncertain tax positions are accrued interest and penalties of $0.2 million, $0.2 million and $0.2 million at December 31, 2023, 2022 and 2021, respectively.</w:t>
      </w:r>
    </w:p>
    <w:p>
      <w:pPr>
        <w:spacing w:after="0" w:line="146" w:lineRule="exact"/>
        <w:rPr>
          <w:sz w:val="20"/>
          <w:szCs w:val="20"/>
          <w:color w:val="auto"/>
        </w:rPr>
      </w:pPr>
    </w:p>
    <w:p>
      <w:pPr>
        <w:jc w:val="both"/>
        <w:ind w:right="280" w:firstLine="490"/>
        <w:spacing w:after="0" w:line="250" w:lineRule="auto"/>
        <w:rPr>
          <w:sz w:val="20"/>
          <w:szCs w:val="20"/>
          <w:color w:val="auto"/>
        </w:rPr>
      </w:pPr>
      <w:r>
        <w:rPr>
          <w:rFonts w:ascii="Arial" w:cs="Arial" w:eastAsia="Arial" w:hAnsi="Arial"/>
          <w:sz w:val="20"/>
          <w:szCs w:val="20"/>
          <w:color w:val="auto"/>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152" w:lineRule="exact"/>
        <w:rPr>
          <w:sz w:val="20"/>
          <w:szCs w:val="20"/>
          <w:color w:val="auto"/>
        </w:rPr>
      </w:pPr>
    </w:p>
    <w:p>
      <w:pPr>
        <w:ind w:right="260" w:firstLine="490"/>
        <w:spacing w:after="0" w:line="254" w:lineRule="auto"/>
        <w:rPr>
          <w:sz w:val="20"/>
          <w:szCs w:val="20"/>
          <w:color w:val="auto"/>
        </w:rPr>
      </w:pPr>
      <w:r>
        <w:rPr>
          <w:rFonts w:ascii="Arial" w:cs="Arial" w:eastAsia="Arial" w:hAnsi="Arial"/>
          <w:sz w:val="20"/>
          <w:szCs w:val="20"/>
          <w:color w:val="auto"/>
        </w:rPr>
        <w:t>On August 16, 2022, the Inflation Reduction Act of 2022 was signed into law. This legislation imposes a federal Corporate Alternative Minimum Tax among other tax law changes. The Inflation Reduction Act of 2022 was effective for Flywire for years beginning after December 31, 2022. The Company has completed its analysis of this legislation and it does not expect the Inflation Reduction Act of 2022 will have a material impact on the Company's tax liability.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Leases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196"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Operating lease expense is recognized on a straight-line basis over the term of the lease. There were no finance lease obligations as of December 31, 2023 and 2022.</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ROU assets are included in Other assets and operating lease liabilities are included in Other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40" w:type="dxa"/>
            <w:vAlign w:val="bottom"/>
            <w:tcBorders>
              <w:bottom w:val="single" w:sz="8" w:color="E0E0E0"/>
            </w:tcBorders>
          </w:tcPr>
          <w:p>
            <w:pPr>
              <w:spacing w:after="0"/>
              <w:rPr>
                <w:sz w:val="20"/>
                <w:szCs w:val="20"/>
                <w:color w:val="auto"/>
              </w:rPr>
            </w:pPr>
            <w:r>
              <w:rPr>
                <w:rFonts w:ascii="Arial" w:cs="Arial" w:eastAsia="Arial" w:hAnsi="Arial"/>
                <w:sz w:val="16"/>
                <w:szCs w:val="16"/>
                <w:b w:val="1"/>
                <w:bCs w:val="1"/>
                <w:color w:val="auto"/>
              </w:rPr>
              <w:t>(amounts in thousands)</w:t>
            </w:r>
          </w:p>
        </w:tc>
        <w:tc>
          <w:tcPr>
            <w:tcW w:w="280" w:type="dxa"/>
            <w:vAlign w:val="bottom"/>
            <w:tcBorders>
              <w:bottom w:val="single" w:sz="8" w:color="E0E0E0"/>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80" w:type="dxa"/>
            <w:vAlign w:val="bottom"/>
            <w:tcBorders>
              <w:top w:val="single" w:sz="8" w:color="auto"/>
              <w:bottom w:val="single" w:sz="8" w:color="E0E0E0"/>
            </w:tcBorders>
          </w:tcPr>
          <w:p>
            <w:pPr>
              <w:spacing w:after="0"/>
              <w:rPr>
                <w:sz w:val="16"/>
                <w:szCs w:val="16"/>
                <w:color w:val="auto"/>
              </w:rPr>
            </w:pPr>
          </w:p>
        </w:tc>
        <w:tc>
          <w:tcPr>
            <w:tcW w:w="20" w:type="dxa"/>
            <w:vAlign w:val="bottom"/>
            <w:tcBorders>
              <w:top w:val="single" w:sz="8" w:color="auto"/>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8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ROU assets</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jc w:val="right"/>
              <w:ind w:right="140"/>
              <w:spacing w:after="0" w:line="220"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3,422</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2,789</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20"/>
                <w:szCs w:val="20"/>
                <w:color w:val="auto"/>
              </w:rPr>
              <w:t>Operating lease liabilities</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E0E0E0"/>
          </w:tcPr>
          <w:p>
            <w:pPr>
              <w:spacing w:after="0"/>
              <w:rPr>
                <w:sz w:val="20"/>
                <w:szCs w:val="20"/>
                <w:color w:val="auto"/>
              </w:rPr>
            </w:pPr>
            <w:r>
              <w:rPr>
                <w:rFonts w:ascii="Arial" w:cs="Arial" w:eastAsia="Arial" w:hAnsi="Arial"/>
                <w:sz w:val="20"/>
                <w:szCs w:val="20"/>
                <w:color w:val="auto"/>
              </w:rPr>
              <w:t>Weighted-average remaining lease terms</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380" w:type="dxa"/>
            <w:vAlign w:val="bottom"/>
            <w:gridSpan w:val="3"/>
            <w:shd w:val="clear" w:color="auto" w:fill="E0E0E0"/>
          </w:tcPr>
          <w:p>
            <w:pPr>
              <w:jc w:val="right"/>
              <w:ind w:right="200"/>
              <w:spacing w:after="0"/>
              <w:rPr>
                <w:sz w:val="20"/>
                <w:szCs w:val="20"/>
                <w:color w:val="auto"/>
              </w:rPr>
            </w:pPr>
            <w:r>
              <w:rPr>
                <w:rFonts w:ascii="Arial" w:cs="Arial" w:eastAsia="Arial" w:hAnsi="Arial"/>
                <w:sz w:val="20"/>
                <w:szCs w:val="20"/>
                <w:color w:val="auto"/>
              </w:rPr>
              <w:t>2.63 years</w:t>
            </w: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400" w:type="dxa"/>
            <w:vAlign w:val="bottom"/>
            <w:gridSpan w:val="3"/>
            <w:shd w:val="clear" w:color="auto" w:fill="E0E0E0"/>
          </w:tcPr>
          <w:p>
            <w:pPr>
              <w:jc w:val="right"/>
              <w:ind w:right="200"/>
              <w:spacing w:after="0"/>
              <w:rPr>
                <w:sz w:val="20"/>
                <w:szCs w:val="20"/>
                <w:color w:val="auto"/>
              </w:rPr>
            </w:pPr>
            <w:r>
              <w:rPr>
                <w:rFonts w:ascii="Arial" w:cs="Arial" w:eastAsia="Arial" w:hAnsi="Arial"/>
                <w:sz w:val="20"/>
                <w:szCs w:val="20"/>
                <w:color w:val="auto"/>
              </w:rPr>
              <w:t>2.12 years</w:t>
            </w:r>
          </w:p>
        </w:tc>
        <w:tc>
          <w:tcPr>
            <w:tcW w:w="0" w:type="dxa"/>
            <w:vAlign w:val="bottom"/>
          </w:tcPr>
          <w:p>
            <w:pPr>
              <w:spacing w:after="0"/>
              <w:rPr>
                <w:sz w:val="1"/>
                <w:szCs w:val="1"/>
                <w:color w:val="auto"/>
              </w:rPr>
            </w:pPr>
          </w:p>
        </w:tc>
      </w:tr>
      <w:tr>
        <w:trPr>
          <w:trHeight w:val="271"/>
        </w:trPr>
        <w:tc>
          <w:tcPr>
            <w:tcW w:w="6840" w:type="dxa"/>
            <w:vAlign w:val="bottom"/>
          </w:tcPr>
          <w:p>
            <w:pPr>
              <w:spacing w:after="0"/>
              <w:rPr>
                <w:sz w:val="20"/>
                <w:szCs w:val="20"/>
                <w:color w:val="auto"/>
              </w:rPr>
            </w:pPr>
            <w:r>
              <w:rPr>
                <w:rFonts w:ascii="Arial" w:cs="Arial" w:eastAsia="Arial" w:hAnsi="Arial"/>
                <w:sz w:val="20"/>
                <w:szCs w:val="20"/>
                <w:color w:val="auto"/>
              </w:rPr>
              <w:t>Weighted-average discount rate</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20"/>
                <w:szCs w:val="20"/>
                <w:color w:val="auto"/>
              </w:rPr>
              <w:t>6.4%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411"/>
        </w:trPr>
        <w:tc>
          <w:tcPr>
            <w:tcW w:w="6840" w:type="dxa"/>
            <w:vAlign w:val="bottom"/>
          </w:tcPr>
          <w:p>
            <w:pPr>
              <w:ind w:left="500"/>
              <w:spacing w:after="0"/>
              <w:rPr>
                <w:sz w:val="20"/>
                <w:szCs w:val="20"/>
                <w:color w:val="auto"/>
              </w:rPr>
            </w:pPr>
            <w:r>
              <w:rPr>
                <w:rFonts w:ascii="Arial" w:cs="Arial" w:eastAsia="Arial" w:hAnsi="Arial"/>
                <w:sz w:val="20"/>
                <w:szCs w:val="20"/>
                <w:color w:val="auto"/>
              </w:rPr>
              <w:t>Supplemental cash flow information related to leases was as follows: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(amounts in thousands)</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40" w:type="dxa"/>
            <w:vAlign w:val="bottom"/>
            <w:tcBorders>
              <w:bottom w:val="single" w:sz="8" w:color="E0E0E0"/>
            </w:tcBorders>
            <w:vMerge w:val="continue"/>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5"/>
              <w:spacing w:after="0" w:line="174"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bottom w:val="single" w:sz="8" w:color="E0E0E0"/>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2"/>
              <w:spacing w:after="0" w:line="174"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840" w:type="dxa"/>
            <w:vAlign w:val="bottom"/>
            <w:shd w:val="clear" w:color="auto" w:fill="E0E0E0"/>
          </w:tcPr>
          <w:p>
            <w:pPr>
              <w:spacing w:after="0" w:line="201" w:lineRule="exact"/>
              <w:rPr>
                <w:sz w:val="20"/>
                <w:szCs w:val="20"/>
                <w:color w:val="auto"/>
              </w:rPr>
            </w:pPr>
            <w:r>
              <w:rPr>
                <w:rFonts w:ascii="Arial" w:cs="Arial" w:eastAsia="Arial" w:hAnsi="Arial"/>
                <w:sz w:val="20"/>
                <w:szCs w:val="20"/>
                <w:color w:val="auto"/>
              </w:rPr>
              <w:t>Cash paid for amounts included in the measurement of operating</w:t>
            </w:r>
          </w:p>
        </w:tc>
        <w:tc>
          <w:tcPr>
            <w:tcW w:w="280" w:type="dxa"/>
            <w:vAlign w:val="bottom"/>
            <w:shd w:val="clear" w:color="auto" w:fill="E0E0E0"/>
          </w:tcPr>
          <w:p>
            <w:pPr>
              <w:spacing w:after="0"/>
              <w:rPr>
                <w:sz w:val="17"/>
                <w:szCs w:val="17"/>
                <w:color w:val="auto"/>
              </w:rPr>
            </w:pPr>
          </w:p>
        </w:tc>
        <w:tc>
          <w:tcPr>
            <w:tcW w:w="360" w:type="dxa"/>
            <w:vAlign w:val="bottom"/>
            <w:shd w:val="clear" w:color="auto" w:fill="E0E0E0"/>
          </w:tcPr>
          <w:p>
            <w:pPr>
              <w:spacing w:after="0"/>
              <w:rPr>
                <w:sz w:val="17"/>
                <w:szCs w:val="17"/>
                <w:color w:val="auto"/>
              </w:rPr>
            </w:pPr>
          </w:p>
        </w:tc>
        <w:tc>
          <w:tcPr>
            <w:tcW w:w="11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320" w:type="dxa"/>
            <w:vAlign w:val="bottom"/>
            <w:shd w:val="clear" w:color="auto" w:fill="E0E0E0"/>
          </w:tcPr>
          <w:p>
            <w:pPr>
              <w:spacing w:after="0"/>
              <w:rPr>
                <w:sz w:val="17"/>
                <w:szCs w:val="17"/>
                <w:color w:val="auto"/>
              </w:rPr>
            </w:pPr>
          </w:p>
        </w:tc>
        <w:tc>
          <w:tcPr>
            <w:tcW w:w="1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E0E0E0"/>
          </w:tcPr>
          <w:p>
            <w:pPr>
              <w:ind w:left="160"/>
              <w:spacing w:after="0"/>
              <w:rPr>
                <w:sz w:val="20"/>
                <w:szCs w:val="20"/>
                <w:color w:val="auto"/>
              </w:rPr>
            </w:pPr>
            <w:r>
              <w:rPr>
                <w:rFonts w:ascii="Arial" w:cs="Arial" w:eastAsia="Arial" w:hAnsi="Arial"/>
                <w:sz w:val="20"/>
                <w:szCs w:val="20"/>
                <w:color w:val="auto"/>
              </w:rPr>
              <w:t>lease liabilities</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jc w:val="right"/>
              <w:ind w:right="140"/>
              <w:spacing w:after="0"/>
              <w:rPr>
                <w:sz w:val="20"/>
                <w:szCs w:val="20"/>
                <w:color w:val="auto"/>
              </w:rPr>
            </w:pPr>
            <w:r>
              <w:rPr>
                <w:rFonts w:ascii="Arial" w:cs="Arial" w:eastAsia="Arial" w:hAnsi="Arial"/>
                <w:sz w:val="20"/>
                <w:szCs w:val="20"/>
                <w:color w:val="auto"/>
                <w:w w:val="89"/>
              </w:rPr>
              <w:t>$</w:t>
            </w:r>
          </w:p>
        </w:tc>
        <w:tc>
          <w:tcPr>
            <w:tcW w:w="128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2,067</w:t>
            </w: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340" w:type="dxa"/>
            <w:vAlign w:val="bottom"/>
            <w:gridSpan w:val="2"/>
            <w:shd w:val="clear" w:color="auto" w:fill="E0E0E0"/>
          </w:tcPr>
          <w:p>
            <w:pPr>
              <w:jc w:val="right"/>
              <w:ind w:right="165"/>
              <w:spacing w:after="0"/>
              <w:rPr>
                <w:sz w:val="20"/>
                <w:szCs w:val="20"/>
                <w:color w:val="auto"/>
              </w:rPr>
            </w:pPr>
            <w:r>
              <w:rPr>
                <w:rFonts w:ascii="Arial" w:cs="Arial" w:eastAsia="Arial" w:hAnsi="Arial"/>
                <w:sz w:val="20"/>
                <w:szCs w:val="20"/>
                <w:color w:val="auto"/>
                <w:w w:val="71"/>
              </w:rPr>
              <w:t>$</w:t>
            </w:r>
          </w:p>
        </w:tc>
        <w:tc>
          <w:tcPr>
            <w:tcW w:w="13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2,627</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840" w:type="dxa"/>
            <w:vAlign w:val="bottom"/>
          </w:tcPr>
          <w:p>
            <w:pPr>
              <w:spacing w:after="0"/>
              <w:rPr>
                <w:sz w:val="20"/>
                <w:szCs w:val="20"/>
                <w:color w:val="auto"/>
              </w:rPr>
            </w:pPr>
            <w:r>
              <w:rPr>
                <w:rFonts w:ascii="Arial" w:cs="Arial" w:eastAsia="Arial" w:hAnsi="Arial"/>
                <w:sz w:val="20"/>
                <w:szCs w:val="20"/>
                <w:color w:val="auto"/>
              </w:rPr>
              <w:t>ROU assets obtained in exchange for operating lease liabilities</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1,188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8860" w:type="dxa"/>
            <w:vAlign w:val="bottom"/>
            <w:gridSpan w:val="6"/>
          </w:tcPr>
          <w:p>
            <w:pPr>
              <w:ind w:left="500"/>
              <w:spacing w:after="0"/>
              <w:rPr>
                <w:sz w:val="20"/>
                <w:szCs w:val="20"/>
                <w:color w:val="auto"/>
              </w:rPr>
            </w:pPr>
            <w:r>
              <w:rPr>
                <w:rFonts w:ascii="Arial" w:cs="Arial" w:eastAsia="Arial" w:hAnsi="Arial"/>
                <w:sz w:val="20"/>
                <w:szCs w:val="20"/>
                <w:color w:val="auto"/>
              </w:rPr>
              <w:t>Future minimum lease payments as of December 31, 2023, were as follows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84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840" w:type="dxa"/>
            <w:vAlign w:val="bottom"/>
          </w:tcPr>
          <w:p>
            <w:pPr>
              <w:spacing w:after="0"/>
              <w:rPr>
                <w:sz w:val="20"/>
                <w:szCs w:val="20"/>
                <w:color w:val="auto"/>
              </w:rPr>
            </w:pPr>
            <w:r>
              <w:rPr>
                <w:rFonts w:ascii="Arial" w:cs="Arial" w:eastAsia="Arial" w:hAnsi="Arial"/>
                <w:sz w:val="20"/>
                <w:szCs w:val="20"/>
                <w:color w:val="auto"/>
              </w:rPr>
              <w:t>2024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1,643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E0E0E0"/>
          </w:tcPr>
          <w:p>
            <w:pPr>
              <w:spacing w:after="0"/>
              <w:rPr>
                <w:sz w:val="20"/>
                <w:szCs w:val="20"/>
                <w:color w:val="auto"/>
              </w:rPr>
            </w:pPr>
            <w:r>
              <w:rPr>
                <w:rFonts w:ascii="Arial" w:cs="Arial" w:eastAsia="Arial" w:hAnsi="Arial"/>
                <w:sz w:val="20"/>
                <w:szCs w:val="20"/>
                <w:color w:val="auto"/>
              </w:rPr>
              <w:t>2025</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3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1,202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20"/>
                <w:szCs w:val="20"/>
                <w:color w:val="auto"/>
              </w:rPr>
              <w:t>2026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E0E0E0"/>
          </w:tcPr>
          <w:p>
            <w:pPr>
              <w:spacing w:after="0"/>
              <w:rPr>
                <w:sz w:val="20"/>
                <w:szCs w:val="20"/>
                <w:color w:val="auto"/>
              </w:rPr>
            </w:pPr>
            <w:r>
              <w:rPr>
                <w:rFonts w:ascii="Arial" w:cs="Arial" w:eastAsia="Arial" w:hAnsi="Arial"/>
                <w:sz w:val="20"/>
                <w:szCs w:val="20"/>
                <w:color w:val="auto"/>
              </w:rPr>
              <w:t>2027</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3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319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20"/>
                <w:szCs w:val="20"/>
                <w:color w:val="auto"/>
              </w:rPr>
              <w:t>2028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E0E0E0"/>
          </w:tcPr>
          <w:p>
            <w:pPr>
              <w:spacing w:after="0"/>
              <w:rPr>
                <w:sz w:val="20"/>
                <w:szCs w:val="20"/>
                <w:color w:val="auto"/>
              </w:rPr>
            </w:pPr>
            <w:r>
              <w:rPr>
                <w:rFonts w:ascii="Arial" w:cs="Arial" w:eastAsia="Arial" w:hAnsi="Arial"/>
                <w:sz w:val="20"/>
                <w:szCs w:val="20"/>
                <w:color w:val="auto"/>
              </w:rPr>
              <w:t>Thereafter</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400" w:type="dxa"/>
            <w:vAlign w:val="bottom"/>
            <w:gridSpan w:val="3"/>
            <w:shd w:val="clear" w:color="auto" w:fill="E0E0E0"/>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6840" w:type="dxa"/>
            <w:vAlign w:val="bottom"/>
            <w:tcBorders>
              <w:bottom w:val="single" w:sz="8" w:color="E0E0E0"/>
            </w:tcBorders>
          </w:tcPr>
          <w:p>
            <w:pPr>
              <w:ind w:left="140"/>
              <w:spacing w:after="0" w:line="220" w:lineRule="exact"/>
              <w:rPr>
                <w:sz w:val="20"/>
                <w:szCs w:val="20"/>
                <w:color w:val="auto"/>
              </w:rPr>
            </w:pPr>
            <w:r>
              <w:rPr>
                <w:rFonts w:ascii="Arial" w:cs="Arial" w:eastAsia="Arial" w:hAnsi="Arial"/>
                <w:sz w:val="20"/>
                <w:szCs w:val="20"/>
                <w:color w:val="auto"/>
              </w:rPr>
              <w:t>Total undiscounted lease payments</w:t>
            </w:r>
          </w:p>
        </w:tc>
        <w:tc>
          <w:tcPr>
            <w:tcW w:w="280" w:type="dxa"/>
            <w:vAlign w:val="bottom"/>
            <w:tcBorders>
              <w:bottom w:val="single" w:sz="8" w:color="E0E0E0"/>
            </w:tcBorders>
          </w:tcPr>
          <w:p>
            <w:pPr>
              <w:spacing w:after="0"/>
              <w:rPr>
                <w:sz w:val="19"/>
                <w:szCs w:val="19"/>
                <w:color w:val="auto"/>
              </w:rPr>
            </w:pPr>
          </w:p>
        </w:tc>
        <w:tc>
          <w:tcPr>
            <w:tcW w:w="360" w:type="dxa"/>
            <w:vAlign w:val="bottom"/>
            <w:tcBorders>
              <w:bottom w:val="single" w:sz="8" w:color="E0E0E0"/>
            </w:tcBorders>
          </w:tcPr>
          <w:p>
            <w:pPr>
              <w:spacing w:after="0"/>
              <w:rPr>
                <w:sz w:val="19"/>
                <w:szCs w:val="19"/>
                <w:color w:val="auto"/>
              </w:rPr>
            </w:pPr>
          </w:p>
        </w:tc>
        <w:tc>
          <w:tcPr>
            <w:tcW w:w="118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3,840</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40" w:type="dxa"/>
            <w:vAlign w:val="bottom"/>
            <w:shd w:val="clear" w:color="auto" w:fill="E0E0E0"/>
          </w:tcPr>
          <w:p>
            <w:pPr>
              <w:ind w:left="140"/>
              <w:spacing w:after="0" w:line="220" w:lineRule="exact"/>
              <w:rPr>
                <w:sz w:val="20"/>
                <w:szCs w:val="20"/>
                <w:color w:val="auto"/>
              </w:rPr>
            </w:pPr>
            <w:r>
              <w:rPr>
                <w:rFonts w:ascii="Arial" w:cs="Arial" w:eastAsia="Arial" w:hAnsi="Arial"/>
                <w:sz w:val="20"/>
                <w:szCs w:val="20"/>
                <w:color w:val="auto"/>
              </w:rPr>
              <w:t>Less - present value discount</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tcBorders>
              <w:bottom w:val="single" w:sz="8" w:color="auto"/>
            </w:tcBorders>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320" w:type="dxa"/>
            <w:vAlign w:val="bottom"/>
            <w:tcBorders>
              <w:bottom w:val="single" w:sz="8" w:color="auto"/>
            </w:tcBorders>
            <w:shd w:val="clear" w:color="auto" w:fill="E0E0E0"/>
          </w:tcPr>
          <w:p>
            <w:pPr>
              <w:spacing w:after="0"/>
              <w:rPr>
                <w:sz w:val="19"/>
                <w:szCs w:val="19"/>
                <w:color w:val="auto"/>
              </w:rPr>
            </w:pPr>
          </w:p>
        </w:tc>
        <w:tc>
          <w:tcPr>
            <w:tcW w:w="1300" w:type="dxa"/>
            <w:vAlign w:val="bottom"/>
            <w:tcBorders>
              <w:bottom w:val="single" w:sz="8" w:color="auto"/>
            </w:tcBorders>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320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40" w:type="dxa"/>
            <w:vAlign w:val="bottom"/>
          </w:tcPr>
          <w:p>
            <w:pPr>
              <w:ind w:left="140"/>
              <w:spacing w:after="0" w:line="220" w:lineRule="exact"/>
              <w:rPr>
                <w:sz w:val="20"/>
                <w:szCs w:val="20"/>
                <w:color w:val="auto"/>
              </w:rPr>
            </w:pPr>
            <w:r>
              <w:rPr>
                <w:rFonts w:ascii="Arial" w:cs="Arial" w:eastAsia="Arial" w:hAnsi="Arial"/>
                <w:sz w:val="20"/>
                <w:szCs w:val="20"/>
                <w:color w:val="auto"/>
              </w:rPr>
              <w:t>Lease liability, at present value</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3,520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Future minimum lease payments as of December 31, 2022 were as follows (in thousands):</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2240" w:h="15840" w:orient="portrait"/>
          <w:cols w:equalWidth="0" w:num="1">
            <w:col w:w="10800"/>
          </w:cols>
          <w:pgMar w:left="720" w:top="1160" w:right="720" w:bottom="186"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8880" w:type="dxa"/>
            <w:vAlign w:val="bottom"/>
          </w:tcPr>
          <w:p>
            <w:pPr>
              <w:spacing w:after="0"/>
              <w:rPr>
                <w:sz w:val="20"/>
                <w:szCs w:val="20"/>
                <w:color w:val="auto"/>
              </w:rPr>
            </w:pPr>
            <w:r>
              <w:rPr>
                <w:rFonts w:ascii="Arial" w:cs="Arial" w:eastAsia="Arial" w:hAnsi="Arial"/>
                <w:sz w:val="20"/>
                <w:szCs w:val="20"/>
                <w:color w:val="auto"/>
              </w:rPr>
              <w:t>2023</w:t>
            </w:r>
          </w:p>
        </w:tc>
        <w:tc>
          <w:tcPr>
            <w:tcW w:w="700" w:type="dxa"/>
            <w:vAlign w:val="bottom"/>
            <w:gridSpan w:val="2"/>
          </w:tcPr>
          <w:p>
            <w:pPr>
              <w:jc w:val="right"/>
              <w:ind w:right="525"/>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1,910</w:t>
            </w:r>
          </w:p>
        </w:tc>
        <w:tc>
          <w:tcPr>
            <w:tcW w:w="100" w:type="dxa"/>
            <w:vAlign w:val="bottom"/>
          </w:tcPr>
          <w:p>
            <w:pPr>
              <w:spacing w:after="0"/>
              <w:rPr>
                <w:sz w:val="21"/>
                <w:szCs w:val="21"/>
                <w:color w:val="auto"/>
              </w:rPr>
            </w:pPr>
          </w:p>
        </w:tc>
      </w:tr>
      <w:tr>
        <w:trPr>
          <w:trHeight w:val="230"/>
        </w:trPr>
        <w:tc>
          <w:tcPr>
            <w:tcW w:w="8880" w:type="dxa"/>
            <w:vAlign w:val="bottom"/>
            <w:shd w:val="clear" w:color="auto" w:fill="E0E0E0"/>
          </w:tcPr>
          <w:p>
            <w:pPr>
              <w:spacing w:after="0"/>
              <w:rPr>
                <w:sz w:val="20"/>
                <w:szCs w:val="20"/>
                <w:color w:val="auto"/>
              </w:rPr>
            </w:pPr>
            <w:r>
              <w:rPr>
                <w:rFonts w:ascii="Arial" w:cs="Arial" w:eastAsia="Arial" w:hAnsi="Arial"/>
                <w:sz w:val="20"/>
                <w:szCs w:val="20"/>
                <w:color w:val="auto"/>
              </w:rPr>
              <w:t>2024</w:t>
            </w:r>
          </w:p>
        </w:tc>
        <w:tc>
          <w:tcPr>
            <w:tcW w:w="2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879</w:t>
            </w:r>
          </w:p>
        </w:tc>
        <w:tc>
          <w:tcPr>
            <w:tcW w:w="100" w:type="dxa"/>
            <w:vAlign w:val="bottom"/>
            <w:shd w:val="clear" w:color="auto" w:fill="E0E0E0"/>
          </w:tcPr>
          <w:p>
            <w:pPr>
              <w:spacing w:after="0"/>
              <w:rPr>
                <w:sz w:val="19"/>
                <w:szCs w:val="19"/>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20"/>
                <w:szCs w:val="20"/>
                <w:color w:val="auto"/>
              </w:rPr>
              <w:t>2025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449</w:t>
            </w:r>
          </w:p>
        </w:tc>
        <w:tc>
          <w:tcPr>
            <w:tcW w:w="100" w:type="dxa"/>
            <w:vAlign w:val="bottom"/>
          </w:tcPr>
          <w:p>
            <w:pPr>
              <w:spacing w:after="0"/>
              <w:rPr>
                <w:sz w:val="19"/>
                <w:szCs w:val="19"/>
                <w:color w:val="auto"/>
              </w:rPr>
            </w:pPr>
          </w:p>
        </w:tc>
      </w:tr>
      <w:tr>
        <w:trPr>
          <w:trHeight w:val="230"/>
        </w:trPr>
        <w:tc>
          <w:tcPr>
            <w:tcW w:w="8880" w:type="dxa"/>
            <w:vAlign w:val="bottom"/>
            <w:shd w:val="clear" w:color="auto" w:fill="E0E0E0"/>
          </w:tcPr>
          <w:p>
            <w:pPr>
              <w:spacing w:after="0"/>
              <w:rPr>
                <w:sz w:val="20"/>
                <w:szCs w:val="20"/>
                <w:color w:val="auto"/>
              </w:rPr>
            </w:pPr>
            <w:r>
              <w:rPr>
                <w:rFonts w:ascii="Arial" w:cs="Arial" w:eastAsia="Arial" w:hAnsi="Arial"/>
                <w:sz w:val="20"/>
                <w:szCs w:val="20"/>
                <w:color w:val="auto"/>
              </w:rPr>
              <w:t>2026</w:t>
            </w:r>
          </w:p>
        </w:tc>
        <w:tc>
          <w:tcPr>
            <w:tcW w:w="2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60</w:t>
            </w:r>
          </w:p>
        </w:tc>
        <w:tc>
          <w:tcPr>
            <w:tcW w:w="100" w:type="dxa"/>
            <w:vAlign w:val="bottom"/>
            <w:shd w:val="clear" w:color="auto" w:fill="E0E0E0"/>
          </w:tcPr>
          <w:p>
            <w:pPr>
              <w:spacing w:after="0"/>
              <w:rPr>
                <w:sz w:val="19"/>
                <w:szCs w:val="19"/>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20"/>
                <w:szCs w:val="20"/>
                <w:color w:val="auto"/>
              </w:rPr>
              <w:t>2027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30"/>
        </w:trPr>
        <w:tc>
          <w:tcPr>
            <w:tcW w:w="8880" w:type="dxa"/>
            <w:vAlign w:val="bottom"/>
            <w:shd w:val="clear" w:color="auto" w:fill="E0E0E0"/>
          </w:tcPr>
          <w:p>
            <w:pPr>
              <w:spacing w:after="0"/>
              <w:rPr>
                <w:sz w:val="20"/>
                <w:szCs w:val="20"/>
                <w:color w:val="auto"/>
              </w:rPr>
            </w:pPr>
            <w:r>
              <w:rPr>
                <w:rFonts w:ascii="Arial" w:cs="Arial" w:eastAsia="Arial" w:hAnsi="Arial"/>
                <w:sz w:val="20"/>
                <w:szCs w:val="20"/>
                <w:color w:val="auto"/>
              </w:rPr>
              <w:t>Thereafter</w:t>
            </w:r>
          </w:p>
        </w:tc>
        <w:tc>
          <w:tcPr>
            <w:tcW w:w="2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12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w:t>
            </w:r>
          </w:p>
        </w:tc>
      </w:tr>
      <w:tr>
        <w:trPr>
          <w:trHeight w:val="220"/>
        </w:trPr>
        <w:tc>
          <w:tcPr>
            <w:tcW w:w="8880" w:type="dxa"/>
            <w:vAlign w:val="bottom"/>
            <w:tcBorders>
              <w:bottom w:val="single" w:sz="8" w:color="E0E0E0"/>
            </w:tcBorders>
          </w:tcPr>
          <w:p>
            <w:pPr>
              <w:ind w:left="140"/>
              <w:spacing w:after="0" w:line="220" w:lineRule="exact"/>
              <w:rPr>
                <w:sz w:val="20"/>
                <w:szCs w:val="20"/>
                <w:color w:val="auto"/>
              </w:rPr>
            </w:pPr>
            <w:r>
              <w:rPr>
                <w:rFonts w:ascii="Arial" w:cs="Arial" w:eastAsia="Arial" w:hAnsi="Arial"/>
                <w:sz w:val="20"/>
                <w:szCs w:val="20"/>
                <w:color w:val="auto"/>
              </w:rPr>
              <w:t>Total undiscounted lease payments</w:t>
            </w:r>
          </w:p>
        </w:tc>
        <w:tc>
          <w:tcPr>
            <w:tcW w:w="20" w:type="dxa"/>
            <w:vAlign w:val="bottom"/>
            <w:tcBorders>
              <w:bottom w:val="single" w:sz="8" w:color="E0E0E0"/>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3,298</w:t>
            </w:r>
          </w:p>
        </w:tc>
        <w:tc>
          <w:tcPr>
            <w:tcW w:w="100" w:type="dxa"/>
            <w:vAlign w:val="bottom"/>
            <w:tcBorders>
              <w:bottom w:val="single" w:sz="8" w:color="E0E0E0"/>
            </w:tcBorders>
          </w:tcPr>
          <w:p>
            <w:pPr>
              <w:spacing w:after="0"/>
              <w:rPr>
                <w:sz w:val="19"/>
                <w:szCs w:val="19"/>
                <w:color w:val="auto"/>
              </w:rPr>
            </w:pPr>
          </w:p>
        </w:tc>
      </w:tr>
      <w:tr>
        <w:trPr>
          <w:trHeight w:val="220"/>
        </w:trPr>
        <w:tc>
          <w:tcPr>
            <w:tcW w:w="8880" w:type="dxa"/>
            <w:vAlign w:val="bottom"/>
            <w:shd w:val="clear" w:color="auto" w:fill="E0E0E0"/>
          </w:tcPr>
          <w:p>
            <w:pPr>
              <w:ind w:left="140"/>
              <w:spacing w:after="0" w:line="220" w:lineRule="exact"/>
              <w:rPr>
                <w:sz w:val="20"/>
                <w:szCs w:val="20"/>
                <w:color w:val="auto"/>
              </w:rPr>
            </w:pPr>
            <w:r>
              <w:rPr>
                <w:rFonts w:ascii="Arial" w:cs="Arial" w:eastAsia="Arial" w:hAnsi="Arial"/>
                <w:sz w:val="20"/>
                <w:szCs w:val="20"/>
                <w:color w:val="auto"/>
              </w:rPr>
              <w:t>Less - present value discount</w:t>
            </w:r>
          </w:p>
        </w:tc>
        <w:tc>
          <w:tcPr>
            <w:tcW w:w="20" w:type="dxa"/>
            <w:vAlign w:val="bottom"/>
            <w:shd w:val="clear" w:color="auto" w:fill="E0E0E0"/>
          </w:tcPr>
          <w:p>
            <w:pPr>
              <w:spacing w:after="0"/>
              <w:rPr>
                <w:sz w:val="19"/>
                <w:szCs w:val="19"/>
                <w:color w:val="auto"/>
              </w:rPr>
            </w:pPr>
          </w:p>
        </w:tc>
        <w:tc>
          <w:tcPr>
            <w:tcW w:w="680" w:type="dxa"/>
            <w:vAlign w:val="bottom"/>
            <w:tcBorders>
              <w:bottom w:val="single" w:sz="8" w:color="auto"/>
            </w:tcBorders>
            <w:shd w:val="clear" w:color="auto" w:fill="E0E0E0"/>
          </w:tcPr>
          <w:p>
            <w:pPr>
              <w:spacing w:after="0"/>
              <w:rPr>
                <w:sz w:val="19"/>
                <w:szCs w:val="19"/>
                <w:color w:val="auto"/>
              </w:rPr>
            </w:pPr>
          </w:p>
        </w:tc>
        <w:tc>
          <w:tcPr>
            <w:tcW w:w="11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149</w:t>
            </w:r>
          </w:p>
        </w:tc>
        <w:tc>
          <w:tcPr>
            <w:tcW w:w="100" w:type="dxa"/>
            <w:vAlign w:val="bottom"/>
            <w:shd w:val="clear" w:color="auto" w:fill="E0E0E0"/>
          </w:tcPr>
          <w:p>
            <w:pPr>
              <w:spacing w:after="0"/>
              <w:rPr>
                <w:sz w:val="19"/>
                <w:szCs w:val="19"/>
                <w:color w:val="auto"/>
              </w:rPr>
            </w:pPr>
          </w:p>
        </w:tc>
      </w:tr>
      <w:tr>
        <w:trPr>
          <w:trHeight w:val="220"/>
        </w:trPr>
        <w:tc>
          <w:tcPr>
            <w:tcW w:w="8880" w:type="dxa"/>
            <w:vAlign w:val="bottom"/>
          </w:tcPr>
          <w:p>
            <w:pPr>
              <w:ind w:left="140"/>
              <w:spacing w:after="0" w:line="220" w:lineRule="exact"/>
              <w:rPr>
                <w:sz w:val="20"/>
                <w:szCs w:val="20"/>
                <w:color w:val="auto"/>
              </w:rPr>
            </w:pPr>
            <w:r>
              <w:rPr>
                <w:rFonts w:ascii="Arial" w:cs="Arial" w:eastAsia="Arial" w:hAnsi="Arial"/>
                <w:sz w:val="20"/>
                <w:szCs w:val="20"/>
                <w:color w:val="auto"/>
              </w:rPr>
              <w:t>Lease liability, at present value</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3,149</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The components of operating lease expense during the year ended December 31, 2023 and 2022 are shown on the table below (in thousands), while rent expense for the year ended December 31, 2021 was $2.2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4564380</wp:posOffset>
                </wp:positionH>
                <wp:positionV relativeFrom="paragraph">
                  <wp:posOffset>90805</wp:posOffset>
                </wp:positionV>
                <wp:extent cx="10287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8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4pt,7.15pt" to="440.4pt,7.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5661660</wp:posOffset>
                </wp:positionH>
                <wp:positionV relativeFrom="paragraph">
                  <wp:posOffset>90805</wp:posOffset>
                </wp:positionV>
                <wp:extent cx="112776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77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8pt,7.15pt" to="534.6pt,7.15pt" o:allowincell="f" strokecolor="#000000" strokeweight="0.5pt"/>
            </w:pict>
          </mc:Fallback>
        </mc:AlternateConten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Borders>
              <w:bottom w:val="single" w:sz="8" w:color="E0E0E0"/>
            </w:tcBorders>
          </w:tcPr>
          <w:p>
            <w:pPr>
              <w:spacing w:after="0"/>
              <w:rPr>
                <w:sz w:val="20"/>
                <w:szCs w:val="20"/>
                <w:color w:val="auto"/>
              </w:rPr>
            </w:pPr>
            <w:r>
              <w:rPr>
                <w:rFonts w:ascii="Arial" w:cs="Arial" w:eastAsia="Arial" w:hAnsi="Arial"/>
                <w:sz w:val="16"/>
                <w:szCs w:val="16"/>
                <w:b w:val="1"/>
                <w:bCs w:val="1"/>
                <w:color w:val="auto"/>
              </w:rPr>
              <w:t>(amounts in thousands)</w:t>
            </w:r>
          </w:p>
        </w:tc>
        <w:tc>
          <w:tcPr>
            <w:tcW w:w="20" w:type="dxa"/>
            <w:vAlign w:val="bottom"/>
            <w:tcBorders>
              <w:bottom w:val="single" w:sz="8" w:color="E0E0E0"/>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E0E0E0"/>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0E0E0"/>
            </w:tcBorders>
          </w:tcPr>
          <w:p>
            <w:pPr>
              <w:spacing w:after="0"/>
              <w:rPr>
                <w:sz w:val="17"/>
                <w:szCs w:val="17"/>
                <w:color w:val="auto"/>
              </w:rPr>
            </w:pPr>
          </w:p>
        </w:tc>
      </w:tr>
      <w:tr>
        <w:trPr>
          <w:trHeight w:val="220"/>
        </w:trPr>
        <w:tc>
          <w:tcPr>
            <w:tcW w:w="71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Operating lease expense</w:t>
            </w:r>
          </w:p>
        </w:tc>
        <w:tc>
          <w:tcPr>
            <w:tcW w:w="20" w:type="dxa"/>
            <w:vAlign w:val="bottom"/>
            <w:shd w:val="clear" w:color="auto" w:fill="E0E0E0"/>
          </w:tcPr>
          <w:p>
            <w:pPr>
              <w:spacing w:after="0"/>
              <w:rPr>
                <w:sz w:val="19"/>
                <w:szCs w:val="19"/>
                <w:color w:val="auto"/>
              </w:rPr>
            </w:pPr>
          </w:p>
        </w:tc>
        <w:tc>
          <w:tcPr>
            <w:tcW w:w="360" w:type="dxa"/>
            <w:vAlign w:val="bottom"/>
            <w:shd w:val="clear" w:color="auto" w:fill="E0E0E0"/>
          </w:tcPr>
          <w:p>
            <w:pPr>
              <w:jc w:val="right"/>
              <w:ind w:right="160"/>
              <w:spacing w:after="0" w:line="220"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1,691</w:t>
            </w:r>
          </w:p>
        </w:tc>
        <w:tc>
          <w:tcPr>
            <w:tcW w:w="280" w:type="dxa"/>
            <w:vAlign w:val="bottom"/>
            <w:shd w:val="clear" w:color="auto" w:fill="E0E0E0"/>
          </w:tcPr>
          <w:p>
            <w:pPr>
              <w:spacing w:after="0"/>
              <w:rPr>
                <w:sz w:val="19"/>
                <w:szCs w:val="19"/>
                <w:color w:val="auto"/>
              </w:rPr>
            </w:pPr>
          </w:p>
        </w:tc>
        <w:tc>
          <w:tcPr>
            <w:tcW w:w="360" w:type="dxa"/>
            <w:vAlign w:val="bottom"/>
            <w:shd w:val="clear" w:color="auto" w:fill="E0E0E0"/>
          </w:tcPr>
          <w:p>
            <w:pPr>
              <w:jc w:val="right"/>
              <w:ind w:right="160"/>
              <w:spacing w:after="0" w:line="220"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1,615</w:t>
            </w:r>
          </w:p>
        </w:tc>
        <w:tc>
          <w:tcPr>
            <w:tcW w:w="100" w:type="dxa"/>
            <w:vAlign w:val="bottom"/>
            <w:shd w:val="clear" w:color="auto" w:fill="E0E0E0"/>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20"/>
                <w:szCs w:val="20"/>
                <w:color w:val="auto"/>
              </w:rPr>
              <w:t>Short-term lease expense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473</w:t>
            </w:r>
          </w:p>
        </w:tc>
        <w:tc>
          <w:tcPr>
            <w:tcW w:w="100" w:type="dxa"/>
            <w:vAlign w:val="bottom"/>
          </w:tcPr>
          <w:p>
            <w:pPr>
              <w:spacing w:after="0"/>
              <w:rPr>
                <w:sz w:val="19"/>
                <w:szCs w:val="19"/>
                <w:color w:val="auto"/>
              </w:rPr>
            </w:pPr>
          </w:p>
        </w:tc>
      </w:tr>
      <w:tr>
        <w:trPr>
          <w:trHeight w:val="250"/>
        </w:trPr>
        <w:tc>
          <w:tcPr>
            <w:tcW w:w="7180" w:type="dxa"/>
            <w:vAlign w:val="bottom"/>
            <w:tcBorders>
              <w:bottom w:val="single" w:sz="8" w:color="E0E0E0"/>
            </w:tcBorders>
            <w:shd w:val="clear" w:color="auto" w:fill="E0E0E0"/>
          </w:tcPr>
          <w:p>
            <w:pPr>
              <w:spacing w:after="0"/>
              <w:rPr>
                <w:sz w:val="20"/>
                <w:szCs w:val="20"/>
                <w:color w:val="auto"/>
              </w:rPr>
            </w:pPr>
            <w:r>
              <w:rPr>
                <w:rFonts w:ascii="Arial" w:cs="Arial" w:eastAsia="Arial" w:hAnsi="Arial"/>
                <w:sz w:val="20"/>
                <w:szCs w:val="20"/>
                <w:color w:val="auto"/>
              </w:rPr>
              <w:t>Variable lease expense</w:t>
            </w:r>
          </w:p>
        </w:tc>
        <w:tc>
          <w:tcPr>
            <w:tcW w:w="20" w:type="dxa"/>
            <w:vAlign w:val="bottom"/>
            <w:tcBorders>
              <w:bottom w:val="single" w:sz="8" w:color="E0E0E0"/>
            </w:tcBorders>
            <w:shd w:val="clear" w:color="auto" w:fill="E0E0E0"/>
          </w:tcPr>
          <w:p>
            <w:pPr>
              <w:spacing w:after="0"/>
              <w:rPr>
                <w:sz w:val="21"/>
                <w:szCs w:val="21"/>
                <w:color w:val="auto"/>
              </w:rPr>
            </w:pPr>
          </w:p>
        </w:tc>
        <w:tc>
          <w:tcPr>
            <w:tcW w:w="360" w:type="dxa"/>
            <w:vAlign w:val="bottom"/>
            <w:tcBorders>
              <w:bottom w:val="single" w:sz="8" w:color="auto"/>
            </w:tcBorders>
            <w:shd w:val="clear" w:color="auto" w:fill="E0E0E0"/>
          </w:tcPr>
          <w:p>
            <w:pPr>
              <w:spacing w:after="0"/>
              <w:rPr>
                <w:sz w:val="21"/>
                <w:szCs w:val="21"/>
                <w:color w:val="auto"/>
              </w:rPr>
            </w:pPr>
          </w:p>
        </w:tc>
        <w:tc>
          <w:tcPr>
            <w:tcW w:w="12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237</w:t>
            </w:r>
          </w:p>
        </w:tc>
        <w:tc>
          <w:tcPr>
            <w:tcW w:w="280" w:type="dxa"/>
            <w:vAlign w:val="bottom"/>
            <w:tcBorders>
              <w:bottom w:val="single" w:sz="8" w:color="E0E0E0"/>
            </w:tcBorders>
            <w:shd w:val="clear" w:color="auto" w:fill="E0E0E0"/>
          </w:tcPr>
          <w:p>
            <w:pPr>
              <w:spacing w:after="0"/>
              <w:rPr>
                <w:sz w:val="21"/>
                <w:szCs w:val="21"/>
                <w:color w:val="auto"/>
              </w:rPr>
            </w:pPr>
          </w:p>
        </w:tc>
        <w:tc>
          <w:tcPr>
            <w:tcW w:w="360" w:type="dxa"/>
            <w:vAlign w:val="bottom"/>
            <w:tcBorders>
              <w:bottom w:val="single" w:sz="8" w:color="auto"/>
            </w:tcBorders>
            <w:shd w:val="clear" w:color="auto" w:fill="E0E0E0"/>
          </w:tcPr>
          <w:p>
            <w:pPr>
              <w:spacing w:after="0"/>
              <w:rPr>
                <w:sz w:val="21"/>
                <w:szCs w:val="21"/>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218</w:t>
            </w:r>
          </w:p>
        </w:tc>
        <w:tc>
          <w:tcPr>
            <w:tcW w:w="100" w:type="dxa"/>
            <w:vAlign w:val="bottom"/>
            <w:tcBorders>
              <w:bottom w:val="single" w:sz="8" w:color="E0E0E0"/>
            </w:tcBorders>
            <w:shd w:val="clear" w:color="auto" w:fill="E0E0E0"/>
          </w:tcPr>
          <w:p>
            <w:pPr>
              <w:spacing w:after="0"/>
              <w:rPr>
                <w:sz w:val="21"/>
                <w:szCs w:val="21"/>
                <w:color w:val="auto"/>
              </w:rPr>
            </w:pPr>
          </w:p>
        </w:tc>
      </w:tr>
      <w:tr>
        <w:trPr>
          <w:trHeight w:val="200"/>
        </w:trPr>
        <w:tc>
          <w:tcPr>
            <w:tcW w:w="7180" w:type="dxa"/>
            <w:vAlign w:val="bottom"/>
          </w:tcPr>
          <w:p>
            <w:pPr>
              <w:ind w:left="140"/>
              <w:spacing w:after="0" w:line="200" w:lineRule="exact"/>
              <w:rPr>
                <w:sz w:val="20"/>
                <w:szCs w:val="20"/>
                <w:color w:val="auto"/>
              </w:rPr>
            </w:pPr>
            <w:r>
              <w:rPr>
                <w:rFonts w:ascii="Arial" w:cs="Arial" w:eastAsia="Arial" w:hAnsi="Arial"/>
                <w:sz w:val="20"/>
                <w:szCs w:val="20"/>
                <w:color w:val="auto"/>
              </w:rPr>
              <w:t>Total operating lease expense</w:t>
            </w:r>
          </w:p>
        </w:tc>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line="200"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2,087</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line="200"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2,306</w:t>
            </w:r>
          </w:p>
        </w:tc>
        <w:tc>
          <w:tcPr>
            <w:tcW w:w="10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Commitments and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proceedings</w:t>
      </w:r>
    </w:p>
    <w:p>
      <w:pPr>
        <w:spacing w:after="0" w:line="196" w:lineRule="exact"/>
        <w:rPr>
          <w:sz w:val="20"/>
          <w:szCs w:val="20"/>
          <w:color w:val="auto"/>
        </w:rPr>
      </w:pPr>
    </w:p>
    <w:p>
      <w:pPr>
        <w:ind w:right="180" w:firstLine="490"/>
        <w:spacing w:after="0" w:line="247" w:lineRule="auto"/>
        <w:rPr>
          <w:sz w:val="20"/>
          <w:szCs w:val="20"/>
          <w:color w:val="auto"/>
        </w:rPr>
      </w:pPr>
      <w:r>
        <w:rPr>
          <w:rFonts w:ascii="Arial" w:cs="Arial" w:eastAsia="Arial" w:hAnsi="Arial"/>
          <w:sz w:val="20"/>
          <w:szCs w:val="20"/>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53" w:lineRule="exact"/>
        <w:rPr>
          <w:sz w:val="20"/>
          <w:szCs w:val="20"/>
          <w:color w:val="auto"/>
        </w:rPr>
      </w:pPr>
    </w:p>
    <w:p>
      <w:pPr>
        <w:jc w:val="both"/>
        <w:ind w:right="700" w:firstLine="490"/>
        <w:spacing w:after="0" w:line="261" w:lineRule="auto"/>
        <w:rPr>
          <w:sz w:val="20"/>
          <w:szCs w:val="20"/>
          <w:color w:val="auto"/>
        </w:rPr>
      </w:pPr>
      <w:r>
        <w:rPr>
          <w:rFonts w:ascii="Arial" w:cs="Arial" w:eastAsia="Arial" w:hAnsi="Arial"/>
          <w:sz w:val="20"/>
          <w:szCs w:val="20"/>
          <w:color w:val="auto"/>
        </w:rPr>
        <w:t>As of December 31, 2023,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40" w:lineRule="exact"/>
        <w:rPr>
          <w:sz w:val="20"/>
          <w:szCs w:val="20"/>
          <w:color w:val="auto"/>
        </w:rPr>
      </w:pPr>
    </w:p>
    <w:p>
      <w:pPr>
        <w:ind w:right="80" w:firstLine="490"/>
        <w:spacing w:after="0" w:line="246" w:lineRule="auto"/>
        <w:rPr>
          <w:sz w:val="20"/>
          <w:szCs w:val="20"/>
          <w:color w:val="auto"/>
        </w:rPr>
      </w:pPr>
      <w:r>
        <w:rPr>
          <w:rFonts w:ascii="Arial" w:cs="Arial" w:eastAsia="Arial" w:hAnsi="Arial"/>
          <w:sz w:val="20"/>
          <w:szCs w:val="20"/>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or other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w:t>
      </w:r>
    </w:p>
    <w:p>
      <w:pPr>
        <w:spacing w:after="0" w:line="196"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as of December 31, 2023 and 2022.</w:t>
      </w:r>
    </w:p>
    <w:p>
      <w:pPr>
        <w:sectPr>
          <w:pgSz w:w="12240" w:h="15840" w:orient="portrait"/>
          <w:cols w:equalWidth="0" w:num="1">
            <w:col w:w="10800"/>
          </w:cols>
          <w:pgMar w:left="720" w:top="1160" w:right="720" w:bottom="186"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2240" w:h="15840" w:orient="portrait"/>
          <w:cols w:equalWidth="0" w:num="1">
            <w:col w:w="10800"/>
          </w:cols>
          <w:pgMar w:left="720" w:top="1160" w:right="720" w:bottom="186"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Note 17. Employee Benefit Plan</w:t>
      </w:r>
    </w:p>
    <w:p>
      <w:pPr>
        <w:spacing w:after="0" w:line="204"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$1.4 million, $1.2 million and $0.8 million to the plan during the years ended December 31, 2023, 2022 and 2021,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Subsequent Event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2024 Revolving Credit Facility</w:t>
      </w:r>
    </w:p>
    <w:p>
      <w:pPr>
        <w:spacing w:after="0" w:line="19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auto"/>
        </w:rPr>
        <w:t>On February 23, 2024, the Company entered into an Amended and Restated Credit Agreement for a five-year senior secured revolving credit syndication loan (2024 Revolving Credit Facility) with four banks for a total commitment of $125.0 million. The Revolving Credit Facility provides for an incremental facility in an amount equal to $50.0 million plus 100% of Consolidated Adjusted EBITDA based on the most recent consolidated financial information. In addition, the Revolving Credit Facility includes a $10.0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current and future material domestic subsidiaries. The Revolving Credit Facility replaces the three-year senior secured Revolving Credit Facility of $50.0 million entered into in July 2021, under which $50.0 million was available to Flywire as of December 31, 2023. Three of the lenders in the new Revolving Credit Facility were existing lenders under the Revolving Credit Facility in place as of December 31, 2023.</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Revolving Credit Facility consists of ABR borrowings or Term SOFR borrowings, at the Company’s option.</w:t>
      </w:r>
    </w:p>
    <w:p>
      <w:pPr>
        <w:spacing w:after="0" w:line="200" w:lineRule="exact"/>
        <w:rPr>
          <w:sz w:val="20"/>
          <w:szCs w:val="20"/>
          <w:color w:val="auto"/>
        </w:rPr>
      </w:pPr>
    </w:p>
    <w:p>
      <w:pPr>
        <w:ind w:right="80" w:firstLine="490"/>
        <w:spacing w:after="0" w:line="246" w:lineRule="auto"/>
        <w:rPr>
          <w:sz w:val="20"/>
          <w:szCs w:val="20"/>
          <w:color w:val="auto"/>
        </w:rPr>
      </w:pPr>
      <w:r>
        <w:rPr>
          <w:rFonts w:ascii="Arial" w:cs="Arial" w:eastAsia="Arial" w:hAnsi="Arial"/>
          <w:sz w:val="20"/>
          <w:szCs w:val="20"/>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from1.0% to 2.5%. The Revolving Credit Facility incurs a commitment fee ranging from 0.25% to 0.35% based upon the Company’s consolidated total net leverage ratio as of the most recent consolidated financial information assessed on the average available commitment.</w:t>
      </w:r>
    </w:p>
    <w:p>
      <w:pPr>
        <w:spacing w:after="0" w:line="154" w:lineRule="exact"/>
        <w:rPr>
          <w:sz w:val="20"/>
          <w:szCs w:val="20"/>
          <w:color w:val="auto"/>
        </w:rPr>
      </w:pPr>
    </w:p>
    <w:p>
      <w:pPr>
        <w:ind w:right="740" w:firstLine="490"/>
        <w:spacing w:after="0" w:line="282" w:lineRule="auto"/>
        <w:rPr>
          <w:sz w:val="20"/>
          <w:szCs w:val="20"/>
          <w:color w:val="auto"/>
        </w:rPr>
      </w:pPr>
      <w:r>
        <w:rPr>
          <w:rFonts w:ascii="Arial" w:cs="Arial" w:eastAsia="Arial" w:hAnsi="Arial"/>
          <w:sz w:val="20"/>
          <w:szCs w:val="20"/>
          <w:color w:val="auto"/>
        </w:rPr>
        <w:t>The 2024 Revolving Credit Facility does not have a material impact on the Company’s consolidated financial statements.</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ectPr>
          <w:pgSz w:w="12240" w:h="15840" w:orient="portrait"/>
          <w:cols w:equalWidth="0" w:num="1">
            <w:col w:w="10800"/>
          </w:cols>
          <w:pgMar w:left="720" w:top="1156" w:right="720" w:bottom="186" w:gutter="0" w:footer="0" w:header="0"/>
          <w:type w:val="continuous"/>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04"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2023, the end of the period covered by this Annual Report on Form 10-K, our disclosure controls and procedures were effective at the reasonable assurance level.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04" w:lineRule="exact"/>
        <w:rPr>
          <w:sz w:val="20"/>
          <w:szCs w:val="20"/>
          <w:color w:val="auto"/>
        </w:rPr>
      </w:pPr>
    </w:p>
    <w:p>
      <w:pPr>
        <w:ind w:right="220" w:firstLine="490"/>
        <w:spacing w:after="0" w:line="247"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defined in Rule 13a-15(f) and 15d- 15(f) under the Exchange Act. Management, with the participation of our Chief Executive Officer and Chief Financial Officer, has assessed the effectiveness of our internal control over financial reporting as of December 31, 2023 based on the 2013 framework established in the “Internal Control-Integrated Framework,” issued by the Committee of Sponsoring Organizations of the Treadway Commission. Based on this evaluation under the framework, management has concluded that our internal control over financial reporting as of December 31, 2023 was effective.</w:t>
      </w:r>
    </w:p>
    <w:p>
      <w:pPr>
        <w:spacing w:after="0" w:line="153" w:lineRule="exact"/>
        <w:rPr>
          <w:sz w:val="20"/>
          <w:szCs w:val="20"/>
          <w:color w:val="auto"/>
        </w:rPr>
      </w:pPr>
    </w:p>
    <w:p>
      <w:pPr>
        <w:ind w:right="260" w:firstLine="490"/>
        <w:spacing w:after="0" w:line="248" w:lineRule="auto"/>
        <w:rPr>
          <w:sz w:val="20"/>
          <w:szCs w:val="20"/>
          <w:color w:val="auto"/>
        </w:rPr>
      </w:pPr>
      <w:r>
        <w:rPr>
          <w:rFonts w:ascii="Arial" w:cs="Arial" w:eastAsia="Arial" w:hAnsi="Arial"/>
          <w:sz w:val="20"/>
          <w:szCs w:val="20"/>
          <w:color w:val="auto"/>
        </w:rPr>
        <w:t>On November 3, 2023, Flywire acquired all of the issued and outstanding shares of StudyLink. As permitted by Securities and Exchange Commission staff guidance, companies are permitted to exclude acquisitions from their assessment of internal control over financial reporting for the first year of acquisition. We have excluded StudyLink from our assessment of internal control over financial reporting as of December 31, 2023. StudyLink accounted for approximately 4.4% of total assets as of December 31, 2023 and approximately 0.3% of revenues for the fiscal year ended on December 31, 2023.</w:t>
      </w:r>
    </w:p>
    <w:p>
      <w:pPr>
        <w:spacing w:after="0" w:line="154"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The effectiveness of our internal control over financial reporting as of December 31, 2023 has been audited by PricewaterhouseCoopers LLP, an independent registered public accounting firm, as stated in their report which appears in Part II, Item 8 of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04" w:lineRule="exact"/>
        <w:rPr>
          <w:sz w:val="20"/>
          <w:szCs w:val="20"/>
          <w:color w:val="auto"/>
        </w:rPr>
      </w:pPr>
    </w:p>
    <w:p>
      <w:pPr>
        <w:ind w:right="300" w:firstLine="490"/>
        <w:spacing w:after="0" w:line="261" w:lineRule="auto"/>
        <w:rPr>
          <w:sz w:val="20"/>
          <w:szCs w:val="20"/>
          <w:color w:val="auto"/>
        </w:rPr>
      </w:pPr>
      <w:r>
        <w:rPr>
          <w:rFonts w:ascii="Arial" w:cs="Arial" w:eastAsia="Arial" w:hAnsi="Arial"/>
          <w:sz w:val="20"/>
          <w:szCs w:val="20"/>
          <w:color w:val="auto"/>
        </w:rPr>
        <w:t>There were no changes in our internal control over financial reporting identified in connection with the evaluation required by Rule 13a-15(d) and 15d-15(d) of the Exchange Act that occurred during the quarter ended December 31, 2023 that has materially affected, or is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Limitations on Effectiveness of Controls</w:t>
      </w:r>
    </w:p>
    <w:p>
      <w:pPr>
        <w:spacing w:after="0" w:line="204" w:lineRule="exact"/>
        <w:rPr>
          <w:sz w:val="20"/>
          <w:szCs w:val="20"/>
          <w:color w:val="auto"/>
        </w:rPr>
      </w:pPr>
    </w:p>
    <w:p>
      <w:pPr>
        <w:ind w:right="100" w:firstLine="490"/>
        <w:spacing w:after="0" w:line="245" w:lineRule="auto"/>
        <w:rPr>
          <w:sz w:val="20"/>
          <w:szCs w:val="20"/>
          <w:color w:val="auto"/>
        </w:rPr>
      </w:pPr>
      <w:r>
        <w:rPr>
          <w:rFonts w:ascii="Arial" w:cs="Arial" w:eastAsia="Arial" w:hAnsi="Arial"/>
          <w:sz w:val="20"/>
          <w:szCs w:val="20"/>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w:t>
      </w:r>
    </w:p>
    <w:p>
      <w:pPr>
        <w:sectPr>
          <w:pgSz w:w="12240" w:h="15840" w:orient="portrait"/>
          <w:cols w:equalWidth="0" w:num="1">
            <w:col w:w="10800"/>
          </w:cols>
          <w:pgMar w:left="720" w:top="1156" w:right="720" w:bottom="186"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ectPr>
          <w:pgSz w:w="12240" w:h="15840" w:orient="portrait"/>
          <w:cols w:equalWidth="0" w:num="1">
            <w:col w:w="10800"/>
          </w:cols>
          <w:pgMar w:left="720" w:top="1156" w:right="720" w:bottom="186" w:gutter="0" w:footer="0" w:header="0"/>
          <w:type w:val="continuous"/>
        </w:sectPr>
      </w:pPr>
    </w:p>
    <w:bookmarkStart w:id="153" w:name="page154"/>
    <w:bookmarkEnd w:id="153"/>
    <w:p>
      <w:pPr>
        <w:spacing w:after="0" w:line="247" w:lineRule="auto"/>
        <w:rPr>
          <w:sz w:val="20"/>
          <w:szCs w:val="20"/>
          <w:color w:val="auto"/>
        </w:rPr>
      </w:pPr>
      <w:r>
        <w:rPr>
          <w:rFonts w:ascii="Arial" w:cs="Arial" w:eastAsia="Arial" w:hAnsi="Arial"/>
          <w:sz w:val="20"/>
          <w:szCs w:val="20"/>
          <w:color w:val="auto"/>
        </w:rPr>
        <w:t>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 Trading Plan</w:t>
      </w:r>
    </w:p>
    <w:p>
      <w:pPr>
        <w:spacing w:after="0" w:line="196"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On November 15, 2023, Robert Orgel, our President and Chief Operating Officer, terminated a trading arrangement he had previously adopted with respect to the sale of shares of our common stock (a "Rule 10b5-1 Trading Plan") that was intended to satisfy the affirmative defense conditions of Securities Exchange Act Rule 10b5-1(c). Mr. Orgel's Rule 10b5-1 Trading Plan was adopted on May 17, 2023, had a term effective through August 31, 2024 and provided for the sale of up to 303,399 shares of common stock pursuant to the terms of the Rule 10b5-1 Trading Plan. As of the date of termination of the Rule 10b-5 Trading Plan, Mr. Orgel had sold 35,000 shares of common stock under the terms of the Rule 10b5-1 Trading Plan.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Chief Financial Officer Transition Agreement Amendment</w:t>
      </w:r>
    </w:p>
    <w:p>
      <w:pPr>
        <w:spacing w:after="0" w:line="196"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auto"/>
        </w:rPr>
        <w:t>As previously disclosed, on November 6, 2023, we entered into a Transition Agreement with Michael Ellis, our Chief Financial Officer (the “Transition Agreement”). On February 23, 2024, we entered into Amendment No. 1 to the Transition Agreement (the “Transition Agreement Amendment”) to correct a scrivener’s error in the number of shares of common stock underlying the Third Option (as such term is defined in the Transition Agreement).</w:t>
      </w:r>
    </w:p>
    <w:p>
      <w:pPr>
        <w:spacing w:after="0" w:line="146" w:lineRule="exact"/>
        <w:rPr>
          <w:sz w:val="20"/>
          <w:szCs w:val="20"/>
          <w:color w:val="auto"/>
        </w:rPr>
      </w:pPr>
    </w:p>
    <w:p>
      <w:pPr>
        <w:jc w:val="both"/>
        <w:ind w:right="160" w:firstLine="490"/>
        <w:spacing w:after="0" w:line="261" w:lineRule="auto"/>
        <w:rPr>
          <w:sz w:val="20"/>
          <w:szCs w:val="20"/>
          <w:color w:val="auto"/>
        </w:rPr>
      </w:pPr>
      <w:r>
        <w:rPr>
          <w:rFonts w:ascii="Arial" w:cs="Arial" w:eastAsia="Arial" w:hAnsi="Arial"/>
          <w:sz w:val="20"/>
          <w:szCs w:val="20"/>
          <w:color w:val="auto"/>
        </w:rPr>
        <w:t>The foregoing description of the terms and conditions of the Transition Agreement Amendment does not purport to be complete and is qualified in its entirety by reference to the full text of the Transition Agreement Amendment, which is filed as an exhibit to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10760"/>
          </w:cols>
          <w:pgMar w:left="720" w:top="1160"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152</w:t>
      </w:r>
    </w:p>
    <w:p>
      <w:pPr>
        <w:sectPr>
          <w:pgSz w:w="12240" w:h="15840" w:orient="portrait"/>
          <w:cols w:equalWidth="0" w:num="1">
            <w:col w:w="10760"/>
          </w:cols>
          <w:pgMar w:left="720" w:top="1160" w:right="760" w:bottom="186" w:gutter="0" w:footer="0" w:header="0"/>
          <w:type w:val="continuous"/>
        </w:sectPr>
      </w:pPr>
    </w:p>
    <w:bookmarkStart w:id="154" w:name="page155"/>
    <w:bookmarkEnd w:id="154"/>
    <w:p>
      <w:pPr>
        <w:ind w:left="5020"/>
        <w:spacing w:after="0"/>
        <w:rPr>
          <w:sz w:val="20"/>
          <w:szCs w:val="20"/>
          <w:color w:val="auto"/>
        </w:rPr>
      </w:pPr>
      <w:r>
        <w:rPr>
          <w:rFonts w:ascii="Arial" w:cs="Arial" w:eastAsia="Arial" w:hAnsi="Arial"/>
          <w:sz w:val="20"/>
          <w:szCs w:val="20"/>
          <w:b w:val="1"/>
          <w:bCs w:val="1"/>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04" w:lineRule="exact"/>
        <w:rPr>
          <w:sz w:val="20"/>
          <w:szCs w:val="20"/>
          <w:color w:val="auto"/>
        </w:rPr>
      </w:pPr>
    </w:p>
    <w:p>
      <w:pPr>
        <w:ind w:right="220" w:firstLine="490"/>
        <w:spacing w:after="0" w:line="261" w:lineRule="auto"/>
        <w:rPr>
          <w:sz w:val="20"/>
          <w:szCs w:val="20"/>
          <w:color w:val="auto"/>
        </w:rPr>
      </w:pPr>
      <w:r>
        <w:rPr>
          <w:rFonts w:ascii="Arial" w:cs="Arial" w:eastAsia="Arial" w:hAnsi="Arial"/>
          <w:sz w:val="20"/>
          <w:szCs w:val="20"/>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04" w:lineRule="exact"/>
        <w:rPr>
          <w:sz w:val="20"/>
          <w:szCs w:val="20"/>
          <w:color w:val="auto"/>
        </w:rPr>
      </w:pPr>
    </w:p>
    <w:p>
      <w:pPr>
        <w:ind w:right="220" w:firstLine="490"/>
        <w:spacing w:after="0" w:line="261" w:lineRule="auto"/>
        <w:rPr>
          <w:sz w:val="20"/>
          <w:szCs w:val="20"/>
          <w:color w:val="auto"/>
        </w:rPr>
      </w:pPr>
      <w:r>
        <w:rPr>
          <w:rFonts w:ascii="Arial" w:cs="Arial" w:eastAsia="Arial" w:hAnsi="Arial"/>
          <w:sz w:val="20"/>
          <w:szCs w:val="20"/>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136" w:lineRule="exact"/>
        <w:rPr>
          <w:sz w:val="20"/>
          <w:szCs w:val="20"/>
          <w:color w:val="auto"/>
        </w:rPr>
      </w:pPr>
    </w:p>
    <w:p>
      <w:pPr>
        <w:ind w:right="480"/>
        <w:spacing w:after="0" w:line="450"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 Securities Authorized for Issuance under Equity Compensation Plans</w:t>
      </w:r>
    </w:p>
    <w:p>
      <w:pPr>
        <w:spacing w:after="0" w:line="2"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The following table provides information as of December 31, 2023,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w:t>
            </w:r>
          </w:p>
        </w:tc>
        <w:tc>
          <w:tcPr>
            <w:tcW w:w="2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B</w:t>
            </w:r>
          </w:p>
        </w:tc>
        <w:tc>
          <w:tcPr>
            <w:tcW w:w="2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2140" w:type="dxa"/>
            <w:vAlign w:val="bottom"/>
            <w:shd w:val="clear" w:color="auto" w:fill="E0E0E0"/>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shd w:val="clear" w:color="auto" w:fill="E0E0E0"/>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shd w:val="clear" w:color="auto" w:fill="E0E0E0"/>
          </w:tcPr>
          <w:p>
            <w:pPr>
              <w:jc w:val="center"/>
              <w:ind w:right="1"/>
              <w:spacing w:after="0" w:line="210" w:lineRule="exact"/>
              <w:rPr>
                <w:sz w:val="20"/>
                <w:szCs w:val="20"/>
                <w:color w:val="auto"/>
              </w:rPr>
            </w:pPr>
            <w:r>
              <w:rPr>
                <w:rFonts w:ascii="Arial" w:cs="Arial" w:eastAsia="Arial" w:hAnsi="Arial"/>
                <w:sz w:val="20"/>
                <w:szCs w:val="20"/>
                <w:color w:val="auto"/>
              </w:rPr>
              <w:t>Number of</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shd w:val="clear" w:color="auto" w:fill="E0E0E0"/>
          </w:tcPr>
          <w:p>
            <w:pPr>
              <w:jc w:val="center"/>
              <w:ind w:right="21"/>
              <w:spacing w:after="0"/>
              <w:rPr>
                <w:sz w:val="20"/>
                <w:szCs w:val="20"/>
                <w:color w:val="auto"/>
              </w:rPr>
            </w:pPr>
            <w:r>
              <w:rPr>
                <w:rFonts w:ascii="Arial" w:cs="Arial" w:eastAsia="Arial" w:hAnsi="Arial"/>
                <w:sz w:val="20"/>
                <w:szCs w:val="20"/>
                <w:color w:val="auto"/>
              </w:rPr>
              <w:t>Securities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shd w:val="clear" w:color="auto" w:fill="E0E0E0"/>
          </w:tcPr>
          <w:p>
            <w:pPr>
              <w:jc w:val="center"/>
              <w:ind w:right="21"/>
              <w:spacing w:after="0"/>
              <w:rPr>
                <w:sz w:val="20"/>
                <w:szCs w:val="20"/>
                <w:color w:val="auto"/>
              </w:rPr>
            </w:pPr>
            <w:r>
              <w:rPr>
                <w:rFonts w:ascii="Arial" w:cs="Arial" w:eastAsia="Arial" w:hAnsi="Arial"/>
                <w:sz w:val="20"/>
                <w:szCs w:val="20"/>
                <w:color w:val="auto"/>
              </w:rPr>
              <w:t>Remaining</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shd w:val="clear" w:color="auto" w:fill="E0E0E0"/>
          </w:tcPr>
          <w:p>
            <w:pPr>
              <w:jc w:val="center"/>
              <w:ind w:right="1"/>
              <w:spacing w:after="0"/>
              <w:rPr>
                <w:sz w:val="20"/>
                <w:szCs w:val="20"/>
                <w:color w:val="auto"/>
              </w:rPr>
            </w:pPr>
            <w:r>
              <w:rPr>
                <w:rFonts w:ascii="Arial" w:cs="Arial" w:eastAsia="Arial" w:hAnsi="Arial"/>
                <w:sz w:val="20"/>
                <w:szCs w:val="20"/>
                <w:color w:val="auto"/>
              </w:rPr>
              <w:t>Available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shd w:val="clear" w:color="auto" w:fill="E0E0E0"/>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shd w:val="clear" w:color="auto" w:fill="E0E0E0"/>
          </w:tcPr>
          <w:p>
            <w:pPr>
              <w:jc w:val="center"/>
              <w:ind w:right="1"/>
              <w:spacing w:after="0"/>
              <w:rPr>
                <w:sz w:val="20"/>
                <w:szCs w:val="20"/>
                <w:color w:val="auto"/>
              </w:rPr>
            </w:pPr>
            <w:r>
              <w:rPr>
                <w:rFonts w:ascii="Arial" w:cs="Arial" w:eastAsia="Arial" w:hAnsi="Arial"/>
                <w:sz w:val="20"/>
                <w:szCs w:val="20"/>
                <w:color w:val="auto"/>
                <w:w w:val="99"/>
              </w:rPr>
              <w:t>for Future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jc w:val="center"/>
              <w:ind w:right="2"/>
              <w:spacing w:after="0"/>
              <w:rPr>
                <w:sz w:val="20"/>
                <w:szCs w:val="20"/>
                <w:color w:val="auto"/>
              </w:rPr>
            </w:pPr>
            <w:r>
              <w:rPr>
                <w:rFonts w:ascii="Arial" w:cs="Arial" w:eastAsia="Arial" w:hAnsi="Arial"/>
                <w:sz w:val="20"/>
                <w:szCs w:val="20"/>
                <w:color w:val="auto"/>
                <w:w w:val="98"/>
              </w:rPr>
              <w:t>Number of</w:t>
            </w:r>
          </w:p>
        </w:tc>
        <w:tc>
          <w:tcPr>
            <w:tcW w:w="16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8"/>
              </w:rPr>
              <w:t>Weighted-</w:t>
            </w:r>
          </w:p>
        </w:tc>
        <w:tc>
          <w:tcPr>
            <w:tcW w:w="160" w:type="dxa"/>
            <w:vAlign w:val="bottom"/>
          </w:tcPr>
          <w:p>
            <w:pPr>
              <w:spacing w:after="0"/>
              <w:rPr>
                <w:sz w:val="19"/>
                <w:szCs w:val="19"/>
                <w:color w:val="auto"/>
              </w:rPr>
            </w:pPr>
          </w:p>
        </w:tc>
        <w:tc>
          <w:tcPr>
            <w:tcW w:w="2120" w:type="dxa"/>
            <w:vAlign w:val="bottom"/>
            <w:shd w:val="clear" w:color="auto" w:fill="E0E0E0"/>
          </w:tcPr>
          <w:p>
            <w:pPr>
              <w:jc w:val="center"/>
              <w:ind w:right="21"/>
              <w:spacing w:after="0"/>
              <w:rPr>
                <w:sz w:val="20"/>
                <w:szCs w:val="20"/>
                <w:color w:val="auto"/>
              </w:rPr>
            </w:pPr>
            <w:r>
              <w:rPr>
                <w:rFonts w:ascii="Arial" w:cs="Arial" w:eastAsia="Arial" w:hAnsi="Arial"/>
                <w:sz w:val="20"/>
                <w:szCs w:val="20"/>
                <w:color w:val="auto"/>
                <w:w w:val="99"/>
              </w:rPr>
              <w:t>Issuance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9"/>
              </w:rPr>
              <w:t>Securities to</w:t>
            </w:r>
          </w:p>
        </w:tc>
        <w:tc>
          <w:tcPr>
            <w:tcW w:w="16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9"/>
              </w:rPr>
              <w:t>Average</w:t>
            </w:r>
          </w:p>
        </w:tc>
        <w:tc>
          <w:tcPr>
            <w:tcW w:w="160" w:type="dxa"/>
            <w:vAlign w:val="bottom"/>
          </w:tcPr>
          <w:p>
            <w:pPr>
              <w:spacing w:after="0"/>
              <w:rPr>
                <w:sz w:val="19"/>
                <w:szCs w:val="19"/>
                <w:color w:val="auto"/>
              </w:rPr>
            </w:pPr>
          </w:p>
        </w:tc>
        <w:tc>
          <w:tcPr>
            <w:tcW w:w="2120" w:type="dxa"/>
            <w:vAlign w:val="bottom"/>
            <w:shd w:val="clear" w:color="auto" w:fill="E0E0E0"/>
          </w:tcPr>
          <w:p>
            <w:pPr>
              <w:jc w:val="center"/>
              <w:ind w:right="21"/>
              <w:spacing w:after="0"/>
              <w:rPr>
                <w:sz w:val="20"/>
                <w:szCs w:val="20"/>
                <w:color w:val="auto"/>
              </w:rPr>
            </w:pPr>
            <w:r>
              <w:rPr>
                <w:rFonts w:ascii="Arial" w:cs="Arial" w:eastAsia="Arial" w:hAnsi="Arial"/>
                <w:sz w:val="20"/>
                <w:szCs w:val="20"/>
                <w:color w:val="auto"/>
              </w:rPr>
              <w:t>Under Equity</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jc w:val="center"/>
              <w:ind w:right="2"/>
              <w:spacing w:after="0"/>
              <w:rPr>
                <w:sz w:val="20"/>
                <w:szCs w:val="20"/>
                <w:color w:val="auto"/>
              </w:rPr>
            </w:pPr>
            <w:r>
              <w:rPr>
                <w:rFonts w:ascii="Arial" w:cs="Arial" w:eastAsia="Arial" w:hAnsi="Arial"/>
                <w:sz w:val="20"/>
                <w:szCs w:val="20"/>
                <w:color w:val="auto"/>
              </w:rPr>
              <w:t>be Issued</w:t>
            </w:r>
          </w:p>
        </w:tc>
        <w:tc>
          <w:tcPr>
            <w:tcW w:w="16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9"/>
              </w:rPr>
              <w:t>Exercise Price of</w:t>
            </w:r>
          </w:p>
        </w:tc>
        <w:tc>
          <w:tcPr>
            <w:tcW w:w="160" w:type="dxa"/>
            <w:vAlign w:val="bottom"/>
          </w:tcPr>
          <w:p>
            <w:pPr>
              <w:spacing w:after="0"/>
              <w:rPr>
                <w:sz w:val="19"/>
                <w:szCs w:val="19"/>
                <w:color w:val="auto"/>
              </w:rPr>
            </w:pPr>
          </w:p>
        </w:tc>
        <w:tc>
          <w:tcPr>
            <w:tcW w:w="2120" w:type="dxa"/>
            <w:vAlign w:val="bottom"/>
            <w:shd w:val="clear" w:color="auto" w:fill="E0E0E0"/>
          </w:tcPr>
          <w:p>
            <w:pPr>
              <w:jc w:val="center"/>
              <w:ind w:right="1"/>
              <w:spacing w:after="0"/>
              <w:rPr>
                <w:sz w:val="20"/>
                <w:szCs w:val="20"/>
                <w:color w:val="auto"/>
              </w:rPr>
            </w:pPr>
            <w:r>
              <w:rPr>
                <w:rFonts w:ascii="Arial" w:cs="Arial" w:eastAsia="Arial" w:hAnsi="Arial"/>
                <w:sz w:val="20"/>
                <w:szCs w:val="20"/>
                <w:color w:val="auto"/>
              </w:rPr>
              <w:t>Compensation</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9"/>
              </w:rPr>
              <w:t>Upon Exercise</w:t>
            </w:r>
          </w:p>
        </w:tc>
        <w:tc>
          <w:tcPr>
            <w:tcW w:w="160" w:type="dxa"/>
            <w:vAlign w:val="bottom"/>
          </w:tcPr>
          <w:p>
            <w:pPr>
              <w:spacing w:after="0"/>
              <w:rPr>
                <w:sz w:val="19"/>
                <w:szCs w:val="19"/>
                <w:color w:val="auto"/>
              </w:rPr>
            </w:pPr>
          </w:p>
        </w:tc>
        <w:tc>
          <w:tcPr>
            <w:tcW w:w="2140" w:type="dxa"/>
            <w:vAlign w:val="bottom"/>
            <w:shd w:val="clear" w:color="auto" w:fill="E0E0E0"/>
          </w:tcPr>
          <w:p>
            <w:pPr>
              <w:jc w:val="center"/>
              <w:ind w:right="2"/>
              <w:spacing w:after="0"/>
              <w:rPr>
                <w:sz w:val="20"/>
                <w:szCs w:val="20"/>
                <w:color w:val="auto"/>
              </w:rPr>
            </w:pPr>
            <w:r>
              <w:rPr>
                <w:rFonts w:ascii="Arial" w:cs="Arial" w:eastAsia="Arial" w:hAnsi="Arial"/>
                <w:sz w:val="20"/>
                <w:szCs w:val="20"/>
                <w:color w:val="auto"/>
              </w:rPr>
              <w:t>Outstanding</w:t>
            </w:r>
          </w:p>
        </w:tc>
        <w:tc>
          <w:tcPr>
            <w:tcW w:w="160" w:type="dxa"/>
            <w:vAlign w:val="bottom"/>
          </w:tcPr>
          <w:p>
            <w:pPr>
              <w:spacing w:after="0"/>
              <w:rPr>
                <w:sz w:val="19"/>
                <w:szCs w:val="19"/>
                <w:color w:val="auto"/>
              </w:rPr>
            </w:pPr>
          </w:p>
        </w:tc>
        <w:tc>
          <w:tcPr>
            <w:tcW w:w="2120" w:type="dxa"/>
            <w:vAlign w:val="bottom"/>
            <w:shd w:val="clear" w:color="auto" w:fill="E0E0E0"/>
          </w:tcPr>
          <w:p>
            <w:pPr>
              <w:jc w:val="center"/>
              <w:ind w:right="1"/>
              <w:spacing w:after="0"/>
              <w:rPr>
                <w:sz w:val="20"/>
                <w:szCs w:val="20"/>
                <w:color w:val="auto"/>
              </w:rPr>
            </w:pPr>
            <w:r>
              <w:rPr>
                <w:rFonts w:ascii="Arial" w:cs="Arial" w:eastAsia="Arial" w:hAnsi="Arial"/>
                <w:sz w:val="20"/>
                <w:szCs w:val="20"/>
                <w:color w:val="auto"/>
              </w:rPr>
              <w:t>Plans (Excluding</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9"/>
              </w:rPr>
              <w:t>of Outstanding</w:t>
            </w:r>
          </w:p>
        </w:tc>
        <w:tc>
          <w:tcPr>
            <w:tcW w:w="16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w w:val="99"/>
              </w:rPr>
              <w:t>Options,</w:t>
            </w:r>
          </w:p>
        </w:tc>
        <w:tc>
          <w:tcPr>
            <w:tcW w:w="160" w:type="dxa"/>
            <w:vAlign w:val="bottom"/>
          </w:tcPr>
          <w:p>
            <w:pPr>
              <w:spacing w:after="0"/>
              <w:rPr>
                <w:sz w:val="19"/>
                <w:szCs w:val="19"/>
                <w:color w:val="auto"/>
              </w:rPr>
            </w:pPr>
          </w:p>
        </w:tc>
        <w:tc>
          <w:tcPr>
            <w:tcW w:w="2120" w:type="dxa"/>
            <w:vAlign w:val="bottom"/>
            <w:shd w:val="clear" w:color="auto" w:fill="E0E0E0"/>
          </w:tcPr>
          <w:p>
            <w:pPr>
              <w:jc w:val="center"/>
              <w:ind w:right="21"/>
              <w:spacing w:after="0"/>
              <w:rPr>
                <w:sz w:val="20"/>
                <w:szCs w:val="20"/>
                <w:color w:val="auto"/>
              </w:rPr>
            </w:pPr>
            <w:r>
              <w:rPr>
                <w:rFonts w:ascii="Arial" w:cs="Arial" w:eastAsia="Arial" w:hAnsi="Arial"/>
                <w:sz w:val="20"/>
                <w:szCs w:val="20"/>
                <w:color w:val="auto"/>
              </w:rPr>
              <w:t>Securities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vMerge w:val="restart"/>
          </w:tcPr>
          <w:p>
            <w:pPr>
              <w:spacing w:after="0"/>
              <w:rPr>
                <w:sz w:val="20"/>
                <w:szCs w:val="20"/>
                <w:color w:val="auto"/>
              </w:rPr>
            </w:pPr>
            <w:r>
              <w:rPr>
                <w:rFonts w:ascii="Arial" w:cs="Arial" w:eastAsia="Arial" w:hAnsi="Arial"/>
                <w:sz w:val="20"/>
                <w:szCs w:val="20"/>
                <w:b w:val="1"/>
                <w:bCs w:val="1"/>
                <w:color w:val="auto"/>
              </w:rPr>
              <w:t>Plan Category</w:t>
            </w:r>
          </w:p>
        </w:tc>
        <w:tc>
          <w:tcPr>
            <w:tcW w:w="2140" w:type="dxa"/>
            <w:vAlign w:val="bottom"/>
            <w:shd w:val="clear" w:color="auto" w:fill="E0E0E0"/>
          </w:tcPr>
          <w:p>
            <w:pPr>
              <w:jc w:val="center"/>
              <w:ind w:right="2"/>
              <w:spacing w:after="0"/>
              <w:rPr>
                <w:sz w:val="20"/>
                <w:szCs w:val="20"/>
                <w:color w:val="auto"/>
              </w:rPr>
            </w:pPr>
            <w:r>
              <w:rPr>
                <w:rFonts w:ascii="Arial" w:cs="Arial" w:eastAsia="Arial" w:hAnsi="Arial"/>
                <w:sz w:val="20"/>
                <w:szCs w:val="20"/>
                <w:color w:val="auto"/>
              </w:rPr>
              <w:t>Options, Warrants,</w:t>
            </w:r>
          </w:p>
        </w:tc>
        <w:tc>
          <w:tcPr>
            <w:tcW w:w="160" w:type="dxa"/>
            <w:vAlign w:val="bottom"/>
          </w:tcPr>
          <w:p>
            <w:pPr>
              <w:spacing w:after="0"/>
              <w:rPr>
                <w:sz w:val="19"/>
                <w:szCs w:val="19"/>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rPr>
              <w:t>Warrants, and</w:t>
            </w:r>
          </w:p>
        </w:tc>
        <w:tc>
          <w:tcPr>
            <w:tcW w:w="160" w:type="dxa"/>
            <w:vAlign w:val="bottom"/>
          </w:tcPr>
          <w:p>
            <w:pPr>
              <w:spacing w:after="0"/>
              <w:rPr>
                <w:sz w:val="19"/>
                <w:szCs w:val="19"/>
                <w:color w:val="auto"/>
              </w:rPr>
            </w:pPr>
          </w:p>
        </w:tc>
        <w:tc>
          <w:tcPr>
            <w:tcW w:w="2120" w:type="dxa"/>
            <w:vAlign w:val="bottom"/>
            <w:shd w:val="clear" w:color="auto" w:fill="E0E0E0"/>
          </w:tcPr>
          <w:p>
            <w:pPr>
              <w:jc w:val="center"/>
              <w:ind w:right="1"/>
              <w:spacing w:after="0"/>
              <w:rPr>
                <w:sz w:val="20"/>
                <w:szCs w:val="20"/>
                <w:color w:val="auto"/>
              </w:rPr>
            </w:pPr>
            <w:r>
              <w:rPr>
                <w:rFonts w:ascii="Arial" w:cs="Arial" w:eastAsia="Arial" w:hAnsi="Arial"/>
                <w:sz w:val="20"/>
                <w:szCs w:val="20"/>
                <w:color w:val="auto"/>
              </w:rPr>
              <w:t>Reflected in</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40" w:type="dxa"/>
            <w:vAlign w:val="bottom"/>
            <w:vMerge w:val="continue"/>
          </w:tcPr>
          <w:p>
            <w:pPr>
              <w:spacing w:after="0"/>
              <w:rPr>
                <w:sz w:val="21"/>
                <w:szCs w:val="21"/>
                <w:color w:val="auto"/>
              </w:rPr>
            </w:pPr>
          </w:p>
        </w:tc>
        <w:tc>
          <w:tcPr>
            <w:tcW w:w="2140" w:type="dxa"/>
            <w:vAlign w:val="bottom"/>
            <w:shd w:val="clear" w:color="auto" w:fill="E0E0E0"/>
          </w:tcPr>
          <w:p>
            <w:pPr>
              <w:jc w:val="center"/>
              <w:ind w:right="2"/>
              <w:spacing w:after="0"/>
              <w:rPr>
                <w:sz w:val="20"/>
                <w:szCs w:val="20"/>
                <w:color w:val="auto"/>
              </w:rPr>
            </w:pPr>
            <w:r>
              <w:rPr>
                <w:rFonts w:ascii="Arial" w:cs="Arial" w:eastAsia="Arial" w:hAnsi="Arial"/>
                <w:sz w:val="20"/>
                <w:szCs w:val="20"/>
                <w:color w:val="auto"/>
              </w:rPr>
              <w:t>and Rights</w:t>
            </w:r>
          </w:p>
        </w:tc>
        <w:tc>
          <w:tcPr>
            <w:tcW w:w="160" w:type="dxa"/>
            <w:vAlign w:val="bottom"/>
          </w:tcPr>
          <w:p>
            <w:pPr>
              <w:spacing w:after="0"/>
              <w:rPr>
                <w:sz w:val="21"/>
                <w:szCs w:val="21"/>
                <w:color w:val="auto"/>
              </w:rPr>
            </w:pPr>
          </w:p>
        </w:tc>
        <w:tc>
          <w:tcPr>
            <w:tcW w:w="2140" w:type="dxa"/>
            <w:vAlign w:val="bottom"/>
            <w:shd w:val="clear" w:color="auto" w:fill="E0E0E0"/>
          </w:tcPr>
          <w:p>
            <w:pPr>
              <w:jc w:val="center"/>
              <w:ind w:right="22"/>
              <w:spacing w:after="0"/>
              <w:rPr>
                <w:sz w:val="20"/>
                <w:szCs w:val="20"/>
                <w:color w:val="auto"/>
              </w:rPr>
            </w:pPr>
            <w:r>
              <w:rPr>
                <w:rFonts w:ascii="Arial" w:cs="Arial" w:eastAsia="Arial" w:hAnsi="Arial"/>
                <w:sz w:val="20"/>
                <w:szCs w:val="20"/>
                <w:color w:val="auto"/>
              </w:rPr>
              <w:t>Rights</w:t>
            </w:r>
          </w:p>
        </w:tc>
        <w:tc>
          <w:tcPr>
            <w:tcW w:w="160" w:type="dxa"/>
            <w:vAlign w:val="bottom"/>
          </w:tcPr>
          <w:p>
            <w:pPr>
              <w:spacing w:after="0"/>
              <w:rPr>
                <w:sz w:val="21"/>
                <w:szCs w:val="21"/>
                <w:color w:val="auto"/>
              </w:rPr>
            </w:pPr>
          </w:p>
        </w:tc>
        <w:tc>
          <w:tcPr>
            <w:tcW w:w="2120" w:type="dxa"/>
            <w:vAlign w:val="bottom"/>
            <w:shd w:val="clear" w:color="auto" w:fill="E0E0E0"/>
          </w:tcPr>
          <w:p>
            <w:pPr>
              <w:jc w:val="center"/>
              <w:ind w:right="1"/>
              <w:spacing w:after="0"/>
              <w:rPr>
                <w:sz w:val="20"/>
                <w:szCs w:val="20"/>
                <w:color w:val="auto"/>
              </w:rPr>
            </w:pPr>
            <w:r>
              <w:rPr>
                <w:rFonts w:ascii="Arial" w:cs="Arial" w:eastAsia="Arial" w:hAnsi="Arial"/>
                <w:sz w:val="20"/>
                <w:szCs w:val="20"/>
                <w:color w:val="auto"/>
              </w:rPr>
              <w:t>Column (A)</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line="210" w:lineRule="exact"/>
              <w:rPr>
                <w:sz w:val="20"/>
                <w:szCs w:val="20"/>
                <w:color w:val="auto"/>
              </w:rPr>
            </w:pPr>
            <w:r>
              <w:rPr>
                <w:rFonts w:ascii="Arial" w:cs="Arial" w:eastAsia="Arial" w:hAnsi="Arial"/>
                <w:sz w:val="20"/>
                <w:szCs w:val="20"/>
                <w:color w:val="auto"/>
              </w:rPr>
              <w:t>Equity compensation plans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840" w:type="dxa"/>
            <w:vAlign w:val="bottom"/>
          </w:tcPr>
          <w:p>
            <w:pPr>
              <w:ind w:left="160"/>
              <w:spacing w:after="0"/>
              <w:rPr>
                <w:sz w:val="20"/>
                <w:szCs w:val="20"/>
                <w:color w:val="auto"/>
              </w:rPr>
            </w:pPr>
            <w:r>
              <w:rPr>
                <w:rFonts w:ascii="Arial" w:cs="Arial" w:eastAsia="Arial" w:hAnsi="Arial"/>
                <w:sz w:val="20"/>
                <w:szCs w:val="20"/>
                <w:color w:val="auto"/>
              </w:rPr>
              <w:t>approved by security holders</w:t>
            </w:r>
          </w:p>
        </w:tc>
        <w:tc>
          <w:tcPr>
            <w:tcW w:w="2300" w:type="dxa"/>
            <w:vAlign w:val="bottom"/>
            <w:gridSpan w:val="2"/>
          </w:tcPr>
          <w:p>
            <w:pPr>
              <w:jc w:val="right"/>
              <w:spacing w:after="0"/>
              <w:rPr>
                <w:sz w:val="20"/>
                <w:szCs w:val="20"/>
                <w:color w:val="auto"/>
              </w:rPr>
            </w:pPr>
            <w:r>
              <w:rPr>
                <w:rFonts w:ascii="Arial" w:cs="Arial" w:eastAsia="Arial" w:hAnsi="Arial"/>
                <w:sz w:val="20"/>
                <w:szCs w:val="20"/>
                <w:color w:val="auto"/>
              </w:rPr>
              <w:t xml:space="preserve">12,538,586 </w:t>
            </w:r>
            <w:r>
              <w:rPr>
                <w:rFonts w:ascii="Arial" w:cs="Arial" w:eastAsia="Arial" w:hAnsi="Arial"/>
                <w:sz w:val="12"/>
                <w:szCs w:val="12"/>
                <w:color w:val="auto"/>
              </w:rPr>
              <w:t>(1)</w:t>
            </w:r>
          </w:p>
        </w:tc>
        <w:tc>
          <w:tcPr>
            <w:tcW w:w="23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7.17 </w:t>
            </w:r>
            <w:r>
              <w:rPr>
                <w:rFonts w:ascii="Arial" w:cs="Arial" w:eastAsia="Arial" w:hAnsi="Arial"/>
                <w:sz w:val="12"/>
                <w:szCs w:val="12"/>
                <w:color w:val="auto"/>
              </w:rPr>
              <w:t>(2)</w:t>
            </w:r>
          </w:p>
        </w:tc>
        <w:tc>
          <w:tcPr>
            <w:tcW w:w="236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18,703,602  </w:t>
            </w: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140"/>
        <w:spacing w:after="0" w:line="248" w:lineRule="auto"/>
        <w:tabs>
          <w:tab w:leader="none" w:pos="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 these shares, 4,430,725 were underlying then outstanding restricted stock units and 605,275 were subject to options then outstanding under the 2021 Plan; 5,903,979 were subject to options then outstanding under the 2018 Plan; and 1,598,607 were subject to options then outstanding under the 2009 Plan.</w:t>
      </w:r>
    </w:p>
    <w:p>
      <w:pPr>
        <w:spacing w:after="0" w:line="1" w:lineRule="exact"/>
        <w:rPr>
          <w:rFonts w:ascii="Arial" w:cs="Arial" w:eastAsia="Arial" w:hAnsi="Arial"/>
          <w:sz w:val="16"/>
          <w:szCs w:val="16"/>
          <w:color w:val="auto"/>
        </w:rPr>
      </w:pPr>
    </w:p>
    <w:p>
      <w:pPr>
        <w:ind w:left="240" w:hanging="240"/>
        <w:spacing w:after="0"/>
        <w:tabs>
          <w:tab w:leader="none" w:pos="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Does not take into account restricted stock units, which have no exercise price.</w:t>
      </w:r>
    </w:p>
    <w:p>
      <w:pPr>
        <w:ind w:right="140"/>
        <w:spacing w:after="0" w:line="241" w:lineRule="auto"/>
        <w:tabs>
          <w:tab w:leader="none" w:pos="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14,846,817 shares of common stock available for issuance under our 2021 Plan and 3,856,785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(a) 5% of the total number of shares of common stock and non-voting common stock outstanding on the last business day of the prior fiscal year; or (b) such other amount as our board of directors may determine. Our ESPP provides for annual increases in the number of shares available for issuance thereunder on the first day of each fiscal year equal to the least of: (x) 2,000,000 shares; (y) 1% of the shares of common stock and non-voting common stock issued and outstanding on the last business day of the prior fiscal year; or (z) the number of shares determined by our board of directors. On January 1, 2024, an additional 6,128,424 shares became available for future issuance under the 2021 Plan and an additional 1,225,685 shares became available for future issuance under the ESPP. The additional shares from the annual increase on January 1, 2024 are not included in the table above.</w:t>
      </w:r>
    </w:p>
    <w:p>
      <w:pPr>
        <w:spacing w:after="0" w:line="168" w:lineRule="exact"/>
        <w:rPr>
          <w:sz w:val="20"/>
          <w:szCs w:val="20"/>
          <w:color w:val="auto"/>
        </w:rPr>
      </w:pPr>
    </w:p>
    <w:p>
      <w:pPr>
        <w:jc w:val="both"/>
        <w:ind w:right="320" w:firstLine="490"/>
        <w:spacing w:after="0" w:line="261" w:lineRule="auto"/>
        <w:rPr>
          <w:sz w:val="20"/>
          <w:szCs w:val="20"/>
          <w:color w:val="auto"/>
        </w:rPr>
      </w:pPr>
      <w:r>
        <w:rPr>
          <w:rFonts w:ascii="Arial" w:cs="Arial" w:eastAsia="Arial" w:hAnsi="Arial"/>
          <w:sz w:val="20"/>
          <w:szCs w:val="20"/>
          <w:color w:val="auto"/>
        </w:rPr>
        <w:t>The information required under this item not otherwise provided herein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04" w:lineRule="exact"/>
        <w:rPr>
          <w:sz w:val="20"/>
          <w:szCs w:val="20"/>
          <w:color w:val="auto"/>
        </w:rPr>
      </w:pPr>
    </w:p>
    <w:p>
      <w:pPr>
        <w:ind w:right="220" w:firstLine="490"/>
        <w:spacing w:after="0" w:line="261" w:lineRule="auto"/>
        <w:rPr>
          <w:sz w:val="20"/>
          <w:szCs w:val="20"/>
          <w:color w:val="auto"/>
        </w:rPr>
      </w:pPr>
      <w:r>
        <w:rPr>
          <w:rFonts w:ascii="Arial" w:cs="Arial" w:eastAsia="Arial" w:hAnsi="Arial"/>
          <w:sz w:val="20"/>
          <w:szCs w:val="20"/>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ectPr>
          <w:pgSz w:w="12240" w:h="15840" w:orient="portrait"/>
          <w:cols w:equalWidth="0" w:num="1">
            <w:col w:w="10800"/>
          </w:cols>
          <w:pgMar w:left="720" w:top="1156" w:right="720" w:bottom="186"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153</w:t>
      </w:r>
    </w:p>
    <w:p>
      <w:pPr>
        <w:sectPr>
          <w:pgSz w:w="12240" w:h="15840" w:orient="portrait"/>
          <w:cols w:equalWidth="0" w:num="1">
            <w:col w:w="10800"/>
          </w:cols>
          <w:pgMar w:left="720" w:top="1156" w:right="720" w:bottom="186"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04"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ectPr>
          <w:pgSz w:w="12240" w:h="15840" w:orient="portrait"/>
          <w:cols w:equalWidth="0" w:num="1">
            <w:col w:w="10580"/>
          </w:cols>
          <w:pgMar w:left="720" w:top="1156" w:right="9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154</w:t>
      </w:r>
    </w:p>
    <w:p>
      <w:pPr>
        <w:sectPr>
          <w:pgSz w:w="12240" w:h="15840" w:orient="portrait"/>
          <w:cols w:equalWidth="0" w:num="1">
            <w:col w:w="10580"/>
          </w:cols>
          <w:pgMar w:left="720" w:top="1156" w:right="940" w:bottom="186"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documents are filed as a part of this Annual Report on Form 10-K:</w:t>
      </w:r>
    </w:p>
    <w:p>
      <w:pPr>
        <w:spacing w:after="0" w:line="120" w:lineRule="exact"/>
        <w:rPr>
          <w:sz w:val="20"/>
          <w:szCs w:val="20"/>
          <w:color w:val="auto"/>
        </w:rPr>
      </w:pPr>
    </w:p>
    <w:p>
      <w:pPr>
        <w:ind w:left="980" w:hanging="491"/>
        <w:spacing w:after="0"/>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Consolidated Financial Statements</w:t>
      </w:r>
    </w:p>
    <w:p>
      <w:pPr>
        <w:spacing w:after="0" w:line="200" w:lineRule="exact"/>
        <w:rPr>
          <w:rFonts w:ascii="Arial" w:cs="Arial" w:eastAsia="Arial" w:hAnsi="Arial"/>
          <w:sz w:val="20"/>
          <w:szCs w:val="20"/>
          <w:color w:val="auto"/>
        </w:rPr>
      </w:pPr>
    </w:p>
    <w:p>
      <w:pPr>
        <w:ind w:left="980" w:right="540"/>
        <w:spacing w:after="0" w:line="282" w:lineRule="auto"/>
        <w:rPr>
          <w:rFonts w:ascii="Arial" w:cs="Arial" w:eastAsia="Arial" w:hAnsi="Arial"/>
          <w:sz w:val="20"/>
          <w:szCs w:val="20"/>
          <w:color w:val="auto"/>
        </w:rPr>
      </w:pPr>
      <w:r>
        <w:rPr>
          <w:rFonts w:ascii="Arial" w:cs="Arial" w:eastAsia="Arial" w:hAnsi="Arial"/>
          <w:sz w:val="20"/>
          <w:szCs w:val="20"/>
          <w:color w:val="auto"/>
        </w:rPr>
        <w:t>The consolidated financial statements are filed as part of this Annual Report on Form 10-K under “Item 8. Financial Statements and Supplementary Data.”</w:t>
      </w:r>
    </w:p>
    <w:p>
      <w:pPr>
        <w:spacing w:after="0" w:line="39" w:lineRule="exact"/>
        <w:rPr>
          <w:rFonts w:ascii="Arial" w:cs="Arial" w:eastAsia="Arial" w:hAnsi="Arial"/>
          <w:sz w:val="20"/>
          <w:szCs w:val="20"/>
          <w:color w:val="auto"/>
        </w:rPr>
      </w:pPr>
    </w:p>
    <w:p>
      <w:pPr>
        <w:ind w:left="980" w:hanging="491"/>
        <w:spacing w:after="0"/>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Financial Statement Schedules</w:t>
      </w:r>
    </w:p>
    <w:p>
      <w:pPr>
        <w:spacing w:after="0" w:line="200" w:lineRule="exact"/>
        <w:rPr>
          <w:rFonts w:ascii="Arial" w:cs="Arial" w:eastAsia="Arial" w:hAnsi="Arial"/>
          <w:sz w:val="20"/>
          <w:szCs w:val="20"/>
          <w:color w:val="auto"/>
        </w:rPr>
      </w:pPr>
    </w:p>
    <w:p>
      <w:pPr>
        <w:ind w:left="980" w:right="680"/>
        <w:spacing w:after="0" w:line="261" w:lineRule="auto"/>
        <w:rPr>
          <w:rFonts w:ascii="Arial" w:cs="Arial" w:eastAsia="Arial" w:hAnsi="Arial"/>
          <w:sz w:val="20"/>
          <w:szCs w:val="20"/>
          <w:color w:val="auto"/>
        </w:rPr>
      </w:pPr>
      <w:r>
        <w:rPr>
          <w:rFonts w:ascii="Arial" w:cs="Arial" w:eastAsia="Arial" w:hAnsi="Arial"/>
          <w:sz w:val="20"/>
          <w:szCs w:val="20"/>
          <w:color w:val="auto"/>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spacing w:after="0" w:line="59" w:lineRule="exact"/>
        <w:rPr>
          <w:rFonts w:ascii="Arial" w:cs="Arial" w:eastAsia="Arial" w:hAnsi="Arial"/>
          <w:sz w:val="20"/>
          <w:szCs w:val="20"/>
          <w:color w:val="auto"/>
        </w:rPr>
      </w:pPr>
    </w:p>
    <w:p>
      <w:pPr>
        <w:ind w:left="980" w:hanging="491"/>
        <w:spacing w:after="0"/>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Exhibits</w:t>
      </w:r>
    </w:p>
    <w:p>
      <w:pPr>
        <w:spacing w:after="0" w:line="200" w:lineRule="exact"/>
        <w:rPr>
          <w:sz w:val="20"/>
          <w:szCs w:val="20"/>
          <w:color w:val="auto"/>
        </w:rPr>
      </w:pPr>
    </w:p>
    <w:p>
      <w:pPr>
        <w:ind w:left="980" w:right="200"/>
        <w:spacing w:after="0" w:line="282" w:lineRule="auto"/>
        <w:rPr>
          <w:sz w:val="20"/>
          <w:szCs w:val="20"/>
          <w:color w:val="auto"/>
        </w:rPr>
      </w:pPr>
      <w:r>
        <w:rPr>
          <w:rFonts w:ascii="Arial" w:cs="Arial" w:eastAsia="Arial" w:hAnsi="Arial"/>
          <w:sz w:val="20"/>
          <w:szCs w:val="20"/>
          <w:color w:val="auto"/>
        </w:rPr>
        <w:t>The exhibits listed in the following Exhibit Index are filed herewith as part of this Annual Report on Form 10-K or are incorporated herein by reference, in each case as indicated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18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24"/>
                <w:szCs w:val="24"/>
                <w:color w:val="auto"/>
              </w:rPr>
            </w:pPr>
          </w:p>
        </w:tc>
        <w:tc>
          <w:tcPr>
            <w:tcW w:w="9500" w:type="dxa"/>
            <w:vAlign w:val="bottom"/>
          </w:tcPr>
          <w:p>
            <w:pPr>
              <w:ind w:left="348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149"/>
        </w:trPr>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9500" w:type="dxa"/>
            <w:vAlign w:val="bottom"/>
            <w:tcBorders>
              <w:bottom w:val="single" w:sz="8" w:color="auto"/>
            </w:tcBorders>
          </w:tcPr>
          <w:p>
            <w:pPr>
              <w:ind w:left="43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406"/>
        </w:trPr>
        <w:tc>
          <w:tcPr>
            <w:tcW w:w="1180" w:type="dxa"/>
            <w:vAlign w:val="bottom"/>
          </w:tcPr>
          <w:p>
            <w:pPr>
              <w:spacing w:after="0"/>
              <w:rPr>
                <w:sz w:val="20"/>
                <w:szCs w:val="20"/>
                <w:color w:val="auto"/>
              </w:rPr>
            </w:pPr>
            <w:r>
              <w:rPr>
                <w:rFonts w:ascii="Arial" w:cs="Arial" w:eastAsia="Arial" w:hAnsi="Arial"/>
                <w:sz w:val="20"/>
                <w:szCs w:val="20"/>
                <w:color w:val="auto"/>
              </w:rPr>
              <w:t>3.1</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Amended and Restated Certificate of Incorporation of Flywire Corporation, incorporated by reference to</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Exhibit 3.1 to the Registrant’s Current Report on Form 8-K filed on June 1, 2021.</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3.2</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Amended and Restated Bylaws of Flywire Corporation, incorporated by reference to Exhibit 3.2 to the</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Registrant’s Current Report on Form 8-K filed on June 1, 2021.</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Description of Securities of Flywire Corporation, incorporated by reference to Exhibit 4.1 to the Registrant's</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Annual Report on Form 10-K for the year ended December 31, 2021 filed on March 29, 2022.</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4.2</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Amended and Restated Investors’ Rights Agreement, dated February 23, 2021, by and among the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Registrant and certain security holders of the Registrant, as amended, incorporated by reference to Exhibit</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4.2 to the Registrant's Registration Statement on Form S-1 filed on May 3, 2021.</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10.1</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Form of Indemnification Agreement, incorporated by reference to Exhibit 10.1 to the Registrant's</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Registration Statement on Form S-1/A filed on May 18, 2021.</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10.2#</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Amended and Restated 2009 Equity Incentive Plan and forms of agreements thereafter, incorporated by</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reference to Exhibit 10.2 to the Registrant's Annual Report on Form 10-K for the year ended December 31,</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2021 filed on March 29, 2022.</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10.3#</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2018 Stock Incentive Plan, as amended, and forms of equity agreements thereunder, incorporated by</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reference to Exhibit 10.3 to the Registrant's Registration Statement on Form S-1/A filed on May 18, 2021.</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10.4#</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2021 Equity Incentive Plan, and forms of equity agreements thereunder, incorporated by reference to</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Exhibit 10.4 to the Registrant's Annual Report on Form 10-K for the year ended December 31, 2022 filed</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on March 10, 2023.</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10.5#</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2021 Employee Stock Purchase Plan, and form of subscription agreement, incorporated by reference to</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Exhibit 10.5 to the Registrant's Registration Statement on Form S-1/A filed on May 18, 2021.</w:t>
            </w: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0"/>
                <w:szCs w:val="20"/>
                <w:color w:val="auto"/>
              </w:rPr>
            </w:pPr>
            <w:r>
              <w:rPr>
                <w:rFonts w:ascii="Arial" w:cs="Arial" w:eastAsia="Arial" w:hAnsi="Arial"/>
                <w:sz w:val="20"/>
                <w:szCs w:val="20"/>
                <w:color w:val="auto"/>
              </w:rPr>
              <w:t>10.6</w:t>
            </w:r>
          </w:p>
        </w:tc>
        <w:tc>
          <w:tcPr>
            <w:tcW w:w="12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Loan and Security Agreement, by and between the Registrant and certain of its subsidiaries and Silicon</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00" w:type="dxa"/>
            <w:vAlign w:val="bottom"/>
          </w:tcPr>
          <w:p>
            <w:pPr>
              <w:spacing w:after="0"/>
              <w:rPr>
                <w:sz w:val="20"/>
                <w:szCs w:val="20"/>
                <w:color w:val="auto"/>
              </w:rPr>
            </w:pPr>
            <w:r>
              <w:rPr>
                <w:rFonts w:ascii="Arial" w:cs="Arial" w:eastAsia="Arial" w:hAnsi="Arial"/>
                <w:sz w:val="20"/>
                <w:szCs w:val="20"/>
                <w:color w:val="auto"/>
              </w:rPr>
              <w:t>Valley Bank, dated January 16, 2018, as amended by the Joinder and First Amendment to Loan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754380</wp:posOffset>
                </wp:positionH>
                <wp:positionV relativeFrom="paragraph">
                  <wp:posOffset>-4726305</wp:posOffset>
                </wp:positionV>
                <wp:extent cx="685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pt,-372.1499pt" to="64.8pt,-372.1499pt" o:allowincell="f" strokecolor="#FFFFFF" strokeweight="0.25pt"/>
            </w:pict>
          </mc:Fallback>
        </mc:AlternateContent>
      </w:r>
    </w:p>
    <w:p>
      <w:pPr>
        <w:ind w:left="1300" w:right="140"/>
        <w:spacing w:after="0" w:line="267" w:lineRule="auto"/>
        <w:rPr>
          <w:sz w:val="20"/>
          <w:szCs w:val="20"/>
          <w:color w:val="auto"/>
        </w:rPr>
      </w:pPr>
      <w:r>
        <w:rPr>
          <w:rFonts w:ascii="Arial" w:cs="Arial" w:eastAsia="Arial" w:hAnsi="Arial"/>
          <w:sz w:val="19"/>
          <w:szCs w:val="19"/>
          <w:color w:val="auto"/>
        </w:rPr>
        <w:t>Agreement, dated April 25, 2018; the Joinder and Second Amendment to Loan and Security Agreement, dated May 15, 2020; the Third Amendment to Loan and Security Agreement, dated June 2, 2020; and the Consent and Fourth Amendment to Loan and Security Agreement, dated December 9, 2020, incorporated</w:t>
      </w:r>
    </w:p>
    <w:p>
      <w:pPr>
        <w:sectPr>
          <w:pgSz w:w="12240" w:h="15840" w:orient="portrait"/>
          <w:cols w:equalWidth="0" w:num="1">
            <w:col w:w="10800"/>
          </w:cols>
          <w:pgMar w:left="720" w:top="1156" w:right="720" w:bottom="186"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155</w:t>
      </w:r>
    </w:p>
    <w:p>
      <w:pPr>
        <w:sectPr>
          <w:pgSz w:w="12240" w:h="15840" w:orient="portrait"/>
          <w:cols w:equalWidth="0" w:num="1">
            <w:col w:w="10800"/>
          </w:cols>
          <w:pgMar w:left="720" w:top="1156" w:right="720" w:bottom="186"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by reference to Exhibit 10.6 to the Registrant's Registration Statement on Form S-1/A filed on May 18,</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10.7#</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Michael Massaro,</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10.7 to the Registrant's Registration Statement on Form S-1/A filed on</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10.8#</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Rob Orgel,</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10.8 to the Registrant's Registration Statement on Form S-1/A filed on</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10.9#</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Michael Ellis,</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10.9 to the Registrant's Registration Statement on Form S-1/A filed on</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10.10#</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Peter Butterfield,</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10.10 to the Registrant's Registration Statement on Form S-1/A filed</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on 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10.11#</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David King,</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10.11 to the Registrant's Registration Statement on Form S-1/A filed</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on 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10.12#</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Sharon Butler,</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10.12 to the Registrant's Registration Statement on Form S-1/A filed</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on 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10.13#</w:t>
            </w:r>
          </w:p>
        </w:tc>
        <w:tc>
          <w:tcPr>
            <w:tcW w:w="9800" w:type="dxa"/>
            <w:vAlign w:val="bottom"/>
          </w:tcPr>
          <w:p>
            <w:pPr>
              <w:ind w:left="340"/>
              <w:spacing w:after="0"/>
              <w:rPr>
                <w:sz w:val="20"/>
                <w:szCs w:val="20"/>
                <w:color w:val="auto"/>
              </w:rPr>
            </w:pPr>
            <w:r>
              <w:rPr>
                <w:rFonts w:ascii="Arial" w:cs="Arial" w:eastAsia="Arial" w:hAnsi="Arial"/>
                <w:sz w:val="20"/>
                <w:szCs w:val="20"/>
                <w:color w:val="auto"/>
              </w:rPr>
              <w:t>Employment Agreement, dated as of May 14, 2021, by and between the Registrant and John Talaga,</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10.13 to the Registrant's Registration Statement on Form S-1/A filed</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on May 18,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10.14</w:t>
            </w:r>
          </w:p>
        </w:tc>
        <w:tc>
          <w:tcPr>
            <w:tcW w:w="9800" w:type="dxa"/>
            <w:vAlign w:val="bottom"/>
          </w:tcPr>
          <w:p>
            <w:pPr>
              <w:ind w:left="340"/>
              <w:spacing w:after="0"/>
              <w:rPr>
                <w:sz w:val="20"/>
                <w:szCs w:val="20"/>
                <w:color w:val="auto"/>
              </w:rPr>
            </w:pPr>
            <w:r>
              <w:rPr>
                <w:rFonts w:ascii="Arial" w:cs="Arial" w:eastAsia="Arial" w:hAnsi="Arial"/>
                <w:sz w:val="20"/>
                <w:szCs w:val="20"/>
                <w:color w:val="auto"/>
              </w:rPr>
              <w:t>Office Lease, dated April 8, 2015, as amended by that certain First Amendment to Office Lease dated April</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7, 2016, that certain Second Amendment to Office Lease dated October 23, 2018 and that certain Third</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Amendment to Office Lease dated May 1, 2023, by and between the Registrant and NS 141 Tremont LLC,</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w w:val="99"/>
              </w:rPr>
              <w:t>incorporated by reference to Exhibit 10.14 to the Registrant's Quarterly Report on Form 10-Q for the period</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ended June 30, 2023 filed on August 8, 2023.</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10.15</w:t>
            </w:r>
          </w:p>
        </w:tc>
        <w:tc>
          <w:tcPr>
            <w:tcW w:w="9800" w:type="dxa"/>
            <w:vAlign w:val="bottom"/>
          </w:tcPr>
          <w:p>
            <w:pPr>
              <w:ind w:left="340"/>
              <w:spacing w:after="0"/>
              <w:rPr>
                <w:sz w:val="20"/>
                <w:szCs w:val="20"/>
                <w:color w:val="auto"/>
              </w:rPr>
            </w:pPr>
            <w:r>
              <w:rPr>
                <w:rFonts w:ascii="Arial" w:cs="Arial" w:eastAsia="Arial" w:hAnsi="Arial"/>
                <w:sz w:val="20"/>
                <w:szCs w:val="20"/>
                <w:color w:val="auto"/>
              </w:rPr>
              <w:t>Credit Agreement, dated July 29, 2021, as amended by the First Amendment to Credit Agreement dated</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June 23, 2023, by and among Flywire Corporation, the other Loan Parties party thereto from time to time,</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w w:val="99"/>
              </w:rPr>
              <w:t>the Lenders party thereto from time to time, the Issuing Banks party thereto from time to time, and Citibank,</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incorporated by reference to Exhibit 10.1 to the Registrant’s Quarterly Report on Form 10-Q for the period</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ended June 30, 2023 filed on August 8, 2023.</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10.16</w:t>
            </w:r>
          </w:p>
        </w:tc>
        <w:tc>
          <w:tcPr>
            <w:tcW w:w="9800" w:type="dxa"/>
            <w:vAlign w:val="bottom"/>
          </w:tcPr>
          <w:p>
            <w:pPr>
              <w:ind w:left="340"/>
              <w:spacing w:after="0"/>
              <w:rPr>
                <w:sz w:val="20"/>
                <w:szCs w:val="20"/>
                <w:color w:val="auto"/>
              </w:rPr>
            </w:pPr>
            <w:r>
              <w:rPr>
                <w:rFonts w:ascii="Arial" w:cs="Arial" w:eastAsia="Arial" w:hAnsi="Arial"/>
                <w:sz w:val="20"/>
                <w:szCs w:val="20"/>
                <w:color w:val="auto"/>
              </w:rPr>
              <w:t>Pledge Agreement, dated as of July 29, 2021, by and among Flywire Corporation, the Grantors and the</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Administrative Agent, incorporated by reference to Exhibit 10.2 to the Registrant’s Current Report on Form</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8-K filed on August 4, 2021.</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10.17#</w:t>
            </w:r>
          </w:p>
        </w:tc>
        <w:tc>
          <w:tcPr>
            <w:tcW w:w="9800" w:type="dxa"/>
            <w:vAlign w:val="bottom"/>
          </w:tcPr>
          <w:p>
            <w:pPr>
              <w:ind w:left="340"/>
              <w:spacing w:after="0"/>
              <w:rPr>
                <w:sz w:val="20"/>
                <w:szCs w:val="20"/>
                <w:color w:val="auto"/>
              </w:rPr>
            </w:pPr>
            <w:r>
              <w:rPr>
                <w:rFonts w:ascii="Arial" w:cs="Arial" w:eastAsia="Arial" w:hAnsi="Arial"/>
                <w:sz w:val="20"/>
                <w:szCs w:val="20"/>
                <w:color w:val="auto"/>
              </w:rPr>
              <w:t>Management Cash Incentive Plan, incorporated by reference to Exhibit 10.17 to the Registrant's Annual</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Report on Form 10-K for the year ended December 31, 2022 filed on March 10, 2023.</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10.18#</w:t>
            </w:r>
          </w:p>
        </w:tc>
        <w:tc>
          <w:tcPr>
            <w:tcW w:w="9800" w:type="dxa"/>
            <w:vAlign w:val="bottom"/>
          </w:tcPr>
          <w:p>
            <w:pPr>
              <w:ind w:left="340"/>
              <w:spacing w:after="0"/>
              <w:rPr>
                <w:sz w:val="20"/>
                <w:szCs w:val="20"/>
                <w:color w:val="auto"/>
              </w:rPr>
            </w:pPr>
            <w:r>
              <w:rPr>
                <w:rFonts w:ascii="Arial" w:cs="Arial" w:eastAsia="Arial" w:hAnsi="Arial"/>
                <w:sz w:val="20"/>
                <w:szCs w:val="20"/>
                <w:color w:val="auto"/>
              </w:rPr>
              <w:t>Transition Agreement by and between Flywire Corporation and Michael Ellis, dated as of November 6,</w:t>
            </w:r>
          </w:p>
        </w:tc>
      </w:tr>
      <w:tr>
        <w:trPr>
          <w:trHeight w:val="230"/>
        </w:trPr>
        <w:tc>
          <w:tcPr>
            <w:tcW w:w="96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2023, incorporated by reference to Exhibit 10.1 to the Registrant’s Quarterly Report on Form 10-Q for the</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period ended September 30, 2023 filed on November 7, 2023.</w:t>
            </w:r>
          </w:p>
        </w:tc>
      </w:tr>
      <w:tr>
        <w:trPr>
          <w:trHeight w:val="404"/>
        </w:trPr>
        <w:tc>
          <w:tcPr>
            <w:tcW w:w="960" w:type="dxa"/>
            <w:vAlign w:val="bottom"/>
          </w:tcPr>
          <w:p>
            <w:pPr>
              <w:spacing w:after="0"/>
              <w:rPr>
                <w:sz w:val="20"/>
                <w:szCs w:val="20"/>
                <w:color w:val="auto"/>
              </w:rPr>
            </w:pPr>
            <w:r>
              <w:rPr>
                <w:rFonts w:ascii="Arial" w:cs="Arial" w:eastAsia="Arial" w:hAnsi="Arial"/>
                <w:sz w:val="20"/>
                <w:szCs w:val="20"/>
                <w:color w:val="auto"/>
              </w:rPr>
              <w:t>10.19*</w:t>
            </w:r>
          </w:p>
        </w:tc>
        <w:tc>
          <w:tcPr>
            <w:tcW w:w="9800" w:type="dxa"/>
            <w:vAlign w:val="bottom"/>
          </w:tcPr>
          <w:p>
            <w:pPr>
              <w:ind w:left="340"/>
              <w:spacing w:after="0"/>
              <w:rPr>
                <w:sz w:val="20"/>
                <w:szCs w:val="20"/>
                <w:color w:val="auto"/>
              </w:rPr>
            </w:pPr>
            <w:r>
              <w:rPr>
                <w:rFonts w:ascii="Arial" w:cs="Arial" w:eastAsia="Arial" w:hAnsi="Arial"/>
                <w:sz w:val="20"/>
                <w:szCs w:val="20"/>
                <w:color w:val="auto"/>
              </w:rPr>
              <w:t>Amendment No. 1 to the Transition Agreement dated November 6, 2023 by and between Flywire</w:t>
            </w:r>
          </w:p>
        </w:tc>
      </w:tr>
      <w:tr>
        <w:trPr>
          <w:trHeight w:val="271"/>
        </w:trPr>
        <w:tc>
          <w:tcPr>
            <w:tcW w:w="960" w:type="dxa"/>
            <w:vAlign w:val="bottom"/>
          </w:tcPr>
          <w:p>
            <w:pPr>
              <w:spacing w:after="0"/>
              <w:rPr>
                <w:sz w:val="23"/>
                <w:szCs w:val="23"/>
                <w:color w:val="auto"/>
              </w:rPr>
            </w:pPr>
          </w:p>
        </w:tc>
        <w:tc>
          <w:tcPr>
            <w:tcW w:w="9800" w:type="dxa"/>
            <w:vAlign w:val="bottom"/>
          </w:tcPr>
          <w:p>
            <w:pPr>
              <w:ind w:left="340"/>
              <w:spacing w:after="0"/>
              <w:rPr>
                <w:sz w:val="20"/>
                <w:szCs w:val="20"/>
                <w:color w:val="auto"/>
              </w:rPr>
            </w:pPr>
            <w:r>
              <w:rPr>
                <w:rFonts w:ascii="Arial" w:cs="Arial" w:eastAsia="Arial" w:hAnsi="Arial"/>
                <w:sz w:val="20"/>
                <w:szCs w:val="20"/>
                <w:color w:val="auto"/>
              </w:rPr>
              <w:t>Corporation and Michael Ellis, dated as of February 23, 2024.</w:t>
            </w:r>
          </w:p>
        </w:tc>
      </w:tr>
      <w:tr>
        <w:trPr>
          <w:trHeight w:val="445"/>
        </w:trPr>
        <w:tc>
          <w:tcPr>
            <w:tcW w:w="960" w:type="dxa"/>
            <w:vAlign w:val="bottom"/>
          </w:tcPr>
          <w:p>
            <w:pPr>
              <w:spacing w:after="0"/>
              <w:rPr>
                <w:sz w:val="20"/>
                <w:szCs w:val="20"/>
                <w:color w:val="auto"/>
              </w:rPr>
            </w:pPr>
            <w:r>
              <w:rPr>
                <w:rFonts w:ascii="Arial" w:cs="Arial" w:eastAsia="Arial" w:hAnsi="Arial"/>
                <w:sz w:val="20"/>
                <w:szCs w:val="20"/>
                <w:color w:val="auto"/>
              </w:rPr>
              <w:t>21.1*</w:t>
            </w:r>
          </w:p>
        </w:tc>
        <w:tc>
          <w:tcPr>
            <w:tcW w:w="9800" w:type="dxa"/>
            <w:vAlign w:val="bottom"/>
          </w:tcPr>
          <w:p>
            <w:pPr>
              <w:ind w:left="340"/>
              <w:spacing w:after="0"/>
              <w:rPr>
                <w:sz w:val="20"/>
                <w:szCs w:val="20"/>
                <w:color w:val="auto"/>
              </w:rPr>
            </w:pPr>
            <w:r>
              <w:rPr>
                <w:rFonts w:ascii="Arial" w:cs="Arial" w:eastAsia="Arial" w:hAnsi="Arial"/>
                <w:sz w:val="20"/>
                <w:szCs w:val="20"/>
                <w:color w:val="auto"/>
              </w:rPr>
              <w:t>List of Subsidiaries of the Registrant.</w:t>
            </w:r>
          </w:p>
        </w:tc>
      </w:tr>
      <w:tr>
        <w:trPr>
          <w:trHeight w:val="445"/>
        </w:trPr>
        <w:tc>
          <w:tcPr>
            <w:tcW w:w="960" w:type="dxa"/>
            <w:vAlign w:val="bottom"/>
          </w:tcPr>
          <w:p>
            <w:pPr>
              <w:spacing w:after="0"/>
              <w:rPr>
                <w:sz w:val="20"/>
                <w:szCs w:val="20"/>
                <w:color w:val="auto"/>
              </w:rPr>
            </w:pPr>
            <w:r>
              <w:rPr>
                <w:rFonts w:ascii="Arial" w:cs="Arial" w:eastAsia="Arial" w:hAnsi="Arial"/>
                <w:sz w:val="20"/>
                <w:szCs w:val="20"/>
                <w:color w:val="auto"/>
              </w:rPr>
              <w:t>23.1*</w:t>
            </w:r>
          </w:p>
        </w:tc>
        <w:tc>
          <w:tcPr>
            <w:tcW w:w="9800" w:type="dxa"/>
            <w:vAlign w:val="bottom"/>
          </w:tcPr>
          <w:p>
            <w:pPr>
              <w:ind w:left="340"/>
              <w:spacing w:after="0"/>
              <w:rPr>
                <w:sz w:val="20"/>
                <w:szCs w:val="20"/>
                <w:color w:val="auto"/>
              </w:rPr>
            </w:pPr>
            <w:r>
              <w:rPr>
                <w:rFonts w:ascii="Arial" w:cs="Arial" w:eastAsia="Arial" w:hAnsi="Arial"/>
                <w:sz w:val="20"/>
                <w:szCs w:val="20"/>
                <w:color w:val="auto"/>
              </w:rPr>
              <w:t>Consent of PricewaterhouseCoopers LLP, independent registered public accounting firm.</w:t>
            </w:r>
          </w:p>
        </w:tc>
      </w:tr>
    </w:tbl>
    <w:p>
      <w:pPr>
        <w:spacing w:after="0" w:line="80" w:lineRule="exact"/>
        <w:rPr>
          <w:sz w:val="20"/>
          <w:szCs w:val="20"/>
          <w:color w:val="auto"/>
        </w:rPr>
      </w:pPr>
    </w:p>
    <w:p>
      <w:pPr>
        <w:sectPr>
          <w:pgSz w:w="12240" w:h="15840" w:orient="portrait"/>
          <w:cols w:equalWidth="0" w:num="1">
            <w:col w:w="10760"/>
          </w:cols>
          <w:pgMar w:left="720" w:top="1175" w:right="760" w:bottom="186" w:gutter="0" w:footer="0" w:header="0"/>
        </w:sectPr>
      </w:pPr>
    </w:p>
    <w:p>
      <w:pPr>
        <w:jc w:val="center"/>
        <w:ind w:right="-39"/>
        <w:spacing w:after="0"/>
        <w:rPr>
          <w:sz w:val="20"/>
          <w:szCs w:val="20"/>
          <w:color w:val="auto"/>
        </w:rPr>
      </w:pPr>
      <w:r>
        <w:rPr>
          <w:rFonts w:ascii="Arial" w:cs="Arial" w:eastAsia="Arial" w:hAnsi="Arial"/>
          <w:sz w:val="19"/>
          <w:szCs w:val="19"/>
          <w:color w:val="auto"/>
        </w:rPr>
        <w:t>156</w:t>
      </w:r>
    </w:p>
    <w:p>
      <w:pPr>
        <w:sectPr>
          <w:pgSz w:w="12240" w:h="15840" w:orient="portrait"/>
          <w:cols w:equalWidth="0" w:num="1">
            <w:col w:w="10760"/>
          </w:cols>
          <w:pgMar w:left="720" w:top="1175" w:right="760" w:bottom="186"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20"/>
                <w:szCs w:val="20"/>
                <w:color w:val="auto"/>
              </w:rPr>
              <w:t>31.1*</w:t>
            </w:r>
          </w:p>
        </w:tc>
        <w:tc>
          <w:tcPr>
            <w:tcW w:w="9620" w:type="dxa"/>
            <w:vAlign w:val="bottom"/>
          </w:tcPr>
          <w:p>
            <w:pPr>
              <w:ind w:left="240"/>
              <w:spacing w:after="0"/>
              <w:rPr>
                <w:sz w:val="20"/>
                <w:szCs w:val="20"/>
                <w:color w:val="auto"/>
              </w:rPr>
            </w:pPr>
            <w:r>
              <w:rPr>
                <w:rFonts w:ascii="Arial" w:cs="Arial" w:eastAsia="Arial" w:hAnsi="Arial"/>
                <w:sz w:val="20"/>
                <w:szCs w:val="20"/>
                <w:color w:val="auto"/>
                <w:w w:val="99"/>
              </w:rPr>
              <w:t>Certification of Principal Executive Officer Pursuant to Rules 13a-14(a) and 15d-14(a) under the Securities</w:t>
            </w:r>
          </w:p>
        </w:tc>
      </w:tr>
      <w:tr>
        <w:trPr>
          <w:trHeight w:val="271"/>
        </w:trPr>
        <w:tc>
          <w:tcPr>
            <w:tcW w:w="1060" w:type="dxa"/>
            <w:vAlign w:val="bottom"/>
          </w:tcPr>
          <w:p>
            <w:pPr>
              <w:spacing w:after="0"/>
              <w:rPr>
                <w:sz w:val="23"/>
                <w:szCs w:val="23"/>
                <w:color w:val="auto"/>
              </w:rPr>
            </w:pPr>
          </w:p>
        </w:tc>
        <w:tc>
          <w:tcPr>
            <w:tcW w:w="9620" w:type="dxa"/>
            <w:vAlign w:val="bottom"/>
          </w:tcPr>
          <w:p>
            <w:pPr>
              <w:ind w:left="240"/>
              <w:spacing w:after="0"/>
              <w:rPr>
                <w:sz w:val="20"/>
                <w:szCs w:val="20"/>
                <w:color w:val="auto"/>
              </w:rPr>
            </w:pPr>
            <w:r>
              <w:rPr>
                <w:rFonts w:ascii="Arial" w:cs="Arial" w:eastAsia="Arial" w:hAnsi="Arial"/>
                <w:sz w:val="20"/>
                <w:szCs w:val="20"/>
                <w:color w:val="auto"/>
              </w:rPr>
              <w:t>Exchange Act of 1934, as Adopted Pursuant to Section 302 of the Sarbanes-Oxley Act of 2002.</w:t>
            </w:r>
          </w:p>
        </w:tc>
      </w:tr>
      <w:tr>
        <w:trPr>
          <w:trHeight w:val="404"/>
        </w:trPr>
        <w:tc>
          <w:tcPr>
            <w:tcW w:w="1060" w:type="dxa"/>
            <w:vAlign w:val="bottom"/>
          </w:tcPr>
          <w:p>
            <w:pPr>
              <w:spacing w:after="0"/>
              <w:rPr>
                <w:sz w:val="20"/>
                <w:szCs w:val="20"/>
                <w:color w:val="auto"/>
              </w:rPr>
            </w:pPr>
            <w:r>
              <w:rPr>
                <w:rFonts w:ascii="Arial" w:cs="Arial" w:eastAsia="Arial" w:hAnsi="Arial"/>
                <w:sz w:val="20"/>
                <w:szCs w:val="20"/>
                <w:color w:val="auto"/>
              </w:rPr>
              <w:t>31.2*</w:t>
            </w:r>
          </w:p>
        </w:tc>
        <w:tc>
          <w:tcPr>
            <w:tcW w:w="9620" w:type="dxa"/>
            <w:vAlign w:val="bottom"/>
          </w:tcPr>
          <w:p>
            <w:pPr>
              <w:ind w:left="240"/>
              <w:spacing w:after="0"/>
              <w:rPr>
                <w:sz w:val="20"/>
                <w:szCs w:val="20"/>
                <w:color w:val="auto"/>
              </w:rPr>
            </w:pPr>
            <w:r>
              <w:rPr>
                <w:rFonts w:ascii="Arial" w:cs="Arial" w:eastAsia="Arial" w:hAnsi="Arial"/>
                <w:sz w:val="20"/>
                <w:szCs w:val="20"/>
                <w:color w:val="auto"/>
              </w:rPr>
              <w:t>Certification of Principal Financial Officer Pursuant to Rules 13a-14(a) and 15d-14(a) under the Securities</w:t>
            </w:r>
          </w:p>
        </w:tc>
      </w:tr>
      <w:tr>
        <w:trPr>
          <w:trHeight w:val="271"/>
        </w:trPr>
        <w:tc>
          <w:tcPr>
            <w:tcW w:w="1060" w:type="dxa"/>
            <w:vAlign w:val="bottom"/>
          </w:tcPr>
          <w:p>
            <w:pPr>
              <w:spacing w:after="0"/>
              <w:rPr>
                <w:sz w:val="23"/>
                <w:szCs w:val="23"/>
                <w:color w:val="auto"/>
              </w:rPr>
            </w:pPr>
          </w:p>
        </w:tc>
        <w:tc>
          <w:tcPr>
            <w:tcW w:w="9620" w:type="dxa"/>
            <w:vAlign w:val="bottom"/>
          </w:tcPr>
          <w:p>
            <w:pPr>
              <w:ind w:left="240"/>
              <w:spacing w:after="0"/>
              <w:rPr>
                <w:sz w:val="20"/>
                <w:szCs w:val="20"/>
                <w:color w:val="auto"/>
              </w:rPr>
            </w:pPr>
            <w:r>
              <w:rPr>
                <w:rFonts w:ascii="Arial" w:cs="Arial" w:eastAsia="Arial" w:hAnsi="Arial"/>
                <w:sz w:val="20"/>
                <w:szCs w:val="20"/>
                <w:color w:val="auto"/>
              </w:rPr>
              <w:t>Exchange Act of 1934, as Adopted Pursuant to Section 302 of the Sarbanes-Oxley Act of 2002.</w:t>
            </w:r>
          </w:p>
        </w:tc>
      </w:tr>
      <w:tr>
        <w:trPr>
          <w:trHeight w:val="404"/>
        </w:trPr>
        <w:tc>
          <w:tcPr>
            <w:tcW w:w="1060" w:type="dxa"/>
            <w:vAlign w:val="bottom"/>
          </w:tcPr>
          <w:p>
            <w:pPr>
              <w:spacing w:after="0"/>
              <w:rPr>
                <w:sz w:val="20"/>
                <w:szCs w:val="20"/>
                <w:color w:val="auto"/>
              </w:rPr>
            </w:pPr>
            <w:r>
              <w:rPr>
                <w:rFonts w:ascii="Arial" w:cs="Arial" w:eastAsia="Arial" w:hAnsi="Arial"/>
                <w:sz w:val="20"/>
                <w:szCs w:val="20"/>
                <w:color w:val="auto"/>
              </w:rPr>
              <w:t>32.1*</w:t>
            </w:r>
          </w:p>
        </w:tc>
        <w:tc>
          <w:tcPr>
            <w:tcW w:w="9620" w:type="dxa"/>
            <w:vAlign w:val="bottom"/>
          </w:tcPr>
          <w:p>
            <w:pPr>
              <w:ind w:left="240"/>
              <w:spacing w:after="0"/>
              <w:rPr>
                <w:sz w:val="20"/>
                <w:szCs w:val="20"/>
                <w:color w:val="auto"/>
              </w:rPr>
            </w:pPr>
            <w:r>
              <w:rPr>
                <w:rFonts w:ascii="Arial" w:cs="Arial" w:eastAsia="Arial" w:hAnsi="Arial"/>
                <w:sz w:val="20"/>
                <w:szCs w:val="20"/>
                <w:color w:val="auto"/>
              </w:rPr>
              <w:t>Certification of Principal Executive Officer Pursuant to 18 U.S.C. Section 1350, as Adopted Pursuant to</w:t>
            </w:r>
          </w:p>
        </w:tc>
      </w:tr>
      <w:tr>
        <w:trPr>
          <w:trHeight w:val="271"/>
        </w:trPr>
        <w:tc>
          <w:tcPr>
            <w:tcW w:w="1060" w:type="dxa"/>
            <w:vAlign w:val="bottom"/>
          </w:tcPr>
          <w:p>
            <w:pPr>
              <w:spacing w:after="0"/>
              <w:rPr>
                <w:sz w:val="23"/>
                <w:szCs w:val="23"/>
                <w:color w:val="auto"/>
              </w:rPr>
            </w:pPr>
          </w:p>
        </w:tc>
        <w:tc>
          <w:tcPr>
            <w:tcW w:w="9620" w:type="dxa"/>
            <w:vAlign w:val="bottom"/>
          </w:tcPr>
          <w:p>
            <w:pPr>
              <w:ind w:left="240"/>
              <w:spacing w:after="0"/>
              <w:rPr>
                <w:sz w:val="20"/>
                <w:szCs w:val="20"/>
                <w:color w:val="auto"/>
              </w:rPr>
            </w:pPr>
            <w:r>
              <w:rPr>
                <w:rFonts w:ascii="Arial" w:cs="Arial" w:eastAsia="Arial" w:hAnsi="Arial"/>
                <w:sz w:val="20"/>
                <w:szCs w:val="20"/>
                <w:color w:val="auto"/>
              </w:rPr>
              <w:t>Section 906 of the Sarbanes-Oxley Act of 2002.</w:t>
            </w:r>
          </w:p>
        </w:tc>
      </w:tr>
      <w:tr>
        <w:trPr>
          <w:trHeight w:val="404"/>
        </w:trPr>
        <w:tc>
          <w:tcPr>
            <w:tcW w:w="1060" w:type="dxa"/>
            <w:vAlign w:val="bottom"/>
          </w:tcPr>
          <w:p>
            <w:pPr>
              <w:spacing w:after="0"/>
              <w:rPr>
                <w:sz w:val="20"/>
                <w:szCs w:val="20"/>
                <w:color w:val="auto"/>
              </w:rPr>
            </w:pPr>
            <w:r>
              <w:rPr>
                <w:rFonts w:ascii="Arial" w:cs="Arial" w:eastAsia="Arial" w:hAnsi="Arial"/>
                <w:sz w:val="20"/>
                <w:szCs w:val="20"/>
                <w:color w:val="auto"/>
              </w:rPr>
              <w:t>32.2*</w:t>
            </w:r>
          </w:p>
        </w:tc>
        <w:tc>
          <w:tcPr>
            <w:tcW w:w="9620" w:type="dxa"/>
            <w:vAlign w:val="bottom"/>
          </w:tcPr>
          <w:p>
            <w:pPr>
              <w:ind w:left="240"/>
              <w:spacing w:after="0"/>
              <w:rPr>
                <w:sz w:val="20"/>
                <w:szCs w:val="20"/>
                <w:color w:val="auto"/>
              </w:rPr>
            </w:pPr>
            <w:r>
              <w:rPr>
                <w:rFonts w:ascii="Arial" w:cs="Arial" w:eastAsia="Arial" w:hAnsi="Arial"/>
                <w:sz w:val="20"/>
                <w:szCs w:val="20"/>
                <w:color w:val="auto"/>
              </w:rPr>
              <w:t>Certification of Principal Financial Officer Pursuant to 18 U.S.C. Section 1350, as Adopted Pursuant to</w:t>
            </w:r>
          </w:p>
        </w:tc>
      </w:tr>
      <w:tr>
        <w:trPr>
          <w:trHeight w:val="271"/>
        </w:trPr>
        <w:tc>
          <w:tcPr>
            <w:tcW w:w="1060" w:type="dxa"/>
            <w:vAlign w:val="bottom"/>
          </w:tcPr>
          <w:p>
            <w:pPr>
              <w:spacing w:after="0"/>
              <w:rPr>
                <w:sz w:val="23"/>
                <w:szCs w:val="23"/>
                <w:color w:val="auto"/>
              </w:rPr>
            </w:pPr>
          </w:p>
        </w:tc>
        <w:tc>
          <w:tcPr>
            <w:tcW w:w="9620" w:type="dxa"/>
            <w:vAlign w:val="bottom"/>
          </w:tcPr>
          <w:p>
            <w:pPr>
              <w:ind w:left="240"/>
              <w:spacing w:after="0"/>
              <w:rPr>
                <w:sz w:val="20"/>
                <w:szCs w:val="20"/>
                <w:color w:val="auto"/>
              </w:rPr>
            </w:pPr>
            <w:r>
              <w:rPr>
                <w:rFonts w:ascii="Arial" w:cs="Arial" w:eastAsia="Arial" w:hAnsi="Arial"/>
                <w:sz w:val="20"/>
                <w:szCs w:val="20"/>
                <w:color w:val="auto"/>
              </w:rPr>
              <w:t>Section 906 of the Sarbanes-Oxley Act of 2002.</w:t>
            </w:r>
          </w:p>
        </w:tc>
      </w:tr>
      <w:tr>
        <w:trPr>
          <w:trHeight w:val="445"/>
        </w:trPr>
        <w:tc>
          <w:tcPr>
            <w:tcW w:w="1060" w:type="dxa"/>
            <w:vAlign w:val="bottom"/>
          </w:tcPr>
          <w:p>
            <w:pPr>
              <w:spacing w:after="0"/>
              <w:rPr>
                <w:sz w:val="20"/>
                <w:szCs w:val="20"/>
                <w:color w:val="auto"/>
              </w:rPr>
            </w:pPr>
            <w:r>
              <w:rPr>
                <w:rFonts w:ascii="Arial" w:cs="Arial" w:eastAsia="Arial" w:hAnsi="Arial"/>
                <w:sz w:val="20"/>
                <w:szCs w:val="20"/>
                <w:color w:val="auto"/>
              </w:rPr>
              <w:t>97.1*</w:t>
            </w:r>
          </w:p>
        </w:tc>
        <w:tc>
          <w:tcPr>
            <w:tcW w:w="9620" w:type="dxa"/>
            <w:vAlign w:val="bottom"/>
          </w:tcPr>
          <w:p>
            <w:pPr>
              <w:ind w:left="240"/>
              <w:spacing w:after="0"/>
              <w:rPr>
                <w:sz w:val="20"/>
                <w:szCs w:val="20"/>
                <w:color w:val="auto"/>
              </w:rPr>
            </w:pPr>
            <w:r>
              <w:rPr>
                <w:rFonts w:ascii="Arial" w:cs="Arial" w:eastAsia="Arial" w:hAnsi="Arial"/>
                <w:sz w:val="20"/>
                <w:szCs w:val="20"/>
                <w:color w:val="auto"/>
              </w:rPr>
              <w:t>Flywire Corporation Policy for the Recovery of Erroneously Awarded Compensation.</w:t>
            </w:r>
          </w:p>
        </w:tc>
      </w:tr>
      <w:tr>
        <w:trPr>
          <w:trHeight w:val="404"/>
        </w:trPr>
        <w:tc>
          <w:tcPr>
            <w:tcW w:w="1060" w:type="dxa"/>
            <w:vAlign w:val="bottom"/>
          </w:tcPr>
          <w:p>
            <w:pPr>
              <w:spacing w:after="0"/>
              <w:rPr>
                <w:sz w:val="20"/>
                <w:szCs w:val="20"/>
                <w:color w:val="auto"/>
              </w:rPr>
            </w:pPr>
            <w:r>
              <w:rPr>
                <w:rFonts w:ascii="Arial" w:cs="Arial" w:eastAsia="Arial" w:hAnsi="Arial"/>
                <w:sz w:val="20"/>
                <w:szCs w:val="20"/>
                <w:color w:val="auto"/>
              </w:rPr>
              <w:t>101.INS</w:t>
            </w:r>
          </w:p>
        </w:tc>
        <w:tc>
          <w:tcPr>
            <w:tcW w:w="9620" w:type="dxa"/>
            <w:vAlign w:val="bottom"/>
          </w:tcPr>
          <w:p>
            <w:pPr>
              <w:ind w:left="240"/>
              <w:spacing w:after="0"/>
              <w:rPr>
                <w:sz w:val="20"/>
                <w:szCs w:val="20"/>
                <w:color w:val="auto"/>
              </w:rPr>
            </w:pPr>
            <w:r>
              <w:rPr>
                <w:rFonts w:ascii="Arial" w:cs="Arial" w:eastAsia="Arial" w:hAnsi="Arial"/>
                <w:sz w:val="20"/>
                <w:szCs w:val="20"/>
                <w:color w:val="auto"/>
              </w:rPr>
              <w:t>Inline XBRL Instance Document – the instance document does not appear in the Interactive Data File</w:t>
            </w:r>
          </w:p>
        </w:tc>
      </w:tr>
      <w:tr>
        <w:trPr>
          <w:trHeight w:val="271"/>
        </w:trPr>
        <w:tc>
          <w:tcPr>
            <w:tcW w:w="1060" w:type="dxa"/>
            <w:vAlign w:val="bottom"/>
          </w:tcPr>
          <w:p>
            <w:pPr>
              <w:spacing w:after="0"/>
              <w:rPr>
                <w:sz w:val="23"/>
                <w:szCs w:val="23"/>
                <w:color w:val="auto"/>
              </w:rPr>
            </w:pPr>
          </w:p>
        </w:tc>
        <w:tc>
          <w:tcPr>
            <w:tcW w:w="9620" w:type="dxa"/>
            <w:vAlign w:val="bottom"/>
          </w:tcPr>
          <w:p>
            <w:pPr>
              <w:ind w:left="240"/>
              <w:spacing w:after="0"/>
              <w:rPr>
                <w:sz w:val="20"/>
                <w:szCs w:val="20"/>
                <w:color w:val="auto"/>
              </w:rPr>
            </w:pPr>
            <w:r>
              <w:rPr>
                <w:rFonts w:ascii="Arial" w:cs="Arial" w:eastAsia="Arial" w:hAnsi="Arial"/>
                <w:sz w:val="20"/>
                <w:szCs w:val="20"/>
                <w:color w:val="auto"/>
              </w:rPr>
              <w:t>because XBRL tags are embedded within the Inline XBRL document.</w:t>
            </w:r>
          </w:p>
        </w:tc>
      </w:tr>
      <w:tr>
        <w:trPr>
          <w:trHeight w:val="445"/>
        </w:trPr>
        <w:tc>
          <w:tcPr>
            <w:tcW w:w="1060" w:type="dxa"/>
            <w:vAlign w:val="bottom"/>
          </w:tcPr>
          <w:p>
            <w:pPr>
              <w:spacing w:after="0"/>
              <w:rPr>
                <w:sz w:val="20"/>
                <w:szCs w:val="20"/>
                <w:color w:val="auto"/>
              </w:rPr>
            </w:pPr>
            <w:r>
              <w:rPr>
                <w:rFonts w:ascii="Arial" w:cs="Arial" w:eastAsia="Arial" w:hAnsi="Arial"/>
                <w:sz w:val="20"/>
                <w:szCs w:val="20"/>
                <w:color w:val="auto"/>
              </w:rPr>
              <w:t>101.SCH</w:t>
            </w:r>
          </w:p>
        </w:tc>
        <w:tc>
          <w:tcPr>
            <w:tcW w:w="9620" w:type="dxa"/>
            <w:vAlign w:val="bottom"/>
          </w:tcPr>
          <w:p>
            <w:pPr>
              <w:ind w:left="240"/>
              <w:spacing w:after="0"/>
              <w:rPr>
                <w:sz w:val="20"/>
                <w:szCs w:val="20"/>
                <w:color w:val="auto"/>
              </w:rPr>
            </w:pPr>
            <w:r>
              <w:rPr>
                <w:rFonts w:ascii="Arial" w:cs="Arial" w:eastAsia="Arial" w:hAnsi="Arial"/>
                <w:sz w:val="20"/>
                <w:szCs w:val="20"/>
                <w:color w:val="auto"/>
              </w:rPr>
              <w:t>Inline XBRL Taxonomy Extension Schema with embedded linkbase documents.</w:t>
            </w:r>
          </w:p>
        </w:tc>
      </w:tr>
      <w:tr>
        <w:trPr>
          <w:trHeight w:val="445"/>
        </w:trPr>
        <w:tc>
          <w:tcPr>
            <w:tcW w:w="1060" w:type="dxa"/>
            <w:vAlign w:val="bottom"/>
          </w:tcPr>
          <w:p>
            <w:pPr>
              <w:spacing w:after="0"/>
              <w:rPr>
                <w:sz w:val="20"/>
                <w:szCs w:val="20"/>
                <w:color w:val="auto"/>
              </w:rPr>
            </w:pPr>
            <w:r>
              <w:rPr>
                <w:rFonts w:ascii="Arial" w:cs="Arial" w:eastAsia="Arial" w:hAnsi="Arial"/>
                <w:sz w:val="20"/>
                <w:szCs w:val="20"/>
                <w:color w:val="auto"/>
              </w:rPr>
              <w:t>104</w:t>
            </w:r>
          </w:p>
        </w:tc>
        <w:tc>
          <w:tcPr>
            <w:tcW w:w="9620" w:type="dxa"/>
            <w:vAlign w:val="bottom"/>
          </w:tcPr>
          <w:p>
            <w:pPr>
              <w:ind w:left="240"/>
              <w:spacing w:after="0"/>
              <w:rPr>
                <w:sz w:val="20"/>
                <w:szCs w:val="20"/>
                <w:color w:val="auto"/>
              </w:rPr>
            </w:pPr>
            <w:r>
              <w:rPr>
                <w:rFonts w:ascii="Arial" w:cs="Arial" w:eastAsia="Arial" w:hAnsi="Arial"/>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89535</wp:posOffset>
                </wp:positionV>
                <wp:extent cx="14084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05pt" to="109.45pt,7.05pt" o:allowincell="f" strokecolor="#000000" strokeweight="0.5pt"/>
            </w:pict>
          </mc:Fallback>
        </mc:AlternateConten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Filed herewith.</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 Indicates a management contract or compensatory plan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10680"/>
          </w:cols>
          <w:pgMar w:left="720" w:top="1375" w:right="8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157</w:t>
      </w:r>
    </w:p>
    <w:p>
      <w:pPr>
        <w:sectPr>
          <w:pgSz w:w="12240" w:h="15840" w:orient="portrait"/>
          <w:cols w:equalWidth="0" w:num="1">
            <w:col w:w="10680"/>
          </w:cols>
          <w:pgMar w:left="720" w:top="1375" w:right="840" w:bottom="186"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SIGNATURES</w:t>
      </w:r>
    </w:p>
    <w:p>
      <w:pPr>
        <w:spacing w:after="0" w:line="204"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FLYWIRE CORPORATION</w:t>
      </w:r>
    </w:p>
    <w:p>
      <w:pPr>
        <w:spacing w:after="0" w:line="249" w:lineRule="exact"/>
        <w:rPr>
          <w:sz w:val="20"/>
          <w:szCs w:val="20"/>
          <w:color w:val="auto"/>
        </w:rPr>
      </w:pPr>
    </w:p>
    <w:p>
      <w:pPr>
        <w:ind w:left="140"/>
        <w:spacing w:after="0"/>
        <w:tabs>
          <w:tab w:leader="none" w:pos="4680" w:val="left"/>
          <w:tab w:leader="none" w:pos="7040" w:val="left"/>
        </w:tabs>
        <w:rPr>
          <w:sz w:val="20"/>
          <w:szCs w:val="20"/>
          <w:color w:val="auto"/>
        </w:rPr>
      </w:pPr>
      <w:r>
        <w:rPr>
          <w:rFonts w:ascii="Arial" w:cs="Arial" w:eastAsia="Arial" w:hAnsi="Arial"/>
          <w:sz w:val="20"/>
          <w:szCs w:val="20"/>
          <w:color w:val="auto"/>
        </w:rPr>
        <w:t>Date: February 28, 2024</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12065</wp:posOffset>
            </wp:positionV>
            <wp:extent cx="353377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
                      <a:extLst>
                        <a:ext uri="{28A0092B-C50C-407E-A947-70E740481C1C}"/>
                      </a:extLst>
                    </a:blip>
                    <a:srcRect/>
                    <a:stretch>
                      <a:fillRect/>
                    </a:stretch>
                  </pic:blipFill>
                  <pic:spPr bwMode="auto">
                    <a:xfrm>
                      <a:off x="0" y="0"/>
                      <a:ext cx="3533775" cy="12700"/>
                    </a:xfrm>
                    <a:prstGeom prst="rect">
                      <a:avLst/>
                    </a:prstGeom>
                    <a:noFill/>
                  </pic:spPr>
                </pic:pic>
              </a:graphicData>
            </a:graphic>
          </wp:anchor>
        </w:drawing>
      </w:r>
    </w:p>
    <w:p>
      <w:pPr>
        <w:spacing w:after="0" w:line="26" w:lineRule="exact"/>
        <w:rPr>
          <w:sz w:val="20"/>
          <w:szCs w:val="20"/>
          <w:color w:val="auto"/>
        </w:rPr>
      </w:pPr>
    </w:p>
    <w:p>
      <w:pPr>
        <w:jc w:val="center"/>
        <w:ind w:left="5100"/>
        <w:spacing w:after="0"/>
        <w:rPr>
          <w:sz w:val="20"/>
          <w:szCs w:val="20"/>
          <w:color w:val="auto"/>
        </w:rPr>
      </w:pPr>
      <w:r>
        <w:rPr>
          <w:rFonts w:ascii="Arial" w:cs="Arial" w:eastAsia="Arial" w:hAnsi="Arial"/>
          <w:sz w:val="20"/>
          <w:szCs w:val="20"/>
          <w:b w:val="1"/>
          <w:bCs w:val="1"/>
          <w:color w:val="auto"/>
        </w:rPr>
        <w:t>Michael Massaro</w:t>
      </w:r>
    </w:p>
    <w:p>
      <w:pPr>
        <w:jc w:val="center"/>
        <w:ind w:left="5100"/>
        <w:spacing w:after="0"/>
        <w:rPr>
          <w:sz w:val="20"/>
          <w:szCs w:val="20"/>
          <w:color w:val="auto"/>
        </w:rPr>
      </w:pPr>
      <w:r>
        <w:rPr>
          <w:rFonts w:ascii="Arial" w:cs="Arial" w:eastAsia="Arial" w:hAnsi="Arial"/>
          <w:sz w:val="20"/>
          <w:szCs w:val="20"/>
          <w:b w:val="1"/>
          <w:bCs w:val="1"/>
          <w:color w:val="auto"/>
        </w:rPr>
        <w:t>Chief Executive Officer and Director</w:t>
      </w:r>
    </w:p>
    <w:p>
      <w:pPr>
        <w:spacing w:after="0" w:line="11" w:lineRule="exact"/>
        <w:rPr>
          <w:sz w:val="20"/>
          <w:szCs w:val="20"/>
          <w:color w:val="auto"/>
        </w:rPr>
      </w:pPr>
    </w:p>
    <w:p>
      <w:pPr>
        <w:ind w:left="6680"/>
        <w:spacing w:after="0"/>
        <w:rPr>
          <w:sz w:val="20"/>
          <w:szCs w:val="20"/>
          <w:color w:val="auto"/>
        </w:rPr>
      </w:pPr>
      <w:r>
        <w:rPr>
          <w:rFonts w:ascii="Arial" w:cs="Arial" w:eastAsia="Arial" w:hAnsi="Arial"/>
          <w:sz w:val="19"/>
          <w:szCs w:val="19"/>
          <w:b w:val="1"/>
          <w:bCs w:val="1"/>
          <w:color w:val="auto"/>
        </w:rPr>
        <w:t>(Principal Executive Officer)</w:t>
      </w:r>
    </w:p>
    <w:p>
      <w:pPr>
        <w:spacing w:after="0" w:line="204" w:lineRule="exact"/>
        <w:rPr>
          <w:sz w:val="20"/>
          <w:szCs w:val="20"/>
          <w:color w:val="auto"/>
        </w:rPr>
      </w:pPr>
    </w:p>
    <w:p>
      <w:pPr>
        <w:ind w:left="140"/>
        <w:spacing w:after="0"/>
        <w:tabs>
          <w:tab w:leader="none" w:pos="4680" w:val="left"/>
          <w:tab w:leader="none" w:pos="7240" w:val="left"/>
        </w:tabs>
        <w:rPr>
          <w:sz w:val="20"/>
          <w:szCs w:val="20"/>
          <w:color w:val="auto"/>
        </w:rPr>
      </w:pPr>
      <w:r>
        <w:rPr>
          <w:rFonts w:ascii="Arial" w:cs="Arial" w:eastAsia="Arial" w:hAnsi="Arial"/>
          <w:sz w:val="20"/>
          <w:szCs w:val="20"/>
          <w:color w:val="auto"/>
        </w:rPr>
        <w:t>Date: February 28, 2024</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12065</wp:posOffset>
            </wp:positionV>
            <wp:extent cx="35337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
                      <a:extLst>
                        <a:ext uri="{28A0092B-C50C-407E-A947-70E740481C1C}"/>
                      </a:extLst>
                    </a:blip>
                    <a:srcRect/>
                    <a:stretch>
                      <a:fillRect/>
                    </a:stretch>
                  </pic:blipFill>
                  <pic:spPr bwMode="auto">
                    <a:xfrm>
                      <a:off x="0" y="0"/>
                      <a:ext cx="3533775" cy="12700"/>
                    </a:xfrm>
                    <a:prstGeom prst="rect">
                      <a:avLst/>
                    </a:prstGeom>
                    <a:noFill/>
                  </pic:spPr>
                </pic:pic>
              </a:graphicData>
            </a:graphic>
          </wp:anchor>
        </w:drawing>
      </w:r>
    </w:p>
    <w:p>
      <w:pPr>
        <w:spacing w:after="0" w:line="37" w:lineRule="exact"/>
        <w:rPr>
          <w:sz w:val="20"/>
          <w:szCs w:val="20"/>
          <w:color w:val="auto"/>
        </w:rPr>
      </w:pPr>
    </w:p>
    <w:p>
      <w:pPr>
        <w:jc w:val="center"/>
        <w:ind w:left="5100"/>
        <w:spacing w:after="0"/>
        <w:rPr>
          <w:sz w:val="20"/>
          <w:szCs w:val="20"/>
          <w:color w:val="auto"/>
        </w:rPr>
      </w:pPr>
      <w:r>
        <w:rPr>
          <w:rFonts w:ascii="Arial" w:cs="Arial" w:eastAsia="Arial" w:hAnsi="Arial"/>
          <w:sz w:val="19"/>
          <w:szCs w:val="19"/>
          <w:b w:val="1"/>
          <w:bCs w:val="1"/>
          <w:color w:val="auto"/>
        </w:rPr>
        <w:t>Michael Ellis</w:t>
      </w:r>
    </w:p>
    <w:p>
      <w:pPr>
        <w:jc w:val="center"/>
        <w:ind w:left="5100"/>
        <w:spacing w:after="0"/>
        <w:rPr>
          <w:sz w:val="20"/>
          <w:szCs w:val="20"/>
          <w:color w:val="auto"/>
        </w:rPr>
      </w:pPr>
      <w:r>
        <w:rPr>
          <w:rFonts w:ascii="Arial" w:cs="Arial" w:eastAsia="Arial" w:hAnsi="Arial"/>
          <w:sz w:val="20"/>
          <w:szCs w:val="20"/>
          <w:b w:val="1"/>
          <w:bCs w:val="1"/>
          <w:color w:val="auto"/>
        </w:rPr>
        <w:t>Chief Financial Officer</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9"/>
          <w:szCs w:val="19"/>
          <w:b w:val="1"/>
          <w:bCs w:val="1"/>
          <w:color w:val="auto"/>
        </w:rPr>
        <w:t>(Principal Financial and Accounting Officer)</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auto"/>
        </w:rPr>
        <w:t> </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ectPr>
          <w:pgSz w:w="12240" w:h="15840" w:orient="portrait"/>
          <w:cols w:equalWidth="0" w:num="1">
            <w:col w:w="10800"/>
          </w:cols>
          <w:pgMar w:left="720" w:top="1156" w:right="720" w:bottom="186" w:gutter="0" w:footer="0" w:header="0"/>
          <w:type w:val="continuous"/>
        </w:sectPr>
      </w:pPr>
    </w:p>
    <w:bookmarkStart w:id="160" w:name="page161"/>
    <w:bookmarkEnd w:id="160"/>
    <w:p>
      <w:pPr>
        <w:jc w:val="center"/>
        <w:ind w:right="-119"/>
        <w:spacing w:after="0"/>
        <w:rPr>
          <w:sz w:val="20"/>
          <w:szCs w:val="20"/>
          <w:color w:val="auto"/>
        </w:rPr>
      </w:pPr>
      <w:r>
        <w:rPr>
          <w:rFonts w:ascii="Arial" w:cs="Arial" w:eastAsia="Arial" w:hAnsi="Arial"/>
          <w:sz w:val="20"/>
          <w:szCs w:val="20"/>
          <w:b w:val="1"/>
          <w:bCs w:val="1"/>
          <w:color w:val="auto"/>
        </w:rPr>
        <w:t>POWER OF ATTORNEY</w:t>
      </w:r>
    </w:p>
    <w:p>
      <w:pPr>
        <w:spacing w:after="0" w:line="204"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i w:val="1"/>
          <w:iCs w:val="1"/>
          <w:color w:val="auto"/>
        </w:rPr>
        <w:t>KNOW ALL PERSONS BY THESE PRESENTS</w:t>
      </w:r>
      <w:r>
        <w:rPr>
          <w:rFonts w:ascii="Arial" w:cs="Arial" w:eastAsia="Arial" w:hAnsi="Arial"/>
          <w:sz w:val="20"/>
          <w:szCs w:val="20"/>
          <w:color w:val="auto"/>
        </w:rPr>
        <w:t>, that each person whose signature appears below hereby</w:t>
      </w:r>
      <w:r>
        <w:rPr>
          <w:rFonts w:ascii="Arial" w:cs="Arial" w:eastAsia="Arial" w:hAnsi="Arial"/>
          <w:sz w:val="20"/>
          <w:szCs w:val="20"/>
          <w:i w:val="1"/>
          <w:iCs w:val="1"/>
          <w:color w:val="auto"/>
        </w:rPr>
        <w:t xml:space="preserve"> </w:t>
      </w:r>
      <w:r>
        <w:rPr>
          <w:rFonts w:ascii="Arial" w:cs="Arial" w:eastAsia="Arial" w:hAnsi="Arial"/>
          <w:sz w:val="20"/>
          <w:szCs w:val="20"/>
          <w:color w:val="auto"/>
        </w:rPr>
        <w:t>constitutes and appoints Michael Massaro and Michael Ellis,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57"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Pursuant to the requirements of the Securities Exchange Act, this Annual Report on Form 10-K has been signed by the following persons on behalf of the registrant and in the capacities and on the dates indicated.</w:t>
      </w:r>
    </w:p>
    <w:p>
      <w:pPr>
        <w:spacing w:after="0" w:line="134" w:lineRule="exact"/>
        <w:rPr>
          <w:sz w:val="20"/>
          <w:szCs w:val="20"/>
          <w:color w:val="auto"/>
        </w:rPr>
      </w:pPr>
    </w:p>
    <w:tbl>
      <w:tblPr>
        <w:tblLayout w:type="fixed"/>
        <w:tblInd w:w="480" w:type="dxa"/>
        <w:tblCellMar>
          <w:top w:w="0" w:type="dxa"/>
          <w:left w:w="0" w:type="dxa"/>
          <w:bottom w:w="0" w:type="dxa"/>
          <w:right w:w="0" w:type="dxa"/>
        </w:tblCellMar>
      </w:tblPr>
      <w:tr>
        <w:trPr>
          <w:trHeight w:val="249"/>
        </w:trPr>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7"/>
          </w:tcPr>
          <w:p>
            <w:pPr>
              <w:jc w:val="center"/>
              <w:ind w:right="1240"/>
              <w:spacing w:after="0"/>
              <w:rPr>
                <w:sz w:val="20"/>
                <w:szCs w:val="20"/>
                <w:color w:val="auto"/>
              </w:rPr>
            </w:pPr>
            <w:r>
              <w:rPr>
                <w:rFonts w:ascii="Arial" w:cs="Arial" w:eastAsia="Arial" w:hAnsi="Arial"/>
                <w:sz w:val="20"/>
                <w:szCs w:val="20"/>
                <w:color w:val="auto"/>
              </w:rPr>
              <w:t>Signature</w:t>
            </w:r>
          </w:p>
        </w:tc>
        <w:tc>
          <w:tcPr>
            <w:tcW w:w="20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Title</w:t>
            </w:r>
          </w:p>
        </w:tc>
        <w:tc>
          <w:tcPr>
            <w:tcW w:w="14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Date</w:t>
            </w:r>
          </w:p>
        </w:tc>
        <w:tc>
          <w:tcPr>
            <w:tcW w:w="0" w:type="dxa"/>
            <w:vAlign w:val="bottom"/>
          </w:tcPr>
          <w:p>
            <w:pPr>
              <w:spacing w:after="0"/>
              <w:rPr>
                <w:sz w:val="1"/>
                <w:szCs w:val="1"/>
                <w:color w:val="auto"/>
              </w:rPr>
            </w:pPr>
          </w:p>
        </w:tc>
      </w:tr>
      <w:tr>
        <w:trPr>
          <w:trHeight w:val="493"/>
        </w:trPr>
        <w:tc>
          <w:tcPr>
            <w:tcW w:w="3460" w:type="dxa"/>
            <w:vAlign w:val="bottom"/>
            <w:tcBorders>
              <w:bottom w:val="single" w:sz="8" w:color="auto"/>
            </w:tcBorders>
            <w:gridSpan w:val="13"/>
          </w:tcPr>
          <w:p>
            <w:pPr>
              <w:jc w:val="center"/>
              <w:spacing w:after="0"/>
              <w:rPr>
                <w:sz w:val="20"/>
                <w:szCs w:val="20"/>
                <w:color w:val="auto"/>
              </w:rPr>
            </w:pPr>
            <w:r>
              <w:rPr>
                <w:rFonts w:ascii="Arial" w:cs="Arial" w:eastAsia="Arial" w:hAnsi="Arial"/>
                <w:sz w:val="20"/>
                <w:szCs w:val="20"/>
                <w:color w:val="auto"/>
              </w:rPr>
              <w:t>/s/ Michael Massaro</w:t>
            </w:r>
          </w:p>
        </w:tc>
        <w:tc>
          <w:tcPr>
            <w:tcW w:w="20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rPr>
              <w:t>Chief Executive Officer and Director</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1520" w:type="dxa"/>
            <w:vAlign w:val="bottom"/>
            <w:gridSpan w:val="11"/>
          </w:tcPr>
          <w:p>
            <w:pPr>
              <w:jc w:val="center"/>
              <w:spacing w:after="0"/>
              <w:rPr>
                <w:sz w:val="20"/>
                <w:szCs w:val="20"/>
                <w:color w:val="auto"/>
              </w:rPr>
            </w:pPr>
            <w:r>
              <w:rPr>
                <w:rFonts w:ascii="Arial" w:cs="Arial" w:eastAsia="Arial" w:hAnsi="Arial"/>
                <w:sz w:val="20"/>
                <w:szCs w:val="20"/>
                <w:color w:val="auto"/>
                <w:highlight w:val="white"/>
              </w:rPr>
              <w:t>Michael Massaro</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20"/>
                <w:szCs w:val="20"/>
                <w:i w:val="1"/>
                <w:iCs w:val="1"/>
                <w:color w:val="auto"/>
              </w:rPr>
              <w:t>(Principal Executive Officer)</w:t>
            </w: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20"/>
                <w:szCs w:val="20"/>
                <w:color w:val="auto"/>
              </w:rPr>
              <w:t>/s/ Michael Ellis</w:t>
            </w:r>
          </w:p>
        </w:tc>
        <w:tc>
          <w:tcPr>
            <w:tcW w:w="9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99"/>
              </w:rPr>
              <w:t>Chief Financial Officer</w:t>
            </w:r>
          </w:p>
        </w:tc>
        <w:tc>
          <w:tcPr>
            <w:tcW w:w="14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20"/>
                <w:szCs w:val="20"/>
                <w:color w:val="auto"/>
                <w:highlight w:val="white"/>
              </w:rPr>
              <w:t>Michael Ellis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20"/>
                <w:szCs w:val="20"/>
                <w:i w:val="1"/>
                <w:iCs w:val="1"/>
                <w:color w:val="auto"/>
              </w:rPr>
              <w:t>(Principal Financial and Accounting Officer)</w:t>
            </w: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7"/>
          </w:tcPr>
          <w:p>
            <w:pPr>
              <w:ind w:left="20"/>
              <w:spacing w:after="0"/>
              <w:rPr>
                <w:sz w:val="20"/>
                <w:szCs w:val="20"/>
                <w:color w:val="auto"/>
              </w:rPr>
            </w:pPr>
            <w:r>
              <w:rPr>
                <w:rFonts w:ascii="Arial" w:cs="Arial" w:eastAsia="Arial" w:hAnsi="Arial"/>
                <w:sz w:val="20"/>
                <w:szCs w:val="20"/>
                <w:color w:val="auto"/>
                <w:w w:val="90"/>
              </w:rPr>
              <w:t>/s/ Phillip Riese</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20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99"/>
              </w:rPr>
              <w:t>Chairman of the Board of Directors</w:t>
            </w:r>
          </w:p>
        </w:tc>
        <w:tc>
          <w:tcPr>
            <w:tcW w:w="14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30"/>
        </w:trPr>
        <w:tc>
          <w:tcPr>
            <w:tcW w:w="1180" w:type="dxa"/>
            <w:vAlign w:val="bottom"/>
            <w:gridSpan w:val="5"/>
            <w:vMerge w:val="restart"/>
          </w:tcPr>
          <w:p>
            <w:pPr>
              <w:ind w:left="900"/>
              <w:spacing w:after="0"/>
              <w:rPr>
                <w:sz w:val="20"/>
                <w:szCs w:val="20"/>
                <w:color w:val="auto"/>
              </w:rPr>
            </w:pPr>
            <w:r>
              <w:rPr>
                <w:rFonts w:ascii="Arial" w:cs="Arial" w:eastAsia="Arial" w:hAnsi="Arial"/>
                <w:sz w:val="20"/>
                <w:szCs w:val="20"/>
                <w:color w:val="auto"/>
              </w:rPr>
              <w:t>/s/</w:t>
            </w:r>
          </w:p>
        </w:tc>
        <w:tc>
          <w:tcPr>
            <w:tcW w:w="1100" w:type="dxa"/>
            <w:vAlign w:val="bottom"/>
            <w:gridSpan w:val="3"/>
          </w:tcPr>
          <w:p>
            <w:pPr>
              <w:jc w:val="center"/>
              <w:spacing w:after="0"/>
              <w:rPr>
                <w:sz w:val="20"/>
                <w:szCs w:val="20"/>
                <w:color w:val="auto"/>
              </w:rPr>
            </w:pPr>
            <w:r>
              <w:rPr>
                <w:rFonts w:ascii="Arial" w:cs="Arial" w:eastAsia="Arial" w:hAnsi="Arial"/>
                <w:sz w:val="20"/>
                <w:szCs w:val="20"/>
                <w:color w:val="auto"/>
                <w:highlight w:val="white"/>
                <w:w w:val="99"/>
              </w:rPr>
              <w:t>Phillip Riese</w:t>
            </w:r>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14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44"/>
        </w:trPr>
        <w:tc>
          <w:tcPr>
            <w:tcW w:w="1180" w:type="dxa"/>
            <w:vAlign w:val="bottom"/>
            <w:tcBorders>
              <w:bottom w:val="single" w:sz="8" w:color="auto"/>
            </w:tcBorders>
            <w:gridSpan w:val="5"/>
            <w:vMerge w:val="continue"/>
          </w:tcPr>
          <w:p>
            <w:pPr>
              <w:spacing w:after="0"/>
              <w:rPr>
                <w:sz w:val="21"/>
                <w:szCs w:val="21"/>
                <w:color w:val="auto"/>
              </w:rPr>
            </w:pPr>
          </w:p>
        </w:tc>
        <w:tc>
          <w:tcPr>
            <w:tcW w:w="2280" w:type="dxa"/>
            <w:vAlign w:val="bottom"/>
            <w:tcBorders>
              <w:bottom w:val="single" w:sz="8" w:color="auto"/>
            </w:tcBorders>
            <w:gridSpan w:val="8"/>
          </w:tcPr>
          <w:p>
            <w:pPr>
              <w:jc w:val="center"/>
              <w:ind w:right="900"/>
              <w:spacing w:after="0"/>
              <w:rPr>
                <w:sz w:val="20"/>
                <w:szCs w:val="20"/>
                <w:color w:val="auto"/>
              </w:rPr>
            </w:pPr>
            <w:r>
              <w:rPr>
                <w:rFonts w:ascii="Arial" w:cs="Arial" w:eastAsia="Arial" w:hAnsi="Arial"/>
                <w:sz w:val="20"/>
                <w:szCs w:val="20"/>
                <w:color w:val="auto"/>
                <w:w w:val="99"/>
              </w:rPr>
              <w:t>Diane Offereins</w:t>
            </w:r>
          </w:p>
        </w:tc>
        <w:tc>
          <w:tcPr>
            <w:tcW w:w="200" w:type="dxa"/>
            <w:vAlign w:val="bottom"/>
          </w:tcPr>
          <w:p>
            <w:pPr>
              <w:spacing w:after="0"/>
              <w:rPr>
                <w:sz w:val="21"/>
                <w:szCs w:val="21"/>
                <w:color w:val="auto"/>
              </w:rPr>
            </w:pPr>
          </w:p>
        </w:tc>
        <w:tc>
          <w:tcPr>
            <w:tcW w:w="3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gridSpan w:val="11"/>
          </w:tcPr>
          <w:p>
            <w:pPr>
              <w:jc w:val="center"/>
              <w:ind w:right="1040"/>
              <w:spacing w:after="0"/>
              <w:rPr>
                <w:sz w:val="20"/>
                <w:szCs w:val="20"/>
                <w:color w:val="auto"/>
              </w:rPr>
            </w:pPr>
            <w:r>
              <w:rPr>
                <w:rFonts w:ascii="Arial" w:cs="Arial" w:eastAsia="Arial" w:hAnsi="Arial"/>
                <w:sz w:val="20"/>
                <w:szCs w:val="20"/>
                <w:color w:val="auto"/>
              </w:rPr>
              <w:t>Diane Offereins</w:t>
            </w:r>
          </w:p>
        </w:tc>
        <w:tc>
          <w:tcPr>
            <w:tcW w:w="2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60" w:type="dxa"/>
            <w:vAlign w:val="bottom"/>
            <w:tcBorders>
              <w:bottom w:val="single" w:sz="8" w:color="auto"/>
            </w:tcBorders>
            <w:gridSpan w:val="13"/>
          </w:tcPr>
          <w:p>
            <w:pPr>
              <w:jc w:val="center"/>
              <w:ind w:right="20"/>
              <w:spacing w:after="0"/>
              <w:rPr>
                <w:sz w:val="20"/>
                <w:szCs w:val="20"/>
                <w:color w:val="auto"/>
              </w:rPr>
            </w:pPr>
            <w:r>
              <w:rPr>
                <w:rFonts w:ascii="Arial" w:cs="Arial" w:eastAsia="Arial" w:hAnsi="Arial"/>
                <w:sz w:val="20"/>
                <w:szCs w:val="20"/>
                <w:color w:val="auto"/>
              </w:rPr>
              <w:t>/s/ Alex Finkelstein</w:t>
            </w:r>
          </w:p>
        </w:tc>
        <w:tc>
          <w:tcPr>
            <w:tcW w:w="20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99"/>
              </w:rPr>
              <w:t>Director</w:t>
            </w:r>
          </w:p>
        </w:tc>
        <w:tc>
          <w:tcPr>
            <w:tcW w:w="14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9"/>
          </w:tcPr>
          <w:p>
            <w:pPr>
              <w:jc w:val="center"/>
              <w:spacing w:after="0"/>
              <w:rPr>
                <w:sz w:val="20"/>
                <w:szCs w:val="20"/>
                <w:color w:val="auto"/>
              </w:rPr>
            </w:pPr>
            <w:r>
              <w:rPr>
                <w:rFonts w:ascii="Arial" w:cs="Arial" w:eastAsia="Arial" w:hAnsi="Arial"/>
                <w:sz w:val="20"/>
                <w:szCs w:val="20"/>
                <w:color w:val="auto"/>
                <w:highlight w:val="white"/>
                <w:w w:val="99"/>
              </w:rPr>
              <w:t>Alex Finkelstein</w:t>
            </w:r>
          </w:p>
        </w:tc>
        <w:tc>
          <w:tcPr>
            <w:tcW w:w="10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14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44"/>
        </w:trPr>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9"/>
          </w:tcPr>
          <w:p>
            <w:pPr>
              <w:jc w:val="center"/>
              <w:spacing w:after="0"/>
              <w:rPr>
                <w:sz w:val="20"/>
                <w:szCs w:val="20"/>
                <w:color w:val="auto"/>
              </w:rPr>
            </w:pPr>
            <w:r>
              <w:rPr>
                <w:rFonts w:ascii="Arial" w:cs="Arial" w:eastAsia="Arial" w:hAnsi="Arial"/>
                <w:sz w:val="20"/>
                <w:szCs w:val="20"/>
                <w:color w:val="auto"/>
                <w:w w:val="99"/>
              </w:rPr>
              <w:t>/s/ Matt Harris</w:t>
            </w:r>
          </w:p>
        </w:tc>
        <w:tc>
          <w:tcPr>
            <w:tcW w:w="1040" w:type="dxa"/>
            <w:vAlign w:val="bottom"/>
            <w:tcBorders>
              <w:bottom w:val="single" w:sz="8" w:color="auto"/>
            </w:tcBorders>
            <w:gridSpan w:val="2"/>
          </w:tcPr>
          <w:p>
            <w:pPr>
              <w:spacing w:after="0"/>
              <w:rPr>
                <w:sz w:val="21"/>
                <w:szCs w:val="21"/>
                <w:color w:val="auto"/>
              </w:rPr>
            </w:pPr>
          </w:p>
        </w:tc>
        <w:tc>
          <w:tcPr>
            <w:tcW w:w="200" w:type="dxa"/>
            <w:vAlign w:val="bottom"/>
          </w:tcPr>
          <w:p>
            <w:pPr>
              <w:spacing w:after="0"/>
              <w:rPr>
                <w:sz w:val="21"/>
                <w:szCs w:val="21"/>
                <w:color w:val="auto"/>
              </w:rPr>
            </w:pPr>
          </w:p>
        </w:tc>
        <w:tc>
          <w:tcPr>
            <w:tcW w:w="3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80" w:type="dxa"/>
            <w:vAlign w:val="bottom"/>
            <w:gridSpan w:val="5"/>
            <w:vMerge w:val="restart"/>
          </w:tcPr>
          <w:p>
            <w:pPr>
              <w:ind w:left="20"/>
              <w:spacing w:after="0"/>
              <w:rPr>
                <w:sz w:val="20"/>
                <w:szCs w:val="20"/>
                <w:color w:val="auto"/>
              </w:rPr>
            </w:pPr>
            <w:r>
              <w:rPr>
                <w:rFonts w:ascii="Arial" w:cs="Arial" w:eastAsia="Arial" w:hAnsi="Arial"/>
                <w:sz w:val="20"/>
                <w:szCs w:val="20"/>
                <w:color w:val="auto"/>
              </w:rPr>
              <w:t>/s/</w:t>
            </w:r>
          </w:p>
        </w:tc>
        <w:tc>
          <w:tcPr>
            <w:tcW w:w="980" w:type="dxa"/>
            <w:vAlign w:val="bottom"/>
          </w:tcPr>
          <w:p>
            <w:pPr>
              <w:jc w:val="center"/>
              <w:spacing w:after="0"/>
              <w:rPr>
                <w:sz w:val="20"/>
                <w:szCs w:val="20"/>
                <w:color w:val="auto"/>
              </w:rPr>
            </w:pPr>
            <w:r>
              <w:rPr>
                <w:rFonts w:ascii="Arial" w:cs="Arial" w:eastAsia="Arial" w:hAnsi="Arial"/>
                <w:sz w:val="20"/>
                <w:szCs w:val="20"/>
                <w:color w:val="auto"/>
                <w:highlight w:val="white"/>
              </w:rPr>
              <w:t>Matt Harris</w:t>
            </w:r>
          </w:p>
        </w:tc>
        <w:tc>
          <w:tcPr>
            <w:tcW w:w="120" w:type="dxa"/>
            <w:vAlign w:val="bottom"/>
            <w:gridSpan w:val="3"/>
          </w:tcPr>
          <w:p>
            <w:pPr>
              <w:spacing w:after="0"/>
              <w:rPr>
                <w:sz w:val="19"/>
                <w:szCs w:val="19"/>
                <w:color w:val="auto"/>
              </w:rPr>
            </w:pPr>
          </w:p>
        </w:tc>
        <w:tc>
          <w:tcPr>
            <w:tcW w:w="112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14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44"/>
        </w:trPr>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5"/>
            <w:vMerge w:val="continue"/>
          </w:tcPr>
          <w:p>
            <w:pPr>
              <w:spacing w:after="0"/>
              <w:rPr>
                <w:sz w:val="21"/>
                <w:szCs w:val="21"/>
                <w:color w:val="auto"/>
              </w:rPr>
            </w:pPr>
          </w:p>
        </w:tc>
        <w:tc>
          <w:tcPr>
            <w:tcW w:w="2220" w:type="dxa"/>
            <w:vAlign w:val="bottom"/>
            <w:tcBorders>
              <w:bottom w:val="single" w:sz="8" w:color="auto"/>
            </w:tcBorders>
            <w:gridSpan w:val="7"/>
          </w:tcPr>
          <w:p>
            <w:pPr>
              <w:jc w:val="center"/>
              <w:ind w:right="1000"/>
              <w:spacing w:after="0"/>
              <w:rPr>
                <w:sz w:val="20"/>
                <w:szCs w:val="20"/>
                <w:color w:val="auto"/>
              </w:rPr>
            </w:pPr>
            <w:r>
              <w:rPr>
                <w:rFonts w:ascii="Arial" w:cs="Arial" w:eastAsia="Arial" w:hAnsi="Arial"/>
                <w:sz w:val="20"/>
                <w:szCs w:val="20"/>
                <w:color w:val="auto"/>
                <w:w w:val="99"/>
              </w:rPr>
              <w:t>Edwin Santos</w:t>
            </w:r>
          </w:p>
        </w:tc>
        <w:tc>
          <w:tcPr>
            <w:tcW w:w="200" w:type="dxa"/>
            <w:vAlign w:val="bottom"/>
          </w:tcPr>
          <w:p>
            <w:pPr>
              <w:spacing w:after="0"/>
              <w:rPr>
                <w:sz w:val="21"/>
                <w:szCs w:val="21"/>
                <w:color w:val="auto"/>
              </w:rPr>
            </w:pPr>
          </w:p>
        </w:tc>
        <w:tc>
          <w:tcPr>
            <w:tcW w:w="3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20" w:type="dxa"/>
            <w:vAlign w:val="bottom"/>
            <w:gridSpan w:val="3"/>
            <w:vMerge w:val="restart"/>
          </w:tcPr>
          <w:p>
            <w:pPr>
              <w:ind w:left="800"/>
              <w:spacing w:after="0"/>
              <w:rPr>
                <w:sz w:val="20"/>
                <w:szCs w:val="20"/>
                <w:color w:val="auto"/>
              </w:rPr>
            </w:pPr>
            <w:r>
              <w:rPr>
                <w:rFonts w:ascii="Arial" w:cs="Arial" w:eastAsia="Arial" w:hAnsi="Arial"/>
                <w:sz w:val="20"/>
                <w:szCs w:val="20"/>
                <w:color w:val="auto"/>
              </w:rPr>
              <w:t>/s/</w:t>
            </w:r>
          </w:p>
        </w:tc>
        <w:tc>
          <w:tcPr>
            <w:tcW w:w="1220" w:type="dxa"/>
            <w:vAlign w:val="bottom"/>
            <w:gridSpan w:val="7"/>
          </w:tcPr>
          <w:p>
            <w:pPr>
              <w:jc w:val="center"/>
              <w:spacing w:after="0"/>
              <w:rPr>
                <w:sz w:val="20"/>
                <w:szCs w:val="20"/>
                <w:color w:val="auto"/>
              </w:rPr>
            </w:pPr>
            <w:r>
              <w:rPr>
                <w:rFonts w:ascii="Arial" w:cs="Arial" w:eastAsia="Arial" w:hAnsi="Arial"/>
                <w:sz w:val="20"/>
                <w:szCs w:val="20"/>
                <w:color w:val="auto"/>
                <w:highlight w:val="white"/>
                <w:w w:val="99"/>
              </w:rPr>
              <w:t>Edwin Santos</w:t>
            </w:r>
          </w:p>
        </w:tc>
        <w:tc>
          <w:tcPr>
            <w:tcW w:w="112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14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rPr>
              <w:t>February 28, 2024</w:t>
            </w:r>
          </w:p>
        </w:tc>
        <w:tc>
          <w:tcPr>
            <w:tcW w:w="0" w:type="dxa"/>
            <w:vAlign w:val="bottom"/>
          </w:tcPr>
          <w:p>
            <w:pPr>
              <w:spacing w:after="0"/>
              <w:rPr>
                <w:sz w:val="1"/>
                <w:szCs w:val="1"/>
                <w:color w:val="auto"/>
              </w:rPr>
            </w:pPr>
          </w:p>
        </w:tc>
      </w:tr>
      <w:tr>
        <w:trPr>
          <w:trHeight w:val="244"/>
        </w:trPr>
        <w:tc>
          <w:tcPr>
            <w:tcW w:w="1120" w:type="dxa"/>
            <w:vAlign w:val="bottom"/>
            <w:tcBorders>
              <w:bottom w:val="single" w:sz="8" w:color="auto"/>
            </w:tcBorders>
            <w:gridSpan w:val="3"/>
            <w:vMerge w:val="continue"/>
          </w:tcPr>
          <w:p>
            <w:pPr>
              <w:spacing w:after="0"/>
              <w:rPr>
                <w:sz w:val="21"/>
                <w:szCs w:val="21"/>
                <w:color w:val="auto"/>
              </w:rPr>
            </w:pPr>
          </w:p>
        </w:tc>
        <w:tc>
          <w:tcPr>
            <w:tcW w:w="2340" w:type="dxa"/>
            <w:vAlign w:val="bottom"/>
            <w:tcBorders>
              <w:bottom w:val="single" w:sz="8" w:color="auto"/>
            </w:tcBorders>
            <w:gridSpan w:val="10"/>
          </w:tcPr>
          <w:p>
            <w:pPr>
              <w:jc w:val="center"/>
              <w:ind w:right="820"/>
              <w:spacing w:after="0"/>
              <w:rPr>
                <w:sz w:val="20"/>
                <w:szCs w:val="20"/>
                <w:color w:val="auto"/>
              </w:rPr>
            </w:pPr>
            <w:r>
              <w:rPr>
                <w:rFonts w:ascii="Arial" w:cs="Arial" w:eastAsia="Arial" w:hAnsi="Arial"/>
                <w:sz w:val="20"/>
                <w:szCs w:val="20"/>
                <w:color w:val="auto"/>
                <w:w w:val="96"/>
              </w:rPr>
              <w:t>Gretchen Howard</w:t>
            </w:r>
          </w:p>
        </w:tc>
        <w:tc>
          <w:tcPr>
            <w:tcW w:w="200" w:type="dxa"/>
            <w:vAlign w:val="bottom"/>
          </w:tcPr>
          <w:p>
            <w:pPr>
              <w:spacing w:after="0"/>
              <w:rPr>
                <w:sz w:val="21"/>
                <w:szCs w:val="21"/>
                <w:color w:val="auto"/>
              </w:rPr>
            </w:pPr>
          </w:p>
        </w:tc>
        <w:tc>
          <w:tcPr>
            <w:tcW w:w="3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460" w:type="dxa"/>
            <w:vAlign w:val="bottom"/>
            <w:gridSpan w:val="13"/>
          </w:tcPr>
          <w:p>
            <w:pPr>
              <w:jc w:val="center"/>
              <w:ind w:right="20"/>
              <w:spacing w:after="0"/>
              <w:rPr>
                <w:sz w:val="20"/>
                <w:szCs w:val="20"/>
                <w:color w:val="auto"/>
              </w:rPr>
            </w:pPr>
            <w:r>
              <w:rPr>
                <w:rFonts w:ascii="Arial" w:cs="Arial" w:eastAsia="Arial" w:hAnsi="Arial"/>
                <w:sz w:val="20"/>
                <w:szCs w:val="20"/>
                <w:color w:val="auto"/>
                <w:w w:val="99"/>
              </w:rPr>
              <w:t>Gretchen Howard</w:t>
            </w:r>
          </w:p>
        </w:tc>
        <w:tc>
          <w:tcPr>
            <w:tcW w:w="2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80"/>
          </w:cols>
          <w:pgMar w:left="720" w:top="1356" w:right="8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159</w:t>
      </w:r>
    </w:p>
    <w:p>
      <w:pPr>
        <w:sectPr>
          <w:pgSz w:w="12240" w:h="15840" w:orient="portrait"/>
          <w:cols w:equalWidth="0" w:num="1">
            <w:col w:w="10680"/>
          </w:cols>
          <w:pgMar w:left="720" w:top="1356" w:right="840" w:bottom="186"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62" w:name="page163"/>
    <w:bookmarkEnd w:id="162"/>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BR302492-0424-10K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lvl>
    <w:lvl w:ilvl="1">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ο"/>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lowerRoman"/>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2024-04-22T15:33:00Z</dcterms:created>
  <dcterms:modified xsi:type="dcterms:W3CDTF">2024-04-22T15:33:00Z</dcterms:modified>
</cp:coreProperties>
</file>