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3904"/>
        <w:spacing w:after="0"/>
        <w:rPr>
          <w:sz w:val="20"/>
          <w:szCs w:val="20"/>
          <w:color w:val="auto"/>
        </w:rPr>
      </w:pPr>
      <w:r>
        <w:rPr>
          <w:rFonts w:ascii="Arial" w:cs="Arial" w:eastAsia="Arial" w:hAnsi="Arial"/>
          <w:sz w:val="22"/>
          <w:szCs w:val="22"/>
          <w:b w:val="1"/>
          <w:bCs w:val="1"/>
          <w:color w:val="auto"/>
        </w:rPr>
        <w:t>Pursuant to Section 13 OR 15(d) of</w:t>
      </w:r>
    </w:p>
    <w:p>
      <w:pPr>
        <w:ind w:left="3864"/>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28,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Flywire Corporation</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001-40430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27-0690799</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ind w:left="4764"/>
        <w:spacing w:after="0"/>
        <w:rPr>
          <w:sz w:val="20"/>
          <w:szCs w:val="20"/>
          <w:color w:val="auto"/>
        </w:rPr>
      </w:pPr>
      <w:r>
        <w:rPr>
          <w:rFonts w:ascii="Arial" w:cs="Arial" w:eastAsia="Arial" w:hAnsi="Arial"/>
          <w:sz w:val="18"/>
          <w:szCs w:val="18"/>
          <w:b w:val="1"/>
          <w:bCs w:val="1"/>
          <w:color w:val="auto"/>
        </w:rPr>
        <w:t>141 Tremont St #10</w:t>
      </w:r>
    </w:p>
    <w:p>
      <w:pPr>
        <w:spacing w:after="0" w:line="27" w:lineRule="exact"/>
        <w:rPr>
          <w:sz w:val="24"/>
          <w:szCs w:val="24"/>
          <w:color w:val="auto"/>
        </w:rPr>
      </w:pPr>
    </w:p>
    <w:p>
      <w:pPr>
        <w:ind w:left="4804"/>
        <w:spacing w:after="0"/>
        <w:rPr>
          <w:sz w:val="20"/>
          <w:szCs w:val="20"/>
          <w:color w:val="auto"/>
        </w:rPr>
      </w:pPr>
      <w:r>
        <w:rPr>
          <w:rFonts w:ascii="Arial" w:cs="Arial" w:eastAsia="Arial" w:hAnsi="Arial"/>
          <w:sz w:val="18"/>
          <w:szCs w:val="18"/>
          <w:b w:val="1"/>
          <w:bCs w:val="1"/>
          <w:color w:val="auto"/>
        </w:rPr>
        <w:t>Boston, MA 02111</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203"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(617) 329-4524</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98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91"/>
        </w:trPr>
        <w:tc>
          <w:tcPr>
            <w:tcW w:w="38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Voting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FLYW</w:t>
            </w:r>
          </w:p>
        </w:tc>
        <w:tc>
          <w:tcPr>
            <w:tcW w:w="100" w:type="dxa"/>
            <w:vAlign w:val="bottom"/>
          </w:tcPr>
          <w:p>
            <w:pPr>
              <w:spacing w:after="0"/>
              <w:rPr>
                <w:sz w:val="16"/>
                <w:szCs w:val="16"/>
                <w:color w:val="auto"/>
              </w:rPr>
            </w:pPr>
          </w:p>
        </w:tc>
        <w:tc>
          <w:tcPr>
            <w:tcW w:w="34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5"/>
              </w:rPr>
              <w:t>The Nasdaq Global Market LLC</w:t>
            </w:r>
          </w:p>
        </w:tc>
        <w:tc>
          <w:tcPr>
            <w:tcW w:w="0" w:type="dxa"/>
            <w:vAlign w:val="bottom"/>
          </w:tcPr>
          <w:p>
            <w:pPr>
              <w:spacing w:after="0"/>
              <w:rPr>
                <w:sz w:val="1"/>
                <w:szCs w:val="1"/>
                <w:color w:val="auto"/>
              </w:rPr>
            </w:pPr>
          </w:p>
        </w:tc>
      </w:tr>
      <w:tr>
        <w:trPr>
          <w:trHeight w:val="234"/>
        </w:trPr>
        <w:tc>
          <w:tcPr>
            <w:tcW w:w="3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74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5.03. Amendments to Articles of Incorporation or Bylaws; Change in Fiscal Year.</w:t>
      </w:r>
    </w:p>
    <w:p>
      <w:pPr>
        <w:spacing w:after="0" w:line="121"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On May 28, 2021, Flywire Corporation (the “Company”) filed an amended and restated certificate of incorporation (the “Restated Certificate”) with the Secretary of State of the State of Delaware in connection with the closing of the Company’s initial public offering (the “IPO”). The Company’s board of directors and the Company’s stockholders previously approved the Restated Certificate to be filed in connection with, and to be effective upon, the closing of the IPO.</w:t>
      </w:r>
    </w:p>
    <w:p>
      <w:pPr>
        <w:spacing w:after="0" w:line="187" w:lineRule="exact"/>
        <w:rPr>
          <w:sz w:val="20"/>
          <w:szCs w:val="20"/>
          <w:color w:val="auto"/>
        </w:rPr>
      </w:pPr>
    </w:p>
    <w:p>
      <w:pPr>
        <w:ind w:left="4" w:right="80"/>
        <w:spacing w:after="0" w:line="286" w:lineRule="auto"/>
        <w:rPr>
          <w:sz w:val="20"/>
          <w:szCs w:val="20"/>
          <w:color w:val="auto"/>
        </w:rPr>
      </w:pPr>
      <w:r>
        <w:rPr>
          <w:rFonts w:ascii="Arial" w:cs="Arial" w:eastAsia="Arial" w:hAnsi="Arial"/>
          <w:sz w:val="16"/>
          <w:szCs w:val="16"/>
          <w:color w:val="auto"/>
        </w:rPr>
        <w:t>The Restated Certificate amends and restates in its entirety the Company’s certificate of incorporation to, among other things: (i) authorize 2,000,000,000 shares of voting common stock; (ii) authorize 10,000,000 shares of voting common stock; (iii) eliminate all references to the previously existing series of preferred stock; (iii) authorize 10,000,000 shares of undesignated preferred stock that may be issued from time to time by the Company’s board of directors in one or more series; (iv) establish a classified board of directors, divided into three classes, each of whose members will serve for staggered three-year terms; (v) provide that directors may be removed from office only for cause and only upon the affirmative vote of the holders of at least 66 2/3% of the holders of the Company’s then-outstanding shares of common stock; (vi) provide that the Court of Chancery of the State of Delaware shall, to the fullest extent permitted by law, be the sole and exclusive forum for (a) any derivative action or proceeding brought on behalf of the Company, (b) any action asserting a claim of breach of fiduciary duty owed by any director, officer, other employee or stockholder of the Company to the Company or its stockholders, (c) any action asserting a claim against the Company arising pursuant to any provision of the General Corporation Law of the State of Delaware, any provision of the Restated Certificate or Restated Bylaws (as defined below) of the Company (in each case, as they may be amended from time to time) or governed by the internal affairs doctrine; and (vii) provide that the federal district courts of the United States of America shall, to the fullest extent permitted by law, be the sole and exclusive forum for the resolution of any claims arising under the Securities Act of 1933, as amended (the “Securities Act”). A description of the Restated Certificate is set forth in the sections entitled “Risk Factors” and “Description of Capital Stock” of the Company’s Prospectus (the “Prospectus”) filed with the Securities and Exchange Commission on May 26, 2021 pursuant to Rule 424(b) under the Securities Act relating to the Registration Statement on Form S-1, as amended (File No. 333-255706).</w:t>
      </w:r>
    </w:p>
    <w:p>
      <w:pPr>
        <w:spacing w:after="0" w:line="167"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The foregoing description of the Restated Certificate is qualified in its entirety by reference to the full text of the Restated Certificate, a copy of which is filed as Exhibit 3.1 to this Current Report on Form 8-K and is incorporated herein by reference.</w:t>
      </w:r>
    </w:p>
    <w:p>
      <w:pPr>
        <w:spacing w:after="0" w:line="170" w:lineRule="exact"/>
        <w:rPr>
          <w:sz w:val="20"/>
          <w:szCs w:val="20"/>
          <w:color w:val="auto"/>
        </w:rPr>
      </w:pPr>
    </w:p>
    <w:p>
      <w:pPr>
        <w:ind w:left="4" w:right="260"/>
        <w:spacing w:after="0" w:line="285" w:lineRule="auto"/>
        <w:rPr>
          <w:sz w:val="20"/>
          <w:szCs w:val="20"/>
          <w:color w:val="auto"/>
        </w:rPr>
      </w:pPr>
      <w:r>
        <w:rPr>
          <w:rFonts w:ascii="Arial" w:cs="Arial" w:eastAsia="Arial" w:hAnsi="Arial"/>
          <w:sz w:val="16"/>
          <w:szCs w:val="16"/>
          <w:color w:val="auto"/>
        </w:rPr>
        <w:t>Effective as of May 28, 2021, the Company adopted amended and restated bylaws (the “Restated Bylaws”) in connection with the closing of the IPO. The Company’s board of directors and the Company’s stockholders previously approved the Restated Bylaws to be effective immediately prior to the closing of the IPO. The Restated Bylaws restate the Company’s bylaws in their entirety to, among other things: (i) eliminate the ability of the Company’s stockholders to take action by written consent in lieu of a meeting and call special meetings of stockholders; (ii) establish procedures relating to the presentation of stockholder proposals at stockholder meetings; (iii) establish procedures relating to the nomination of directors; and</w:t>
      </w:r>
    </w:p>
    <w:p>
      <w:pPr>
        <w:spacing w:after="0" w:line="2" w:lineRule="exact"/>
        <w:rPr>
          <w:sz w:val="20"/>
          <w:szCs w:val="20"/>
          <w:color w:val="auto"/>
        </w:rPr>
      </w:pPr>
    </w:p>
    <w:p>
      <w:pPr>
        <w:ind w:left="4" w:right="420" w:hanging="4"/>
        <w:spacing w:after="0" w:line="260" w:lineRule="auto"/>
        <w:tabs>
          <w:tab w:leader="none" w:pos="309"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conform to the provisions of the Restated Certificate. A description of the Restated Bylaws is set forth in the sections of the Prospectus entitled “Risk Factors” and “Description of Capital Stock.”</w:t>
      </w:r>
    </w:p>
    <w:p>
      <w:pPr>
        <w:spacing w:after="0" w:line="185"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The foregoing description of the Restated Bylaws is qualified in its entirety by reference to the full text of the Restated Bylaws, a copy of which is filed as Exhibit 3.2 to this Current Report on Form 8-K and is incorporated herein by reference.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5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60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No.</w:t>
            </w:r>
          </w:p>
        </w:tc>
        <w:tc>
          <w:tcPr>
            <w:tcW w:w="520" w:type="dxa"/>
            <w:vAlign w:val="bottom"/>
          </w:tcPr>
          <w:p>
            <w:pPr>
              <w:spacing w:after="0"/>
              <w:rPr>
                <w:sz w:val="14"/>
                <w:szCs w:val="14"/>
                <w:color w:val="auto"/>
              </w:rPr>
            </w:pPr>
          </w:p>
        </w:tc>
        <w:tc>
          <w:tcPr>
            <w:tcW w:w="3960" w:type="dxa"/>
            <w:vAlign w:val="bottom"/>
            <w:tcBorders>
              <w:bottom w:val="single" w:sz="8" w:color="auto"/>
            </w:tcBorders>
          </w:tcPr>
          <w:p>
            <w:pPr>
              <w:spacing w:after="0"/>
              <w:rPr>
                <w:sz w:val="14"/>
                <w:szCs w:val="14"/>
                <w:color w:val="auto"/>
              </w:rPr>
            </w:pPr>
          </w:p>
        </w:tc>
        <w:tc>
          <w:tcPr>
            <w:tcW w:w="60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60" w:type="dxa"/>
            <w:vAlign w:val="bottom"/>
          </w:tcPr>
          <w:p>
            <w:pPr>
              <w:spacing w:after="0"/>
              <w:rPr>
                <w:sz w:val="20"/>
                <w:szCs w:val="20"/>
                <w:color w:val="auto"/>
              </w:rPr>
            </w:pPr>
            <w:r>
              <w:rPr>
                <w:rFonts w:ascii="Arial" w:cs="Arial" w:eastAsia="Arial" w:hAnsi="Arial"/>
                <w:sz w:val="18"/>
                <w:szCs w:val="18"/>
                <w:color w:val="auto"/>
              </w:rPr>
              <w:t>3.1</w:t>
            </w:r>
          </w:p>
        </w:tc>
        <w:tc>
          <w:tcPr>
            <w:tcW w:w="520" w:type="dxa"/>
            <w:vAlign w:val="bottom"/>
          </w:tcPr>
          <w:p>
            <w:pPr>
              <w:spacing w:after="0"/>
              <w:rPr>
                <w:sz w:val="22"/>
                <w:szCs w:val="22"/>
                <w:color w:val="auto"/>
              </w:rPr>
            </w:pPr>
          </w:p>
        </w:tc>
        <w:tc>
          <w:tcPr>
            <w:tcW w:w="1004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Amended and Restated Certificate of Incorporation of Flywire Corporation</w:t>
              </w:r>
            </w:hyperlink>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24"/>
                <w:szCs w:val="24"/>
                <w:color w:val="auto"/>
              </w:rPr>
            </w:pPr>
          </w:p>
        </w:tc>
        <w:tc>
          <w:tcPr>
            <w:tcW w:w="5400" w:type="dxa"/>
            <w:vAlign w:val="bottom"/>
            <w:tcBorders>
              <w:top w:val="single" w:sz="8" w:color="0000EE"/>
            </w:tcBorders>
            <w:gridSpan w:val="2"/>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Amended and Restated Bylaws of Flywire Corporation</w:t>
              </w:r>
            </w:hyperlink>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96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4"/>
          </w:cols>
          <w:pgMar w:left="436" w:top="270" w:right="439" w:bottom="1440" w:gutter="0" w:footer="0" w:header="0"/>
        </w:sectPr>
      </w:pPr>
    </w:p>
    <w:bookmarkStart w:id="2" w:name="page3"/>
    <w:bookmarkEnd w:id="2"/>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June 1,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Flywire Corporation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Michael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Michael Massaro</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0660"/>
          </w:cols>
          <w:pgMar w:left="440" w:top="270" w:right="7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Flywire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163195</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Flywire Corporation, a corporation organized and existing under the laws of the State of Delaware, hereby certifies as follows:</w:t>
      </w:r>
    </w:p>
    <w:p>
      <w:pPr>
        <w:spacing w:after="0" w:line="225" w:lineRule="exact"/>
        <w:rPr>
          <w:sz w:val="20"/>
          <w:szCs w:val="20"/>
          <w:color w:val="auto"/>
        </w:rPr>
      </w:pPr>
    </w:p>
    <w:p>
      <w:pPr>
        <w:ind w:right="160" w:firstLine="436"/>
        <w:spacing w:after="0" w:line="277"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name of the corporation is Flywire Corporation, and that this corporation was originally incorporated pursuant to the General Corporation Law on July 31, 2009 under the name peerTransfer Corporation.</w:t>
      </w:r>
    </w:p>
    <w:p>
      <w:pPr>
        <w:spacing w:after="0" w:line="170" w:lineRule="exact"/>
        <w:rPr>
          <w:rFonts w:ascii="Arial" w:cs="Arial" w:eastAsia="Arial" w:hAnsi="Arial"/>
          <w:sz w:val="18"/>
          <w:szCs w:val="18"/>
          <w:color w:val="auto"/>
        </w:rPr>
      </w:pPr>
    </w:p>
    <w:p>
      <w:pPr>
        <w:ind w:right="100" w:firstLine="436"/>
        <w:spacing w:after="0" w:line="259"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Amended and Restated Certificate of Incorporation, which restates, integrates and further amends the certificate of incorporation of the corporation, has been duly adopted by the corporation in accordance with Sections 242 and 245 of the General Corporation Law of the State of Delaware and has been adopted by the requisite vote of the stockholders of the corporation, acting by written consent in lieu of a meeting in accordance with Section 228 of the General Corporation Law of the State of Delaware.</w:t>
      </w:r>
    </w:p>
    <w:p>
      <w:pPr>
        <w:spacing w:after="0" w:line="186" w:lineRule="exact"/>
        <w:rPr>
          <w:rFonts w:ascii="Arial" w:cs="Arial" w:eastAsia="Arial" w:hAnsi="Arial"/>
          <w:sz w:val="18"/>
          <w:szCs w:val="18"/>
          <w:color w:val="auto"/>
        </w:rPr>
      </w:pPr>
    </w:p>
    <w:p>
      <w:pPr>
        <w:ind w:left="620" w:hanging="184"/>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certificate of incorporation of the corporation is hereby amended and restated in its entirety to read as follows: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The name of the corporation is Flywire Corporation (hereinafter called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225" w:lineRule="exact"/>
        <w:rPr>
          <w:sz w:val="20"/>
          <w:szCs w:val="20"/>
          <w:color w:val="auto"/>
        </w:rPr>
      </w:pPr>
    </w:p>
    <w:p>
      <w:pPr>
        <w:ind w:right="280" w:firstLine="440"/>
        <w:spacing w:after="0" w:line="312" w:lineRule="auto"/>
        <w:rPr>
          <w:sz w:val="20"/>
          <w:szCs w:val="20"/>
          <w:color w:val="auto"/>
        </w:rPr>
      </w:pPr>
      <w:r>
        <w:rPr>
          <w:rFonts w:ascii="Arial" w:cs="Arial" w:eastAsia="Arial" w:hAnsi="Arial"/>
          <w:sz w:val="17"/>
          <w:szCs w:val="17"/>
          <w:b w:val="1"/>
          <w:bCs w:val="1"/>
          <w:color w:val="auto"/>
        </w:rPr>
        <w:t>SECOND</w:t>
      </w:r>
      <w:r>
        <w:rPr>
          <w:rFonts w:ascii="Arial" w:cs="Arial" w:eastAsia="Arial" w:hAnsi="Arial"/>
          <w:sz w:val="17"/>
          <w:szCs w:val="17"/>
          <w:color w:val="auto"/>
        </w:rPr>
        <w:t>: The address of the registered office of the Corporation in the State of Delaware is 251 Little Falls Drive, in the City of Wilmington,</w:t>
      </w:r>
      <w:r>
        <w:rPr>
          <w:rFonts w:ascii="Arial" w:cs="Arial" w:eastAsia="Arial" w:hAnsi="Arial"/>
          <w:sz w:val="17"/>
          <w:szCs w:val="17"/>
          <w:b w:val="1"/>
          <w:bCs w:val="1"/>
          <w:color w:val="auto"/>
        </w:rPr>
        <w:t xml:space="preserve"> </w:t>
      </w:r>
      <w:r>
        <w:rPr>
          <w:rFonts w:ascii="Arial" w:cs="Arial" w:eastAsia="Arial" w:hAnsi="Arial"/>
          <w:sz w:val="17"/>
          <w:szCs w:val="17"/>
          <w:color w:val="auto"/>
        </w:rPr>
        <w:t>County of New Castle, Delaware 19808. The name of its registered agent at such address is Corporation Service Company.</w:t>
      </w:r>
    </w:p>
    <w:p>
      <w:pPr>
        <w:spacing w:after="0" w:line="140"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The purpose of the Corporation is to engage in any lawful act or activity for which corporations may be organized and 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General Corporation Law of the State of Delaware or any applicable successor act thereto, as the same may be amended from time to time (the “</w:t>
      </w:r>
      <w:r>
        <w:rPr>
          <w:rFonts w:ascii="Arial" w:cs="Arial" w:eastAsia="Arial" w:hAnsi="Arial"/>
          <w:sz w:val="18"/>
          <w:szCs w:val="18"/>
          <w:b w:val="1"/>
          <w:bCs w:val="1"/>
          <w:color w:val="auto"/>
        </w:rPr>
        <w:t>DGCL</w:t>
      </w:r>
      <w:r>
        <w:rPr>
          <w:rFonts w:ascii="Arial" w:cs="Arial" w:eastAsia="Arial" w:hAnsi="Arial"/>
          <w:sz w:val="18"/>
          <w:szCs w:val="18"/>
          <w:color w:val="auto"/>
        </w:rPr>
        <w:t>”).</w:t>
      </w:r>
    </w:p>
    <w:p>
      <w:pPr>
        <w:spacing w:after="0" w:line="176"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b w:val="1"/>
          <w:bCs w:val="1"/>
          <w:color w:val="auto"/>
        </w:rPr>
        <w:t>FOURTH</w:t>
      </w:r>
      <w:r>
        <w:rPr>
          <w:rFonts w:ascii="Arial" w:cs="Arial" w:eastAsia="Arial" w:hAnsi="Arial"/>
          <w:sz w:val="17"/>
          <w:szCs w:val="17"/>
          <w:color w:val="auto"/>
        </w:rPr>
        <w:t>: The total number of shares of all classes of capital stock that the Corporation is authorized to issue is 2,020,000,000 shares, consisting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(i) 2,000,000,000 shares of voting common stock, par value $0.0001 per share (the “Voting </w:t>
      </w:r>
      <w:r>
        <w:rPr>
          <w:rFonts w:ascii="Arial" w:cs="Arial" w:eastAsia="Arial" w:hAnsi="Arial"/>
          <w:sz w:val="17"/>
          <w:szCs w:val="17"/>
          <w:b w:val="1"/>
          <w:bCs w:val="1"/>
          <w:color w:val="auto"/>
        </w:rPr>
        <w:t>Common Stock</w:t>
      </w:r>
      <w:r>
        <w:rPr>
          <w:rFonts w:ascii="Arial" w:cs="Arial" w:eastAsia="Arial" w:hAnsi="Arial"/>
          <w:sz w:val="17"/>
          <w:szCs w:val="17"/>
          <w:color w:val="auto"/>
        </w:rPr>
        <w:t>”), (ii) 10,000,000 shares of non-voting common stock, par value $0.0001 per share (the “</w:t>
      </w:r>
      <w:r>
        <w:rPr>
          <w:rFonts w:ascii="Arial" w:cs="Arial" w:eastAsia="Arial" w:hAnsi="Arial"/>
          <w:sz w:val="17"/>
          <w:szCs w:val="17"/>
          <w:b w:val="1"/>
          <w:bCs w:val="1"/>
          <w:color w:val="auto"/>
        </w:rPr>
        <w:t>Non-Voting Common Stock</w:t>
      </w:r>
      <w:r>
        <w:rPr>
          <w:rFonts w:ascii="Arial" w:cs="Arial" w:eastAsia="Arial" w:hAnsi="Arial"/>
          <w:sz w:val="17"/>
          <w:szCs w:val="17"/>
          <w:color w:val="auto"/>
        </w:rPr>
        <w:t>” and together with the Voting Common Stock, the “</w:t>
      </w:r>
      <w:r>
        <w:rPr>
          <w:rFonts w:ascii="Arial" w:cs="Arial" w:eastAsia="Arial" w:hAnsi="Arial"/>
          <w:sz w:val="17"/>
          <w:szCs w:val="17"/>
          <w:b w:val="1"/>
          <w:bCs w:val="1"/>
          <w:color w:val="auto"/>
        </w:rPr>
        <w:t>Common Stock</w:t>
      </w:r>
      <w:r>
        <w:rPr>
          <w:rFonts w:ascii="Arial" w:cs="Arial" w:eastAsia="Arial" w:hAnsi="Arial"/>
          <w:sz w:val="17"/>
          <w:szCs w:val="17"/>
          <w:color w:val="auto"/>
        </w:rPr>
        <w:t>”) and (iii) 10,000,000 shares of preferred stock, par value $0.0001 per share (“</w:t>
      </w:r>
      <w:r>
        <w:rPr>
          <w:rFonts w:ascii="Arial" w:cs="Arial" w:eastAsia="Arial" w:hAnsi="Arial"/>
          <w:sz w:val="17"/>
          <w:szCs w:val="17"/>
          <w:b w:val="1"/>
          <w:bCs w:val="1"/>
          <w:color w:val="auto"/>
        </w:rPr>
        <w:t>Preferred Stock</w:t>
      </w:r>
      <w:r>
        <w:rPr>
          <w:rFonts w:ascii="Arial" w:cs="Arial" w:eastAsia="Arial" w:hAnsi="Arial"/>
          <w:sz w:val="17"/>
          <w:szCs w:val="17"/>
          <w:color w:val="auto"/>
        </w:rPr>
        <w:t>”). Subject to the rights of the holders of any series of Preferred Stock, the number of authorized shares of any of the Common Stock or Preferred Stock may be increased or decreased (but not below the number of shares thereof then outstanding) by the affirmative vote of the holders of a majority in voting power of the capital stock of the Corporation entitled to vote thereon irrespective of the provisions of Section 242(b)(2) of the DGCL, and no vote of the holders of any of the Common Stock or Preferred Stock voting separately as a class shall be required therefor.</w:t>
      </w:r>
    </w:p>
    <w:p>
      <w:pPr>
        <w:sectPr>
          <w:pgSz w:w="11900" w:h="16838" w:orient="portrait"/>
          <w:cols w:equalWidth="0" w:num="1">
            <w:col w:w="11020"/>
          </w:cols>
          <w:pgMar w:left="440" w:top="121" w:right="439" w:bottom="1440" w:gutter="0" w:footer="0" w:header="0"/>
        </w:sectPr>
      </w:pPr>
    </w:p>
    <w:bookmarkStart w:id="4" w:name="page5"/>
    <w:bookmarkEnd w:id="4"/>
    <w:p>
      <w:pPr>
        <w:ind w:right="4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w:t>
      </w:r>
      <w:r>
        <w:rPr>
          <w:rFonts w:ascii="Arial" w:cs="Arial" w:eastAsia="Arial" w:hAnsi="Arial"/>
          <w:sz w:val="18"/>
          <w:szCs w:val="18"/>
          <w:u w:val="single" w:color="auto"/>
          <w:color w:val="auto"/>
        </w:rPr>
        <w:t>Common Stock</w:t>
      </w:r>
      <w:r>
        <w:rPr>
          <w:rFonts w:ascii="Arial" w:cs="Arial" w:eastAsia="Arial" w:hAnsi="Arial"/>
          <w:sz w:val="18"/>
          <w:szCs w:val="18"/>
          <w:color w:val="auto"/>
        </w:rPr>
        <w:t>. The powers, preferences and relative participating, optional or other special rights, and the qualifications, limitations and restrictions of the Common Stock are as follows:</w:t>
      </w:r>
    </w:p>
    <w:p>
      <w:pPr>
        <w:spacing w:after="0" w:line="170" w:lineRule="exact"/>
        <w:rPr>
          <w:sz w:val="20"/>
          <w:szCs w:val="20"/>
          <w:color w:val="auto"/>
        </w:rPr>
      </w:pPr>
    </w:p>
    <w:p>
      <w:pPr>
        <w:ind w:right="140" w:firstLine="987"/>
        <w:spacing w:after="0" w:line="263" w:lineRule="auto"/>
        <w:tabs>
          <w:tab w:leader="none" w:pos="1171"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Ranking</w:t>
      </w:r>
      <w:r>
        <w:rPr>
          <w:rFonts w:ascii="Arial" w:cs="Arial" w:eastAsia="Arial" w:hAnsi="Arial"/>
          <w:sz w:val="18"/>
          <w:szCs w:val="18"/>
          <w:color w:val="auto"/>
        </w:rPr>
        <w:t>. The voting, dividend and liquidation rights of the holders of the Common Stock are subject to and qualified by the rights of the holders of the Preferred Stock of any series as may be designated by the Board of Directors of the Corporation (the “</w:t>
      </w:r>
      <w:r>
        <w:rPr>
          <w:rFonts w:ascii="Arial" w:cs="Arial" w:eastAsia="Arial" w:hAnsi="Arial"/>
          <w:sz w:val="18"/>
          <w:szCs w:val="18"/>
          <w:b w:val="1"/>
          <w:bCs w:val="1"/>
          <w:color w:val="auto"/>
        </w:rPr>
        <w:t>Board</w:t>
      </w:r>
      <w:r>
        <w:rPr>
          <w:rFonts w:ascii="Arial" w:cs="Arial" w:eastAsia="Arial" w:hAnsi="Arial"/>
          <w:sz w:val="18"/>
          <w:szCs w:val="18"/>
          <w:color w:val="auto"/>
        </w:rPr>
        <w:t>”) upon any issuance of the Preferred Stock of any series.</w:t>
      </w:r>
    </w:p>
    <w:p>
      <w:pPr>
        <w:spacing w:after="0" w:line="183" w:lineRule="exact"/>
        <w:rPr>
          <w:rFonts w:ascii="Arial" w:cs="Arial" w:eastAsia="Arial" w:hAnsi="Arial"/>
          <w:sz w:val="18"/>
          <w:szCs w:val="18"/>
          <w:color w:val="auto"/>
        </w:rPr>
      </w:pPr>
    </w:p>
    <w:p>
      <w:pPr>
        <w:ind w:firstLine="987"/>
        <w:spacing w:after="0" w:line="270" w:lineRule="auto"/>
        <w:tabs>
          <w:tab w:leader="none" w:pos="1171"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Voting</w:t>
      </w:r>
      <w:r>
        <w:rPr>
          <w:rFonts w:ascii="Arial" w:cs="Arial" w:eastAsia="Arial" w:hAnsi="Arial"/>
          <w:sz w:val="17"/>
          <w:szCs w:val="17"/>
          <w:color w:val="auto"/>
        </w:rPr>
        <w:t>. Except as otherwise provided by law or by this Amended and Restated Certificate of Incorporation (as amended from time to time, including the terms of any Preferred Stock Designation (as defined below), this “</w:t>
      </w:r>
      <w:r>
        <w:rPr>
          <w:rFonts w:ascii="Arial" w:cs="Arial" w:eastAsia="Arial" w:hAnsi="Arial"/>
          <w:sz w:val="17"/>
          <w:szCs w:val="17"/>
          <w:b w:val="1"/>
          <w:bCs w:val="1"/>
          <w:color w:val="auto"/>
        </w:rPr>
        <w:t>Certificate of Incorporation</w:t>
      </w:r>
      <w:r>
        <w:rPr>
          <w:rFonts w:ascii="Arial" w:cs="Arial" w:eastAsia="Arial" w:hAnsi="Arial"/>
          <w:sz w:val="17"/>
          <w:szCs w:val="17"/>
          <w:color w:val="auto"/>
        </w:rPr>
        <w:t>”), the holders of outstanding shares of Voting Common Stock shall have the exclusive right to vote for the election and removal of directors and for all other purposes. Each outstanding share of Voting Common Stock shall entitle the holder thereof to one vote on each matter properly submitted to the stockholders of the Corporation for their vote. The shares of Non-Voting Common Stock shall not be entitled to vote on any matter except as required by the DGCL. Notwithstanding any other provision of this Certificate of Incorporation to the contrary, the holders of Common Stock shall not be entitled to vote on any amendment to this Certificate of Incorporation that relates solely to the terms of one or more outstanding series of Preferred Stock if the holders of such affected series are entitled, either separately or together as a class with the holders of one or more other such series, to vote thereon pursuant to this Certificate of Incorporation or the DGCL.</w:t>
      </w:r>
    </w:p>
    <w:p>
      <w:pPr>
        <w:spacing w:after="0" w:line="180" w:lineRule="exact"/>
        <w:rPr>
          <w:rFonts w:ascii="Arial" w:cs="Arial" w:eastAsia="Arial" w:hAnsi="Arial"/>
          <w:sz w:val="17"/>
          <w:szCs w:val="17"/>
          <w:color w:val="auto"/>
        </w:rPr>
      </w:pPr>
    </w:p>
    <w:p>
      <w:pPr>
        <w:jc w:val="both"/>
        <w:ind w:right="20" w:firstLine="987"/>
        <w:spacing w:after="0" w:line="286" w:lineRule="auto"/>
        <w:tabs>
          <w:tab w:leader="none" w:pos="1171"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Dividends</w:t>
      </w:r>
      <w:r>
        <w:rPr>
          <w:rFonts w:ascii="Arial" w:cs="Arial" w:eastAsia="Arial" w:hAnsi="Arial"/>
          <w:sz w:val="17"/>
          <w:szCs w:val="17"/>
          <w:color w:val="auto"/>
        </w:rPr>
        <w:t>. Subject to the rights of the holders of one or more outstanding series of Preferred Stock, holders of shares of Common Stock shall be entitled to receive such dividends and distributions and other distributions in cash, stock or property of the Corporation when, as and if declared thereon by the Board from time to time out of assets or funds of the Corporation legally available therefor.</w:t>
      </w:r>
    </w:p>
    <w:p>
      <w:pPr>
        <w:spacing w:after="0" w:line="165" w:lineRule="exact"/>
        <w:rPr>
          <w:rFonts w:ascii="Arial" w:cs="Arial" w:eastAsia="Arial" w:hAnsi="Arial"/>
          <w:sz w:val="17"/>
          <w:szCs w:val="17"/>
          <w:color w:val="auto"/>
        </w:rPr>
      </w:pPr>
    </w:p>
    <w:p>
      <w:pPr>
        <w:ind w:right="60" w:firstLine="987"/>
        <w:spacing w:after="0" w:line="275" w:lineRule="auto"/>
        <w:tabs>
          <w:tab w:leader="none" w:pos="1171"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Liquidation</w:t>
      </w:r>
      <w:r>
        <w:rPr>
          <w:rFonts w:ascii="Arial" w:cs="Arial" w:eastAsia="Arial" w:hAnsi="Arial"/>
          <w:sz w:val="17"/>
          <w:szCs w:val="17"/>
          <w:color w:val="auto"/>
        </w:rPr>
        <w:t>. Subject to the rights of the holders of one or more outstanding series of Preferred Stock, shares of Common Stock shall be entitled to receive the assets and funds of the Corporation available for distribution in the event of any liquidation, dissolution or winding up of the affairs of the Corporation, whether voluntary or involuntary. A liquidation, dissolution or winding up of the affairs of the Corporation, as such terms are used in this Section A(4), shall not be deemed to be occasioned by or to include any consolidation or merger of the Corporation with or into any other person or a sale, lease, exchange, exclusive license, conveyance or other disposition of all or any part of its assets.</w:t>
      </w:r>
    </w:p>
    <w:p>
      <w:pPr>
        <w:spacing w:after="0" w:line="176" w:lineRule="exact"/>
        <w:rPr>
          <w:rFonts w:ascii="Arial" w:cs="Arial" w:eastAsia="Arial" w:hAnsi="Arial"/>
          <w:sz w:val="17"/>
          <w:szCs w:val="17"/>
          <w:color w:val="auto"/>
        </w:rPr>
      </w:pPr>
    </w:p>
    <w:p>
      <w:pPr>
        <w:ind w:left="1160" w:hanging="173"/>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Mandatory Conversion of Non-Voting Common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428"/>
        <w:spacing w:after="0" w:line="254" w:lineRule="auto"/>
        <w:tabs>
          <w:tab w:leader="none" w:pos="1677"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Each share of Non-Voting Common Stock shall be automatically converted without the payment of any additional consideration into fully paid shares of Voting Common Stock at the rate of one-to-one (subject to equitable adjustment in the event of any stock split, recapitalization, dividend or the like) upon the transfer thereof in a Widely Dispersed Offering. For the purposes of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Part A, </w:t>
      </w:r>
      <w:r>
        <w:rPr>
          <w:rFonts w:ascii="Arial" w:cs="Arial" w:eastAsia="Arial" w:hAnsi="Arial"/>
          <w:sz w:val="18"/>
          <w:szCs w:val="18"/>
          <w:u w:val="single" w:color="auto"/>
          <w:color w:val="auto"/>
        </w:rPr>
        <w:t>Section 5</w:t>
      </w:r>
      <w:r>
        <w:rPr>
          <w:rFonts w:ascii="Arial" w:cs="Arial" w:eastAsia="Arial" w:hAnsi="Arial"/>
          <w:sz w:val="18"/>
          <w:szCs w:val="18"/>
          <w:color w:val="auto"/>
        </w:rPr>
        <w:t>, a “</w:t>
      </w:r>
      <w:r>
        <w:rPr>
          <w:rFonts w:ascii="Arial" w:cs="Arial" w:eastAsia="Arial" w:hAnsi="Arial"/>
          <w:sz w:val="18"/>
          <w:szCs w:val="18"/>
          <w:b w:val="1"/>
          <w:bCs w:val="1"/>
          <w:i w:val="1"/>
          <w:iCs w:val="1"/>
          <w:color w:val="auto"/>
        </w:rPr>
        <w:t>Widely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Dispersed Offering</w:t>
      </w:r>
      <w:r>
        <w:rPr>
          <w:rFonts w:ascii="Arial" w:cs="Arial" w:eastAsia="Arial" w:hAnsi="Arial"/>
          <w:sz w:val="18"/>
          <w:szCs w:val="18"/>
          <w:color w:val="auto"/>
        </w:rPr>
        <w:t>” means (i) a widespread public distribution, including pursuant to Securities and Exchange Commission Rule 144, (ii) a transfer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a private placement or a sale pursuant to Securities and Exchange Commission Rule 144) in which no one party acquires the right to purchase 2% or more of any class of voting securities (as such term is used for the purposes of the Bank Holding Company Act of 1956, as amended (“</w:t>
      </w:r>
      <w:r>
        <w:rPr>
          <w:rFonts w:ascii="Arial" w:cs="Arial" w:eastAsia="Arial" w:hAnsi="Arial"/>
          <w:sz w:val="18"/>
          <w:szCs w:val="18"/>
          <w:b w:val="1"/>
          <w:bCs w:val="1"/>
          <w:i w:val="1"/>
          <w:iCs w:val="1"/>
          <w:color w:val="auto"/>
        </w:rPr>
        <w:t>BHC</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(iii) an assignment to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5197475</wp:posOffset>
            </wp:positionH>
            <wp:positionV relativeFrom="paragraph">
              <wp:posOffset>-578485</wp:posOffset>
            </wp:positionV>
            <wp:extent cx="3238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850" cy="8255"/>
                    </a:xfrm>
                    <a:prstGeom prst="rect">
                      <a:avLst/>
                    </a:prstGeom>
                    <a:noFill/>
                  </pic:spPr>
                </pic:pic>
              </a:graphicData>
            </a:graphic>
          </wp:anchor>
        </w:drawing>
      </w:r>
    </w:p>
    <w:p>
      <w:pPr>
        <w:sectPr>
          <w:pgSz w:w="11900" w:h="16838" w:orient="portrait"/>
          <w:cols w:equalWidth="0" w:num="1">
            <w:col w:w="10980"/>
          </w:cols>
          <w:pgMar w:left="440" w:top="274" w:right="479" w:bottom="1440" w:gutter="0" w:footer="0" w:header="0"/>
        </w:sectPr>
      </w:pPr>
    </w:p>
    <w:bookmarkStart w:id="5" w:name="page6"/>
    <w:bookmarkEnd w:id="5"/>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single party (for example, a broker or investment banker) for the purposes of conducting a widespread public distribution, or (iv) to a party who would control more than 50% of the voting securities of the Corporation without giving effect to the shares of Non-Voting Common Stock transferred by the holder. Other than in the event of a Widely Dispersed Offering, shares of Non-Voting Common Stock shall not be convertible into any other security of the Corporation.</w:t>
      </w:r>
    </w:p>
    <w:p>
      <w:pPr>
        <w:spacing w:after="0" w:line="187" w:lineRule="exact"/>
        <w:rPr>
          <w:sz w:val="20"/>
          <w:szCs w:val="20"/>
          <w:color w:val="auto"/>
        </w:rPr>
      </w:pPr>
    </w:p>
    <w:p>
      <w:pPr>
        <w:ind w:firstLine="1428"/>
        <w:spacing w:after="0" w:line="285" w:lineRule="auto"/>
        <w:tabs>
          <w:tab w:leader="none" w:pos="1687"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order for a holder of Non-Voting Common Stock to convert shares of Non-Voting Common Stock into shares of Voting Common Stock in connection with a Widely Dispersed Offering, such holder shall surrender the certificate or certificates for such shares of Non-Voting Common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Non-Voting Common Stock (or at the principal office of the Corporation if the Corporation serves as its own transfer agent), together with written notice that such holder elects to convert all or any number of the shares of the Non-Voting Common Stock represented by such certificate or certificates and, if applicable, any event on which such conversion is contingent. Such notice shall state such holder’s name or the names of the nominees in which such holder wishes the certificate or certificates for shares of Voting Common Stock to be issued. If required by the Corporation, certificates surrendered for conversion shall be endorsed or accompanied by a written instrument or instruments of transfer, in form reasonably satisfactory to the Corporation, duly executed by the registered holder or his, her or its attorney duly authorized in writing. The close of business on the date of receipt by the transfer agent (or by the Corporation if the Corporation serves as its own transfer agent) of such certificates (or lost certificate affidavit and agreement) and notice shall be the time of conversion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Conversion Time</w:t>
      </w:r>
      <w:r>
        <w:rPr>
          <w:rFonts w:ascii="Arial" w:cs="Arial" w:eastAsia="Arial" w:hAnsi="Arial"/>
          <w:sz w:val="16"/>
          <w:szCs w:val="16"/>
          <w:color w:val="auto"/>
        </w:rPr>
        <w:t>”), and the shares of Voting Common Stock issuable upon conversion of the shares represented by such certificate shall be deemed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outstanding of record as of such date. The Corporation shall, as soon as practicable after the Common Stock Conversion Time, issue and deliver to such holder of Non-Voting Common Stock, or to his, her or its nominees, a certificate or certificates for the number of full shares of Voting Common Stock issuable upon such conversion in accordance with the provisions hereof and a certificate for the number (if any) of the shares of Non-Voting Common Stock represented by the surrendered certificate that were not converted into Voting Common Stock.</w:t>
      </w:r>
    </w:p>
    <w:p>
      <w:pPr>
        <w:spacing w:after="0" w:line="173" w:lineRule="exact"/>
        <w:rPr>
          <w:rFonts w:ascii="Arial" w:cs="Arial" w:eastAsia="Arial" w:hAnsi="Arial"/>
          <w:sz w:val="16"/>
          <w:szCs w:val="16"/>
          <w:color w:val="auto"/>
        </w:rPr>
      </w:pPr>
    </w:p>
    <w:p>
      <w:pPr>
        <w:ind w:right="40" w:firstLine="1428"/>
        <w:spacing w:after="0" w:line="291" w:lineRule="auto"/>
        <w:tabs>
          <w:tab w:leader="none" w:pos="1677"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Reservation of Shares</w:t>
      </w:r>
      <w:r>
        <w:rPr>
          <w:rFonts w:ascii="Arial" w:cs="Arial" w:eastAsia="Arial" w:hAnsi="Arial"/>
          <w:sz w:val="16"/>
          <w:szCs w:val="16"/>
          <w:color w:val="auto"/>
        </w:rPr>
        <w:t>. The Corporation shall at all times when the Non-Voting Common Stock shall be outstanding, reserve and keep available out of its authorized but unissued capital stock, for the purpose of effecting the conversion of the Non-Voting Common Stock, such number of its duly authorized shares of Voting Common Stock as shall from time to time be sufficient to effect the conversion of all outstanding Non-Voting Common Stock; and if at any time the number of authorized but unissued shares of Voting Common Stock shall not be sufficient to effect the conversion of all then outstanding shares of the Non-Voting Common Stock, the Corporation shall take such corporate action as may be necessary to increase its authorized but unissued shares of Voting Common Stock to such number of shares as shall be sufficient for such purposes, including, without limitation, engaging in best efforts to obtain the requisite stockholder approval of any necessary amendment to this Certificate.</w:t>
      </w:r>
    </w:p>
    <w:p>
      <w:pPr>
        <w:sectPr>
          <w:pgSz w:w="11900" w:h="16838" w:orient="portrait"/>
          <w:cols w:equalWidth="0" w:num="1">
            <w:col w:w="11000"/>
          </w:cols>
          <w:pgMar w:left="440" w:top="274" w:right="459" w:bottom="1440" w:gutter="0" w:footer="0" w:header="0"/>
        </w:sectPr>
      </w:pPr>
    </w:p>
    <w:bookmarkStart w:id="6" w:name="page7"/>
    <w:bookmarkEnd w:id="6"/>
    <w:p>
      <w:pPr>
        <w:ind w:left="1160" w:hanging="173"/>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Relative Rights of Voting Common Stock and Non-Voting Common Stock</w:t>
      </w:r>
      <w:r>
        <w:rPr>
          <w:rFonts w:ascii="Arial" w:cs="Arial" w:eastAsia="Arial" w:hAnsi="Arial"/>
          <w:sz w:val="18"/>
          <w:szCs w:val="18"/>
          <w:color w:val="auto"/>
        </w:rPr>
        <w:t xml:space="preserve">. Except as expressly provided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w:t>
      </w:r>
    </w:p>
    <w:p>
      <w:pPr>
        <w:spacing w:after="0" w:line="2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u w:val="single" w:color="auto"/>
          <w:color w:val="auto"/>
        </w:rPr>
        <w:t>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above with respect to voting powers, the Voting Common Stock and the Non-Voting Common Stock shall be identical in all respects and shall be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one another, and share ratably on a per share basis in respect of, the payment of dividends and the distribution of assets on the liquidation, dissolution or winding up of the Corporation made in respect of the Common Stock. In furtherance of the foregoing, the Corporation shall not, whether by merger, consolidation, amendment to this Certificate, operation of law or otherwise, effect any stock split, recapitalization or similar adjustment to either the Voting Common Stock or Non-Voting Common Stock unless simultaneously in connection therewith the Corporation effects an identical stock split, recapitalization or similar adjustment to the other Non-Voting Common Stock or Voting Common Stock, respectively.</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Preferred Stock</w:t>
      </w:r>
    </w:p>
    <w:p>
      <w:pPr>
        <w:spacing w:after="0" w:line="22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Shares of Preferred Stock may be issued from time to time in one or more series. The Board is hereby authorized to provide by resolution or resolutions from time to time for the issuance, out of the authorized but unissued shares of Preferred Stock, of one or more series of Preferred Stock, without stockholder approval (except as otherwise expressly required by this Certificate of Incorporation), by filing a certificate of designation pursuant to the applicable law of the State of Delaware (any such certificate, a “</w:t>
      </w:r>
      <w:r>
        <w:rPr>
          <w:rFonts w:ascii="Arial" w:cs="Arial" w:eastAsia="Arial" w:hAnsi="Arial"/>
          <w:sz w:val="17"/>
          <w:szCs w:val="17"/>
          <w:b w:val="1"/>
          <w:bCs w:val="1"/>
          <w:color w:val="auto"/>
        </w:rPr>
        <w:t>Preferred Stock Designation</w:t>
      </w:r>
      <w:r>
        <w:rPr>
          <w:rFonts w:ascii="Arial" w:cs="Arial" w:eastAsia="Arial" w:hAnsi="Arial"/>
          <w:sz w:val="17"/>
          <w:szCs w:val="17"/>
          <w:color w:val="auto"/>
        </w:rPr>
        <w:t>”), setting forth such resolution and, with respect to each such series, establishing the number of shares to be included in such series, and fixing the voting powers, full or limited, or no voting power of the shares of such series, and the designation, preferences and relative, participating, optional or other special rights, and the qualifications, limitations or restrictions thereof, of the shares of each such series. The powers, designation, preferences and relative, participating, optional and other special rights, and the qualifications, limitations and restrictions thereof, of each series of Preferred Stock may differ from those of any and all other series at any time outstanding. The authority of the Board with respect to each series of Preferred Stock shall include, but not be limited to, the determination of the following:</w:t>
      </w:r>
    </w:p>
    <w:p>
      <w:pPr>
        <w:spacing w:after="0" w:line="185" w:lineRule="exact"/>
        <w:rPr>
          <w:sz w:val="20"/>
          <w:szCs w:val="20"/>
          <w:color w:val="auto"/>
        </w:rPr>
      </w:pPr>
    </w:p>
    <w:p>
      <w:pPr>
        <w:ind w:left="1680" w:hanging="252"/>
        <w:spacing w:after="0"/>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designation of the series, which may be by distinguishing number, letter or title;</w:t>
      </w:r>
    </w:p>
    <w:p>
      <w:pPr>
        <w:spacing w:after="0" w:line="225" w:lineRule="exact"/>
        <w:rPr>
          <w:rFonts w:ascii="Arial" w:cs="Arial" w:eastAsia="Arial" w:hAnsi="Arial"/>
          <w:sz w:val="18"/>
          <w:szCs w:val="18"/>
          <w:color w:val="auto"/>
        </w:rPr>
      </w:pPr>
    </w:p>
    <w:p>
      <w:pPr>
        <w:ind w:right="260" w:firstLine="1428"/>
        <w:spacing w:after="0" w:line="342" w:lineRule="auto"/>
        <w:tabs>
          <w:tab w:leader="none" w:pos="168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number of shares of the series, which number the Board may thereafter increase or decrease (but not below the number of shares thereof then outstanding) without any vote of stockholders (except as otherwise expressly required by this Certificate of Incorporation);</w:t>
      </w:r>
    </w:p>
    <w:p>
      <w:pPr>
        <w:spacing w:after="0" w:line="123" w:lineRule="exact"/>
        <w:rPr>
          <w:rFonts w:ascii="Arial" w:cs="Arial" w:eastAsia="Arial" w:hAnsi="Arial"/>
          <w:sz w:val="16"/>
          <w:szCs w:val="16"/>
          <w:color w:val="auto"/>
        </w:rPr>
      </w:pPr>
    </w:p>
    <w:p>
      <w:pPr>
        <w:ind w:right="500" w:firstLine="1428"/>
        <w:spacing w:after="0" w:line="277" w:lineRule="auto"/>
        <w:tabs>
          <w:tab w:leader="none" w:pos="167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amounts or rates at which dividends will be payable on, and the preferences, if any, of shares of the series in respect of dividends, and whether such dividends, if any, shall be cumulative or noncumulative;</w:t>
      </w:r>
    </w:p>
    <w:p>
      <w:pPr>
        <w:spacing w:after="0" w:line="170" w:lineRule="exact"/>
        <w:rPr>
          <w:rFonts w:ascii="Arial" w:cs="Arial" w:eastAsia="Arial" w:hAnsi="Arial"/>
          <w:sz w:val="18"/>
          <w:szCs w:val="18"/>
          <w:color w:val="auto"/>
        </w:rPr>
      </w:pPr>
    </w:p>
    <w:p>
      <w:pPr>
        <w:ind w:left="1680" w:hanging="252"/>
        <w:spacing w:after="0"/>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dates on which dividends, if any, shall be payable;</w:t>
      </w:r>
    </w:p>
    <w:p>
      <w:pPr>
        <w:spacing w:after="0" w:line="225" w:lineRule="exact"/>
        <w:rPr>
          <w:rFonts w:ascii="Arial" w:cs="Arial" w:eastAsia="Arial" w:hAnsi="Arial"/>
          <w:sz w:val="18"/>
          <w:szCs w:val="18"/>
          <w:color w:val="auto"/>
        </w:rPr>
      </w:pPr>
    </w:p>
    <w:p>
      <w:pPr>
        <w:ind w:left="1680" w:hanging="252"/>
        <w:spacing w:after="0"/>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w:t>
      </w:r>
    </w:p>
    <w:p>
      <w:pPr>
        <w:spacing w:after="0" w:line="225" w:lineRule="exact"/>
        <w:rPr>
          <w:rFonts w:ascii="Arial" w:cs="Arial" w:eastAsia="Arial" w:hAnsi="Arial"/>
          <w:sz w:val="18"/>
          <w:szCs w:val="18"/>
          <w:color w:val="auto"/>
        </w:rPr>
      </w:pPr>
    </w:p>
    <w:p>
      <w:pPr>
        <w:ind w:left="1660" w:hanging="232"/>
        <w:spacing w:after="0"/>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and amount of any sinking fund, if any, provided for the purchase or redemption of shares of the series;</w:t>
      </w:r>
    </w:p>
    <w:p>
      <w:pPr>
        <w:sectPr>
          <w:pgSz w:w="11900" w:h="16838" w:orient="portrait"/>
          <w:cols w:equalWidth="0" w:num="1">
            <w:col w:w="10960"/>
          </w:cols>
          <w:pgMar w:left="440" w:top="274" w:right="499" w:bottom="1440" w:gutter="0" w:footer="0" w:header="0"/>
        </w:sectPr>
      </w:pPr>
    </w:p>
    <w:bookmarkStart w:id="7" w:name="page8"/>
    <w:bookmarkEnd w:id="7"/>
    <w:p>
      <w:pPr>
        <w:ind w:right="780" w:firstLine="1428"/>
        <w:spacing w:after="0" w:line="277" w:lineRule="auto"/>
        <w:tabs>
          <w:tab w:leader="none" w:pos="1687"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amounts payable on, and the preferences, if any, of shares of the series in the event of any voluntary or involuntary liquidation, dissolution or winding up of the affairs of the Corporation;</w:t>
      </w:r>
    </w:p>
    <w:p>
      <w:pPr>
        <w:spacing w:after="0" w:line="170" w:lineRule="exact"/>
        <w:rPr>
          <w:rFonts w:ascii="Arial" w:cs="Arial" w:eastAsia="Arial" w:hAnsi="Arial"/>
          <w:sz w:val="18"/>
          <w:szCs w:val="18"/>
          <w:color w:val="auto"/>
        </w:rPr>
      </w:pPr>
    </w:p>
    <w:p>
      <w:pPr>
        <w:ind w:right="240" w:firstLine="1428"/>
        <w:spacing w:after="0" w:line="279" w:lineRule="auto"/>
        <w:tabs>
          <w:tab w:leader="none" w:pos="1687" w:val="left"/>
        </w:tabs>
        <w:numPr>
          <w:ilvl w:val="0"/>
          <w:numId w:val="8"/>
        </w:numPr>
        <w:rPr>
          <w:rFonts w:ascii="Arial" w:cs="Arial" w:eastAsia="Arial" w:hAnsi="Arial"/>
          <w:sz w:val="17"/>
          <w:szCs w:val="17"/>
          <w:color w:val="auto"/>
        </w:rPr>
      </w:pPr>
      <w:r>
        <w:rPr>
          <w:rFonts w:ascii="Arial" w:cs="Arial" w:eastAsia="Arial" w:hAnsi="Arial"/>
          <w:sz w:val="17"/>
          <w:szCs w:val="17"/>
          <w:color w:val="auto"/>
        </w:rPr>
        <w:t>whether the shares of the series shall be convertible into or exchangeable for, shares of any other class or series, or any other security, of the Corporation or any other corporation, and, if so, the specification of such other class or series or such other security, the conversion or exchange price or prices or rate or rates, any adjustments thereof, the date or dates at which such shares shall be convertible or exchangeable and all other terms and conditions upon which such conversion or exchange may be made;</w:t>
      </w:r>
    </w:p>
    <w:p>
      <w:pPr>
        <w:spacing w:after="0" w:line="171" w:lineRule="exact"/>
        <w:rPr>
          <w:rFonts w:ascii="Arial" w:cs="Arial" w:eastAsia="Arial" w:hAnsi="Arial"/>
          <w:sz w:val="17"/>
          <w:szCs w:val="17"/>
          <w:color w:val="auto"/>
        </w:rPr>
      </w:pPr>
    </w:p>
    <w:p>
      <w:pPr>
        <w:ind w:left="1640" w:hanging="212"/>
        <w:spacing w:after="0"/>
        <w:tabs>
          <w:tab w:leader="none" w:pos="1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the issuance or reissuance of shares of the same series or any other class or series;</w:t>
      </w:r>
    </w:p>
    <w:p>
      <w:pPr>
        <w:spacing w:after="0" w:line="225" w:lineRule="exact"/>
        <w:rPr>
          <w:rFonts w:ascii="Arial" w:cs="Arial" w:eastAsia="Arial" w:hAnsi="Arial"/>
          <w:sz w:val="18"/>
          <w:szCs w:val="18"/>
          <w:color w:val="auto"/>
        </w:rPr>
      </w:pPr>
    </w:p>
    <w:p>
      <w:pPr>
        <w:ind w:left="1640" w:hanging="212"/>
        <w:spacing w:after="0"/>
        <w:tabs>
          <w:tab w:leader="none" w:pos="1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voting rights, if any, of the holders of shares of the series generally or upon specified events; and</w:t>
      </w:r>
    </w:p>
    <w:p>
      <w:pPr>
        <w:spacing w:after="0" w:line="225" w:lineRule="exact"/>
        <w:rPr>
          <w:rFonts w:ascii="Arial" w:cs="Arial" w:eastAsia="Arial" w:hAnsi="Arial"/>
          <w:sz w:val="18"/>
          <w:szCs w:val="18"/>
          <w:color w:val="auto"/>
        </w:rPr>
      </w:pPr>
    </w:p>
    <w:p>
      <w:pPr>
        <w:ind w:right="260" w:firstLine="1428"/>
        <w:spacing w:after="0" w:line="277" w:lineRule="auto"/>
        <w:tabs>
          <w:tab w:leader="none" w:pos="1687"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powers, preferences and relative, participating, optional or other special rights, and the qualifications, limitations or restrictions thereof, of each series of 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all as may be determined from time to time by the Board and stated in the resolution or resolutions providing for the issuance of such Preferred Stock.</w:t>
      </w:r>
    </w:p>
    <w:p>
      <w:pPr>
        <w:spacing w:after="0" w:line="24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Without limiting the generality of the foregoing, subject to the rights of one or more series of Preferred Stock then outstanding, the resolutions providing for issuance of any series of Preferred Stock may provide that such series shall be superior or rank equally or be junior to any other series of Preferred Stock to the extent permitted by law.</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FIFTH</w:t>
      </w:r>
      <w:r>
        <w:rPr>
          <w:rFonts w:ascii="Arial" w:cs="Arial" w:eastAsia="Arial" w:hAnsi="Arial"/>
          <w:sz w:val="18"/>
          <w:szCs w:val="18"/>
          <w:color w:val="auto"/>
        </w:rPr>
        <w:t>: This Article FIFTH is inserted for the management of the business and for the conduct of the affairs of the Corporation.</w:t>
      </w:r>
    </w:p>
    <w:p>
      <w:pPr>
        <w:spacing w:after="0" w:line="229"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General Powers</w:t>
      </w:r>
      <w:r>
        <w:rPr>
          <w:rFonts w:ascii="Arial" w:cs="Arial" w:eastAsia="Arial" w:hAnsi="Arial"/>
          <w:sz w:val="18"/>
          <w:szCs w:val="18"/>
          <w:color w:val="auto"/>
        </w:rPr>
        <w:t>. The business and affairs of the Corporation shall be managed by or under the direction of the Board, except as otherwise provided by this Certificate of Incorporation or the DGCL.</w:t>
      </w:r>
    </w:p>
    <w:p>
      <w:pPr>
        <w:spacing w:after="0" w:line="170" w:lineRule="exact"/>
        <w:rPr>
          <w:sz w:val="20"/>
          <w:szCs w:val="20"/>
          <w:color w:val="auto"/>
        </w:rPr>
      </w:pPr>
    </w:p>
    <w:p>
      <w:pPr>
        <w:ind w:right="260" w:firstLine="440"/>
        <w:spacing w:after="0" w:line="301"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Number of Directors; Election of Directors</w:t>
      </w:r>
      <w:r>
        <w:rPr>
          <w:rFonts w:ascii="Arial" w:cs="Arial" w:eastAsia="Arial" w:hAnsi="Arial"/>
          <w:sz w:val="16"/>
          <w:szCs w:val="16"/>
          <w:color w:val="auto"/>
        </w:rPr>
        <w:t>. Subject to the rights of holders of any series of Preferred Stock to elect directors, the number of directors of the Corporation shall be fixed from time to time by resolution of the majority of the Whole Board. For purposes of this Certificate of Incorporation, the term “</w:t>
      </w:r>
      <w:r>
        <w:rPr>
          <w:rFonts w:ascii="Arial" w:cs="Arial" w:eastAsia="Arial" w:hAnsi="Arial"/>
          <w:sz w:val="16"/>
          <w:szCs w:val="16"/>
          <w:b w:val="1"/>
          <w:bCs w:val="1"/>
          <w:color w:val="auto"/>
        </w:rPr>
        <w:t>Whole Board</w:t>
      </w:r>
      <w:r>
        <w:rPr>
          <w:rFonts w:ascii="Arial" w:cs="Arial" w:eastAsia="Arial" w:hAnsi="Arial"/>
          <w:sz w:val="16"/>
          <w:szCs w:val="16"/>
          <w:color w:val="auto"/>
        </w:rPr>
        <w:t>” will mean the total number of authorized directors whether or not there exist any vacancies in previously authorized directorships. No decrease in the number of directors constituting the Board shall shorten the term of any incumbent director.</w:t>
      </w:r>
    </w:p>
    <w:p>
      <w:pPr>
        <w:spacing w:after="0" w:line="15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Classes of Directors</w:t>
      </w:r>
      <w:r>
        <w:rPr>
          <w:rFonts w:ascii="Arial" w:cs="Arial" w:eastAsia="Arial" w:hAnsi="Arial"/>
          <w:sz w:val="18"/>
          <w:szCs w:val="18"/>
          <w:color w:val="auto"/>
        </w:rPr>
        <w:t>. Subject to the special rights of holders of any series of Preferred Stock to elect directors, the Board shall be and is divided into three classes, designated Class I, Class II and Class III, and each class shall consist, as nearly as may be possible, of one third of the total number of directors so divided into classes. The Board is authorized to assign members of the Board already in office to Class I, Class II or Class III at the time such classification becomes effective.</w:t>
      </w:r>
    </w:p>
    <w:p>
      <w:pPr>
        <w:sectPr>
          <w:pgSz w:w="11900" w:h="16838" w:orient="portrait"/>
          <w:cols w:equalWidth="0" w:num="1">
            <w:col w:w="10980"/>
          </w:cols>
          <w:pgMar w:left="440" w:top="274" w:right="479" w:bottom="1440" w:gutter="0" w:footer="0" w:header="0"/>
        </w:sectPr>
      </w:pPr>
    </w:p>
    <w:bookmarkStart w:id="8" w:name="page9"/>
    <w:bookmarkEnd w:id="8"/>
    <w:p>
      <w:pPr>
        <w:ind w:right="4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 </w:t>
      </w:r>
      <w:r>
        <w:rPr>
          <w:rFonts w:ascii="Arial" w:cs="Arial" w:eastAsia="Arial" w:hAnsi="Arial"/>
          <w:sz w:val="18"/>
          <w:szCs w:val="18"/>
          <w:u w:val="single" w:color="auto"/>
          <w:color w:val="auto"/>
        </w:rPr>
        <w:t>Terms of Office</w:t>
      </w:r>
      <w:r>
        <w:rPr>
          <w:rFonts w:ascii="Arial" w:cs="Arial" w:eastAsia="Arial" w:hAnsi="Arial"/>
          <w:sz w:val="18"/>
          <w:szCs w:val="18"/>
          <w:color w:val="auto"/>
        </w:rPr>
        <w:t xml:space="preserve">. Subject to the special rights of holders of any series of Preferred Stock to elect directors, each director shall serve for a term ending on the date of the third annual meeting of stockholders following the annual meeting of stockholders at which such director was elected;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director initially assigned to Class I shall serve for a term expiring at the Corporation’s first annual meeting of stockholders held after the effectiveness of this Certificate of Incorporation; each director initially assigned to Class II shall serve for a term expiring at the Corporation’s second annual meeting of stockholders held after the effectiveness of this Certificate of Incorporation; and each director initially assigned to Class III shall serve for a term expiring at the Corporation’s third annual meeting of stockholders held after the effectiveness of this Certificate of Incorporation; </w:t>
      </w:r>
      <w:r>
        <w:rPr>
          <w:rFonts w:ascii="Arial" w:cs="Arial" w:eastAsia="Arial" w:hAnsi="Arial"/>
          <w:sz w:val="18"/>
          <w:szCs w:val="18"/>
          <w:u w:val="single" w:color="auto"/>
          <w:color w:val="auto"/>
        </w:rPr>
        <w:t>provided further</w:t>
      </w:r>
      <w:r>
        <w:rPr>
          <w:rFonts w:ascii="Arial" w:cs="Arial" w:eastAsia="Arial" w:hAnsi="Arial"/>
          <w:sz w:val="18"/>
          <w:szCs w:val="18"/>
          <w:color w:val="auto"/>
        </w:rPr>
        <w:t>, each director shall continue to serve as a director until his or her successor is duly elected and qualified, subject to his or her earlier death, disqualification, resignation or removal.</w:t>
      </w:r>
    </w:p>
    <w:p>
      <w:pPr>
        <w:spacing w:after="0" w:line="192" w:lineRule="exact"/>
        <w:rPr>
          <w:sz w:val="20"/>
          <w:szCs w:val="20"/>
          <w:color w:val="auto"/>
        </w:rPr>
      </w:pPr>
    </w:p>
    <w:p>
      <w:pPr>
        <w:ind w:right="260" w:firstLine="440"/>
        <w:spacing w:after="0" w:line="293" w:lineRule="auto"/>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u w:val="single" w:color="auto"/>
          <w:color w:val="auto"/>
        </w:rPr>
        <w:t>Newly Created Directorships and Vacancies</w:t>
      </w:r>
      <w:r>
        <w:rPr>
          <w:rFonts w:ascii="Arial" w:cs="Arial" w:eastAsia="Arial" w:hAnsi="Arial"/>
          <w:sz w:val="16"/>
          <w:szCs w:val="16"/>
          <w:color w:val="auto"/>
        </w:rPr>
        <w:t>. Subject to the special rights of holders of any series of Preferred Stock, any newly created directorship that results from an increase in the number of directors or any vacancy on the Board that results from the death, disability, resignation, disqualification or removal of any director or from any other cause shall be filled solely by the affirmative vote of a majority of the directors then in office, even if less than a quorum, or by a sole remaining director, and shall not be filled by the stockholders. Any director elected to fill a vacancy or newly created directorship shall hold office until the next election of the class to which such director shall have been appointed, and until his or her successor is duly elected and qualified, subject to his or her earlier death, disqualification, resignation or removal.</w:t>
      </w:r>
    </w:p>
    <w:p>
      <w:pPr>
        <w:spacing w:after="0" w:line="164"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F. </w:t>
      </w:r>
      <w:r>
        <w:rPr>
          <w:rFonts w:ascii="Arial" w:cs="Arial" w:eastAsia="Arial" w:hAnsi="Arial"/>
          <w:sz w:val="17"/>
          <w:szCs w:val="17"/>
          <w:u w:val="single" w:color="auto"/>
          <w:color w:val="auto"/>
        </w:rPr>
        <w:t>Preferred Directors</w:t>
      </w:r>
      <w:r>
        <w:rPr>
          <w:rFonts w:ascii="Arial" w:cs="Arial" w:eastAsia="Arial" w:hAnsi="Arial"/>
          <w:sz w:val="17"/>
          <w:szCs w:val="17"/>
          <w:color w:val="auto"/>
        </w:rPr>
        <w:t>. During any period when the holders of any series of Preferred Stock have the special right to elect additional directors, upon commencement and for the duration of such period during which such right continues: (i) the then otherwise total authorized number of directors of the Corporation shall automatically be increased by such specified number of additional directors, and the holders of such series of Preferred Stock shall be entitled to elect the additional directors so provided for or fixed pursuant to this Certificate of Incorporation; and (ii) each such additional director shall serve until such director’s successor shall have been duly elected and qualified, or until such director’s right to hold such office terminates pursuant to the Preferred Stock Designation establishing such series of Preferred Stock, whichever occurs earlier, subject to his or her earlier death, resignation, disqualification or removal. Except as otherwise provided by this Certificate of Incorporation, whenever the holders of any series of Preferred Stock having the special right to elect additional directors are divested of such right pursuant to this Certificate of Incorporation, the terms of office of all such additional directors elected by the holders of such series, or elected to fill any vacancies resulting from the death, resignation, disqualification or removal of such additional directors, shall forthwith terminate and the total authorized number of directors of the Corporation shall be reduced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1295400</wp:posOffset>
            </wp:positionH>
            <wp:positionV relativeFrom="paragraph">
              <wp:posOffset>-1409065</wp:posOffset>
            </wp:positionV>
            <wp:extent cx="285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2"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u w:val="single" w:color="auto"/>
          <w:color w:val="auto"/>
        </w:rPr>
        <w:t>Removal</w:t>
      </w:r>
      <w:r>
        <w:rPr>
          <w:rFonts w:ascii="Arial" w:cs="Arial" w:eastAsia="Arial" w:hAnsi="Arial"/>
          <w:sz w:val="18"/>
          <w:szCs w:val="18"/>
          <w:color w:val="auto"/>
        </w:rPr>
        <w:t>. Subject to any special rights of the holders of one or more series of Preferred Stock to elect directors, any director or the entire Board may be removed from office at any time, but only for cause and only by the affirmative vote of the holders of at least 66 2/3% in voting power of the outstanding stock of the Corporation entitled to vote thereon, voting as a single class.</w:t>
      </w:r>
    </w:p>
    <w:p>
      <w:pPr>
        <w:spacing w:after="0" w:line="180" w:lineRule="exact"/>
        <w:rPr>
          <w:sz w:val="20"/>
          <w:szCs w:val="20"/>
          <w:color w:val="auto"/>
        </w:rPr>
      </w:pPr>
    </w:p>
    <w:p>
      <w:pPr>
        <w:ind w:right="760" w:firstLine="440"/>
        <w:spacing w:after="0" w:line="312" w:lineRule="auto"/>
        <w:rPr>
          <w:sz w:val="20"/>
          <w:szCs w:val="20"/>
          <w:color w:val="auto"/>
        </w:rPr>
      </w:pPr>
      <w:r>
        <w:rPr>
          <w:rFonts w:ascii="Arial" w:cs="Arial" w:eastAsia="Arial" w:hAnsi="Arial"/>
          <w:sz w:val="17"/>
          <w:szCs w:val="17"/>
          <w:color w:val="auto"/>
        </w:rPr>
        <w:t xml:space="preserve">H. </w:t>
      </w:r>
      <w:r>
        <w:rPr>
          <w:rFonts w:ascii="Arial" w:cs="Arial" w:eastAsia="Arial" w:hAnsi="Arial"/>
          <w:sz w:val="17"/>
          <w:szCs w:val="17"/>
          <w:u w:val="single" w:color="auto"/>
          <w:color w:val="auto"/>
        </w:rPr>
        <w:t>Committees</w:t>
      </w:r>
      <w:r>
        <w:rPr>
          <w:rFonts w:ascii="Arial" w:cs="Arial" w:eastAsia="Arial" w:hAnsi="Arial"/>
          <w:sz w:val="17"/>
          <w:szCs w:val="17"/>
          <w:color w:val="auto"/>
        </w:rPr>
        <w:t>. Pursuant to the Amended and Restated Bylaws of the Corporation (the “</w:t>
      </w:r>
      <w:r>
        <w:rPr>
          <w:rFonts w:ascii="Arial" w:cs="Arial" w:eastAsia="Arial" w:hAnsi="Arial"/>
          <w:sz w:val="17"/>
          <w:szCs w:val="17"/>
          <w:b w:val="1"/>
          <w:bCs w:val="1"/>
          <w:color w:val="auto"/>
        </w:rPr>
        <w:t>Bylaws</w:t>
      </w:r>
      <w:r>
        <w:rPr>
          <w:rFonts w:ascii="Arial" w:cs="Arial" w:eastAsia="Arial" w:hAnsi="Arial"/>
          <w:sz w:val="17"/>
          <w:szCs w:val="17"/>
          <w:color w:val="auto"/>
        </w:rPr>
        <w:t>”), the Board may establish one or more committees to which may be delegated any or all of the powers and duties of the Board to the full extent permitted by law.</w:t>
      </w:r>
    </w:p>
    <w:p>
      <w:pPr>
        <w:spacing w:after="0" w:line="144"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Stockholder Nominations and Introduction of Business</w:t>
      </w:r>
      <w:r>
        <w:rPr>
          <w:rFonts w:ascii="Arial" w:cs="Arial" w:eastAsia="Arial" w:hAnsi="Arial"/>
          <w:sz w:val="18"/>
          <w:szCs w:val="18"/>
          <w:color w:val="auto"/>
        </w:rPr>
        <w:t>. Advance notice of stockholder nominations for election of directors and other business to be brought by stockholders before a meeting of stockholders shall be given in the manner provided by the Bylaws.</w:t>
      </w:r>
    </w:p>
    <w:p>
      <w:pPr>
        <w:sectPr>
          <w:pgSz w:w="11900" w:h="16838" w:orient="portrait"/>
          <w:cols w:equalWidth="0" w:num="1">
            <w:col w:w="11000"/>
          </w:cols>
          <w:pgMar w:left="440" w:top="274" w:right="459" w:bottom="1440" w:gutter="0" w:footer="0" w:header="0"/>
        </w:sectPr>
      </w:pPr>
    </w:p>
    <w:bookmarkStart w:id="9" w:name="page10"/>
    <w:bookmarkEnd w:id="9"/>
    <w:p>
      <w:pPr>
        <w:ind w:left="4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SIXTH</w:t>
      </w:r>
      <w:r>
        <w:rPr>
          <w:rFonts w:ascii="Arial" w:cs="Arial" w:eastAsia="Arial" w:hAnsi="Arial"/>
          <w:sz w:val="16"/>
          <w:szCs w:val="16"/>
          <w:color w:val="auto"/>
        </w:rPr>
        <w:t>: Unless and except to the extent that the Bylaws shall so require, the election of directors of the Corporation need not be by written ballot.</w:t>
      </w:r>
    </w:p>
    <w:p>
      <w:pPr>
        <w:spacing w:after="0" w:line="248" w:lineRule="exact"/>
        <w:rPr>
          <w:sz w:val="20"/>
          <w:szCs w:val="20"/>
          <w:color w:val="auto"/>
        </w:rPr>
      </w:pPr>
    </w:p>
    <w:p>
      <w:pPr>
        <w:ind w:right="20" w:firstLine="440"/>
        <w:spacing w:after="0" w:line="274" w:lineRule="auto"/>
        <w:rPr>
          <w:sz w:val="20"/>
          <w:szCs w:val="20"/>
          <w:color w:val="auto"/>
        </w:rPr>
      </w:pPr>
      <w:r>
        <w:rPr>
          <w:rFonts w:ascii="Arial" w:cs="Arial" w:eastAsia="Arial" w:hAnsi="Arial"/>
          <w:sz w:val="17"/>
          <w:szCs w:val="17"/>
          <w:b w:val="1"/>
          <w:bCs w:val="1"/>
          <w:color w:val="auto"/>
        </w:rPr>
        <w:t>SEVENTH</w:t>
      </w:r>
      <w:r>
        <w:rPr>
          <w:rFonts w:ascii="Arial" w:cs="Arial" w:eastAsia="Arial" w:hAnsi="Arial"/>
          <w:sz w:val="17"/>
          <w:szCs w:val="17"/>
          <w:color w:val="auto"/>
        </w:rPr>
        <w:t>: To the fullest extent permitted by the DGCL as it now exists and as it may hereafter be amended, no director of the Corporation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personally liable to the Corporation or any of its stockholders for monetary damages for breach of fiduciary duty as a director. If the DGCL is hereafter amended to authorize corporate action further eliminating or limiting the personal liability of directors, then the liability of a director of the Corporation shall be eliminated or limited to the fullest extent permitted by the DGCL, as so amended. No amendment, modification or repeal of this Article SEVENTH shall apply to or have any adverse effect on any right or protection of, or any limitation of the liability of, a director of the Corporation with respect to actions or omissions occurring prior to the time of such amendment, modification or repeal.</w:t>
      </w:r>
    </w:p>
    <w:p>
      <w:pPr>
        <w:spacing w:after="0" w:line="173" w:lineRule="exact"/>
        <w:rPr>
          <w:sz w:val="20"/>
          <w:szCs w:val="20"/>
          <w:color w:val="auto"/>
        </w:rPr>
      </w:pPr>
    </w:p>
    <w:p>
      <w:pPr>
        <w:ind w:right="460" w:firstLine="440"/>
        <w:spacing w:after="0" w:line="266" w:lineRule="auto"/>
        <w:rPr>
          <w:sz w:val="20"/>
          <w:szCs w:val="20"/>
          <w:color w:val="auto"/>
        </w:rPr>
      </w:pPr>
      <w:r>
        <w:rPr>
          <w:rFonts w:ascii="Arial" w:cs="Arial" w:eastAsia="Arial" w:hAnsi="Arial"/>
          <w:sz w:val="18"/>
          <w:szCs w:val="18"/>
          <w:b w:val="1"/>
          <w:bCs w:val="1"/>
          <w:color w:val="auto"/>
        </w:rPr>
        <w:t>EIGHTH</w:t>
      </w:r>
      <w:r>
        <w:rPr>
          <w:rFonts w:ascii="Arial" w:cs="Arial" w:eastAsia="Arial" w:hAnsi="Arial"/>
          <w:sz w:val="18"/>
          <w:szCs w:val="18"/>
          <w:color w:val="auto"/>
        </w:rPr>
        <w:t>: Subject to the terms of any series of Preferred Stock, any action required or permitted to be taken by the stockholders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must be effected at an annual or special meeting of the stockholders called in accordance with the Bylaws and may not be effected by written consent in lieu of a meeting.</w:t>
      </w:r>
    </w:p>
    <w:p>
      <w:pPr>
        <w:spacing w:after="0" w:line="176" w:lineRule="exact"/>
        <w:rPr>
          <w:sz w:val="20"/>
          <w:szCs w:val="20"/>
          <w:color w:val="auto"/>
        </w:rPr>
      </w:pPr>
    </w:p>
    <w:p>
      <w:pPr>
        <w:ind w:right="140" w:firstLine="440"/>
        <w:spacing w:after="0" w:line="281" w:lineRule="auto"/>
        <w:rPr>
          <w:sz w:val="20"/>
          <w:szCs w:val="20"/>
          <w:color w:val="auto"/>
        </w:rPr>
      </w:pPr>
      <w:r>
        <w:rPr>
          <w:rFonts w:ascii="Arial" w:cs="Arial" w:eastAsia="Arial" w:hAnsi="Arial"/>
          <w:sz w:val="17"/>
          <w:szCs w:val="17"/>
          <w:b w:val="1"/>
          <w:bCs w:val="1"/>
          <w:color w:val="auto"/>
        </w:rPr>
        <w:t>NINTH</w:t>
      </w:r>
      <w:r>
        <w:rPr>
          <w:rFonts w:ascii="Arial" w:cs="Arial" w:eastAsia="Arial" w:hAnsi="Arial"/>
          <w:sz w:val="17"/>
          <w:szCs w:val="17"/>
          <w:color w:val="auto"/>
        </w:rPr>
        <w:t>: Except as otherwise required by law and subject to the terms of any series of Preferred Stock, special meetings of stockholders for any</w:t>
      </w:r>
      <w:r>
        <w:rPr>
          <w:rFonts w:ascii="Arial" w:cs="Arial" w:eastAsia="Arial" w:hAnsi="Arial"/>
          <w:sz w:val="17"/>
          <w:szCs w:val="17"/>
          <w:b w:val="1"/>
          <w:bCs w:val="1"/>
          <w:color w:val="auto"/>
        </w:rPr>
        <w:t xml:space="preserve"> </w:t>
      </w:r>
      <w:r>
        <w:rPr>
          <w:rFonts w:ascii="Arial" w:cs="Arial" w:eastAsia="Arial" w:hAnsi="Arial"/>
          <w:sz w:val="17"/>
          <w:szCs w:val="17"/>
          <w:color w:val="auto"/>
        </w:rPr>
        <w:t>purpose or purposes may be called at any time by the majority of the Whole Board, the Chairman of the Board or the Chief Executive Officer of the Corporation, and may not be called by stockholders or any other person or persons. Business transacted at any special meeting of stockholders shall be limited to matters relating to the purpose or purposes stated in the notice for such meeting.</w:t>
      </w:r>
    </w:p>
    <w:p>
      <w:pPr>
        <w:spacing w:after="0" w:line="165" w:lineRule="exact"/>
        <w:rPr>
          <w:sz w:val="20"/>
          <w:szCs w:val="20"/>
          <w:color w:val="auto"/>
        </w:rPr>
      </w:pPr>
    </w:p>
    <w:p>
      <w:pPr>
        <w:ind w:right="200" w:firstLine="440"/>
        <w:spacing w:after="0" w:line="272" w:lineRule="auto"/>
        <w:rPr>
          <w:sz w:val="20"/>
          <w:szCs w:val="20"/>
          <w:color w:val="auto"/>
        </w:rPr>
      </w:pPr>
      <w:r>
        <w:rPr>
          <w:rFonts w:ascii="Arial" w:cs="Arial" w:eastAsia="Arial" w:hAnsi="Arial"/>
          <w:sz w:val="17"/>
          <w:szCs w:val="17"/>
          <w:b w:val="1"/>
          <w:bCs w:val="1"/>
          <w:color w:val="auto"/>
        </w:rPr>
        <w:t>TENTH</w:t>
      </w:r>
      <w:r>
        <w:rPr>
          <w:rFonts w:ascii="Arial" w:cs="Arial" w:eastAsia="Arial" w:hAnsi="Arial"/>
          <w:sz w:val="17"/>
          <w:szCs w:val="17"/>
          <w:color w:val="auto"/>
        </w:rPr>
        <w:t>: If any provision or provisions of this Certificate of Incorporation shall be held to be invalid, illegal or unenforceable as applied to any</w:t>
      </w:r>
      <w:r>
        <w:rPr>
          <w:rFonts w:ascii="Arial" w:cs="Arial" w:eastAsia="Arial" w:hAnsi="Arial"/>
          <w:sz w:val="17"/>
          <w:szCs w:val="17"/>
          <w:b w:val="1"/>
          <w:bCs w:val="1"/>
          <w:color w:val="auto"/>
        </w:rPr>
        <w:t xml:space="preserve"> </w:t>
      </w:r>
      <w:r>
        <w:rPr>
          <w:rFonts w:ascii="Arial" w:cs="Arial" w:eastAsia="Arial" w:hAnsi="Arial"/>
          <w:sz w:val="17"/>
          <w:szCs w:val="17"/>
          <w:color w:val="auto"/>
        </w:rPr>
        <w:t>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Certificate of Incorporation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or for the benefit of the Corporation to the fullest extent permitted by law.</w:t>
      </w:r>
    </w:p>
    <w:p>
      <w:pPr>
        <w:spacing w:after="0" w:line="176"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The Corporation reserves the right at any time from time to time to amend, alter, change or repeal any provision contained in this Certificate of Incorporation, and any other provisions authorized by the DGCL may be added or inserted, in the manner now or hereafter prescribed by law; and all rights, preferences and privileges of whatsoever nature conferred upon stockholders, directors or any other persons whomsoever by and pursuant to this Certificate of Incorporation in its present form or as hereafter amended are granted subject to the right reserved in this Article TENTH. Notwithstanding any other provision of this Certificate of Incorporation or any provision of law that might otherwise permit a lesser vote or no vote, but in addition to any affirmative vote of the holders of any series of Preferred Stock required by law or by this Certificate of Incorporation, the affirmative vote of the holders of at least 66 2/3% in voting power of the outstanding stock of the Corporation entitled to vote thereon, voting together as a single class, shall be required to amend, alter, change or repeal, or adopt any provision inconsistent with, any of Parts A. and B. of ARTICLE FOURTH, Article FIFTH, Article SEVENTH,</w:t>
      </w:r>
    </w:p>
    <w:p>
      <w:pPr>
        <w:sectPr>
          <w:pgSz w:w="11900" w:h="16838" w:orient="portrait"/>
          <w:cols w:equalWidth="0" w:num="1">
            <w:col w:w="10980"/>
          </w:cols>
          <w:pgMar w:left="440" w:top="270" w:right="479" w:bottom="1440" w:gutter="0" w:footer="0" w:header="0"/>
        </w:sectPr>
      </w:pPr>
    </w:p>
    <w:bookmarkStart w:id="10" w:name="page11"/>
    <w:bookmarkEnd w:id="10"/>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EIGHTH, Article NINTH, Article ELEVENTH, Article TWELFTH, and this Article TENTH, and in each case, the definition of any capitalized terms used therein or any successor provision (including, without limitation, any such article or section as renumbered as a result of any amendment, alteration, change, repeal or adoption of any other provision of this Certificate of Incorporation). Any amendment, repeal or modification of any of Article SEVENTH, and this sentence shall not adversely affect any right or protection of any person existing thereunder with respect to any act or omission occurring prior to such repeal or modification.</w:t>
      </w:r>
    </w:p>
    <w:p>
      <w:pPr>
        <w:spacing w:after="0" w:line="184"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b w:val="1"/>
          <w:bCs w:val="1"/>
          <w:color w:val="auto"/>
        </w:rPr>
        <w:t>ELEVENTH</w:t>
      </w:r>
      <w:r>
        <w:rPr>
          <w:rFonts w:ascii="Arial" w:cs="Arial" w:eastAsia="Arial" w:hAnsi="Arial"/>
          <w:sz w:val="18"/>
          <w:szCs w:val="18"/>
          <w:color w:val="auto"/>
        </w:rPr>
        <w:t>: In furtherance and not in limitation of the powers conferred upon it by law, the Board is expressly authorized and empowered to</w:t>
      </w:r>
      <w:r>
        <w:rPr>
          <w:rFonts w:ascii="Arial" w:cs="Arial" w:eastAsia="Arial" w:hAnsi="Arial"/>
          <w:sz w:val="18"/>
          <w:szCs w:val="18"/>
          <w:b w:val="1"/>
          <w:bCs w:val="1"/>
          <w:color w:val="auto"/>
        </w:rPr>
        <w:t xml:space="preserve"> </w:t>
      </w:r>
      <w:r>
        <w:rPr>
          <w:rFonts w:ascii="Arial" w:cs="Arial" w:eastAsia="Arial" w:hAnsi="Arial"/>
          <w:sz w:val="18"/>
          <w:szCs w:val="18"/>
          <w:color w:val="auto"/>
        </w:rPr>
        <w:t>adopt, amend and repeal the Bylaws by the affirmative vote of a majority of the Whole Board. The stockholders shall also have power to adopt, amend or repeal the Bylaws; provided, however, that, notwithstanding any other provision of this Certificate of Incorporation or any provision of law that might otherwise permit a lesser or no vote, but in addition to any vote of the holders of any class or series of stock of the Corporation required by applicable law or by this Certificate of Incorporation or the Bylaws, the affirmative vote of the holders of at least 66 2/3% in voting power of the outstanding shares of the stock of the Corporation entitled to vote thereon, voting together as a single class, shall be required for the stockholders to adopt, amend or repeal any provision of the Bylaws.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TWELFTH</w:t>
      </w:r>
      <w:r>
        <w:rPr>
          <w:rFonts w:ascii="Arial" w:cs="Arial" w:eastAsia="Arial" w:hAnsi="Arial"/>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Forum Selection</w:t>
      </w:r>
      <w:r>
        <w:rPr>
          <w:rFonts w:ascii="Arial" w:cs="Arial" w:eastAsia="Arial" w:hAnsi="Arial"/>
          <w:sz w:val="18"/>
          <w:szCs w:val="18"/>
          <w:color w:val="auto"/>
        </w:rPr>
        <w:t>.</w:t>
      </w:r>
    </w:p>
    <w:p>
      <w:pPr>
        <w:spacing w:after="0" w:line="225" w:lineRule="exact"/>
        <w:rPr>
          <w:sz w:val="20"/>
          <w:szCs w:val="20"/>
          <w:color w:val="auto"/>
        </w:rPr>
      </w:pPr>
    </w:p>
    <w:p>
      <w:pPr>
        <w:ind w:right="80" w:firstLine="987"/>
        <w:spacing w:after="0" w:line="254" w:lineRule="auto"/>
        <w:tabs>
          <w:tab w:leader="none" w:pos="1236" w:val="left"/>
        </w:tabs>
        <w:numPr>
          <w:ilvl w:val="1"/>
          <w:numId w:val="9"/>
        </w:numPr>
        <w:rPr>
          <w:rFonts w:ascii="Arial" w:cs="Arial" w:eastAsia="Arial" w:hAnsi="Arial"/>
          <w:sz w:val="18"/>
          <w:szCs w:val="18"/>
          <w:color w:val="auto"/>
        </w:rPr>
      </w:pPr>
      <w:r>
        <w:rPr>
          <w:rFonts w:ascii="Arial" w:cs="Arial" w:eastAsia="Arial" w:hAnsi="Arial"/>
          <w:sz w:val="18"/>
          <w:szCs w:val="18"/>
          <w:color w:val="auto"/>
        </w:rPr>
        <w:t>Unless the Corporation consents in writing to the selection of an alternative forum, the Court of Chancery of the State of Delaware (or, if the Court of Chancery does not have jurisdiction, the state or federal courts in the State of Delaware) shall, to the fullest extent permitted by law, be the sole and exclusive forum for (1) any derivative action or proceeding brought on behalf of the Corporation, (2) any action asserting a claim of breach of a fiduciary duty owed by any current or former director, officer, stockholder or other employee of the Corporation to the Corporation or the Corporation’s stockholders, (3) any action arising pursuant to any provision of the DGCL or this Certificate of Incorporation or the Bylaws (as the foregoing may be amended, modified, supplemented and/or restated from time to time), or (4) any action asserting a claim governed by the internal affairs doctrine.</w:t>
      </w:r>
    </w:p>
    <w:p>
      <w:pPr>
        <w:spacing w:after="0" w:line="194" w:lineRule="exact"/>
        <w:rPr>
          <w:rFonts w:ascii="Arial" w:cs="Arial" w:eastAsia="Arial" w:hAnsi="Arial"/>
          <w:sz w:val="18"/>
          <w:szCs w:val="18"/>
          <w:color w:val="auto"/>
        </w:rPr>
      </w:pPr>
    </w:p>
    <w:p>
      <w:pPr>
        <w:ind w:right="300" w:firstLine="987"/>
        <w:spacing w:after="0" w:line="263" w:lineRule="auto"/>
        <w:tabs>
          <w:tab w:leader="none" w:pos="1246" w:val="left"/>
        </w:tabs>
        <w:numPr>
          <w:ilvl w:val="1"/>
          <w:numId w:val="9"/>
        </w:numPr>
        <w:rPr>
          <w:rFonts w:ascii="Arial" w:cs="Arial" w:eastAsia="Arial" w:hAnsi="Arial"/>
          <w:sz w:val="18"/>
          <w:szCs w:val="18"/>
          <w:color w:val="auto"/>
        </w:rPr>
      </w:pPr>
      <w:r>
        <w:rPr>
          <w:rFonts w:ascii="Arial" w:cs="Arial" w:eastAsia="Arial" w:hAnsi="Arial"/>
          <w:sz w:val="18"/>
          <w:szCs w:val="18"/>
          <w:color w:val="auto"/>
        </w:rPr>
        <w:t>Unless the Corporation consents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of 1933, as amended.</w:t>
      </w:r>
    </w:p>
    <w:p>
      <w:pPr>
        <w:spacing w:after="0" w:line="183" w:lineRule="exact"/>
        <w:rPr>
          <w:rFonts w:ascii="Arial" w:cs="Arial" w:eastAsia="Arial" w:hAnsi="Arial"/>
          <w:sz w:val="18"/>
          <w:szCs w:val="18"/>
          <w:color w:val="auto"/>
        </w:rPr>
      </w:pPr>
    </w:p>
    <w:p>
      <w:pPr>
        <w:ind w:firstLine="436"/>
        <w:spacing w:after="0" w:line="296" w:lineRule="auto"/>
        <w:tabs>
          <w:tab w:leader="none" w:pos="65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Personal Jurisdiction</w:t>
      </w:r>
      <w:r>
        <w:rPr>
          <w:rFonts w:ascii="Arial" w:cs="Arial" w:eastAsia="Arial" w:hAnsi="Arial"/>
          <w:sz w:val="16"/>
          <w:szCs w:val="16"/>
          <w:color w:val="auto"/>
        </w:rPr>
        <w:t>. If any action the subject matter of which is within the scope of Section A immediately above is filed in a court other than a court located within the State of Delaware (a “</w:t>
      </w:r>
      <w:r>
        <w:rPr>
          <w:rFonts w:ascii="Arial" w:cs="Arial" w:eastAsia="Arial" w:hAnsi="Arial"/>
          <w:sz w:val="16"/>
          <w:szCs w:val="16"/>
          <w:b w:val="1"/>
          <w:bCs w:val="1"/>
          <w:color w:val="auto"/>
        </w:rPr>
        <w:t>Foreign Action</w:t>
      </w:r>
      <w:r>
        <w:rPr>
          <w:rFonts w:ascii="Arial" w:cs="Arial" w:eastAsia="Arial" w:hAnsi="Arial"/>
          <w:sz w:val="16"/>
          <w:szCs w:val="16"/>
          <w:color w:val="auto"/>
        </w:rPr>
        <w:t>”) in the name of any stockholder, such stockholder shall be deemed to have consented to (i) the personal jurisdiction of the applicable state and federal courts located within the State of Delaware in connection with any action brought in any such court to enforce Section A immediately above (an “</w:t>
      </w:r>
      <w:r>
        <w:rPr>
          <w:rFonts w:ascii="Arial" w:cs="Arial" w:eastAsia="Arial" w:hAnsi="Arial"/>
          <w:sz w:val="16"/>
          <w:szCs w:val="16"/>
          <w:b w:val="1"/>
          <w:bCs w:val="1"/>
          <w:color w:val="auto"/>
        </w:rPr>
        <w:t>FSC Enforcement Action</w:t>
      </w:r>
      <w:r>
        <w:rPr>
          <w:rFonts w:ascii="Arial" w:cs="Arial" w:eastAsia="Arial" w:hAnsi="Arial"/>
          <w:sz w:val="16"/>
          <w:szCs w:val="16"/>
          <w:color w:val="auto"/>
        </w:rPr>
        <w:t>”) and (ii) having service of process made upon such stockholder in any such FSC Enforcement Action by service upon such stockholder’s counsel in the Foreign Action as agent for such stockholder.</w:t>
      </w:r>
    </w:p>
    <w:p>
      <w:pPr>
        <w:spacing w:after="0" w:line="16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Any person or entity purchasing or otherwise acquiring or holding any interest in shares of capital stock of the Corporation shall be deemed to have notice of and consented to the provisions of this Article TWELFTH.</w:t>
      </w:r>
    </w:p>
    <w:p>
      <w:pPr>
        <w:sectPr>
          <w:pgSz w:w="11900" w:h="16838" w:orient="portrait"/>
          <w:cols w:equalWidth="0" w:num="1">
            <w:col w:w="11000"/>
          </w:cols>
          <w:pgMar w:left="440" w:top="274" w:right="45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has executed this Amended and Restated Certificate of Incorporation as of this 28th day of May,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00" w:lineRule="exact"/>
        <w:rPr>
          <w:sz w:val="20"/>
          <w:szCs w:val="20"/>
          <w:color w:val="auto"/>
        </w:rPr>
      </w:pPr>
    </w:p>
    <w:p>
      <w:pPr>
        <w:spacing w:after="0" w:line="254"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Michael Massaro</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Michael Massaro</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4" w:right="4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FLYWIRE CORPORATION</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23"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AMENDED AND RESTATED BYLAWS</w:t>
      </w:r>
    </w:p>
    <w:p>
      <w:pPr>
        <w:spacing w:after="0" w:line="200" w:lineRule="exact"/>
        <w:rPr>
          <w:sz w:val="20"/>
          <w:szCs w:val="20"/>
          <w:color w:val="auto"/>
        </w:rPr>
      </w:pPr>
    </w:p>
    <w:p>
      <w:pPr>
        <w:spacing w:after="0" w:line="24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Adopted April 28, 2021 and</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Effective May 28, 2021</w:t>
      </w:r>
    </w:p>
    <w:p>
      <w:pPr>
        <w:sectPr>
          <w:pgSz w:w="11900" w:h="16838" w:orient="portrait"/>
          <w:cols w:equalWidth="0" w:num="1">
            <w:col w:w="10020"/>
          </w:cols>
          <w:pgMar w:left="1440" w:top="121" w:right="4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7260" w:type="dxa"/>
            <w:vAlign w:val="bottom"/>
          </w:tcPr>
          <w:p>
            <w:pPr>
              <w:ind w:left="324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20"/>
                <w:szCs w:val="20"/>
                <w:color w:val="auto"/>
              </w:rPr>
            </w:pPr>
          </w:p>
        </w:tc>
      </w:tr>
      <w:tr>
        <w:trPr>
          <w:trHeight w:val="406"/>
        </w:trPr>
        <w:tc>
          <w:tcPr>
            <w:tcW w:w="130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403"/>
        </w:trPr>
        <w:tc>
          <w:tcPr>
            <w:tcW w:w="8560" w:type="dxa"/>
            <w:vAlign w:val="bottom"/>
            <w:gridSpan w:val="2"/>
          </w:tcPr>
          <w:p>
            <w:pPr>
              <w:spacing w:after="0"/>
              <w:rPr>
                <w:sz w:val="20"/>
                <w:szCs w:val="20"/>
                <w:color w:val="auto"/>
              </w:rPr>
            </w:pPr>
            <w:r>
              <w:rPr>
                <w:rFonts w:ascii="Arial" w:cs="Arial" w:eastAsia="Arial" w:hAnsi="Arial"/>
                <w:sz w:val="18"/>
                <w:szCs w:val="18"/>
                <w:color w:val="auto"/>
              </w:rPr>
              <w:t>ARTICLE I STOCKHOLDERS</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7260" w:type="dxa"/>
            <w:vAlign w:val="bottom"/>
          </w:tcPr>
          <w:p>
            <w:pPr>
              <w:ind w:left="60"/>
              <w:spacing w:after="0"/>
              <w:rPr>
                <w:sz w:val="20"/>
                <w:szCs w:val="20"/>
                <w:color w:val="auto"/>
              </w:rPr>
            </w:pPr>
            <w:r>
              <w:rPr>
                <w:rFonts w:ascii="Arial" w:cs="Arial" w:eastAsia="Arial" w:hAnsi="Arial"/>
                <w:sz w:val="18"/>
                <w:szCs w:val="18"/>
                <w:color w:val="auto"/>
              </w:rPr>
              <w:t>Annual Meetings</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7260" w:type="dxa"/>
            <w:vAlign w:val="bottom"/>
          </w:tcPr>
          <w:p>
            <w:pPr>
              <w:ind w:left="60"/>
              <w:spacing w:after="0"/>
              <w:rPr>
                <w:sz w:val="20"/>
                <w:szCs w:val="20"/>
                <w:color w:val="auto"/>
              </w:rPr>
            </w:pPr>
            <w:r>
              <w:rPr>
                <w:rFonts w:ascii="Arial" w:cs="Arial" w:eastAsia="Arial" w:hAnsi="Arial"/>
                <w:sz w:val="18"/>
                <w:szCs w:val="18"/>
                <w:color w:val="auto"/>
              </w:rPr>
              <w:t>Special Meetings</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1.3</w:t>
            </w:r>
          </w:p>
        </w:tc>
        <w:tc>
          <w:tcPr>
            <w:tcW w:w="7260" w:type="dxa"/>
            <w:vAlign w:val="bottom"/>
          </w:tcPr>
          <w:p>
            <w:pPr>
              <w:ind w:left="60"/>
              <w:spacing w:after="0"/>
              <w:rPr>
                <w:sz w:val="20"/>
                <w:szCs w:val="20"/>
                <w:color w:val="auto"/>
              </w:rPr>
            </w:pPr>
            <w:r>
              <w:rPr>
                <w:rFonts w:ascii="Arial" w:cs="Arial" w:eastAsia="Arial" w:hAnsi="Arial"/>
                <w:sz w:val="18"/>
                <w:szCs w:val="18"/>
                <w:color w:val="auto"/>
              </w:rPr>
              <w:t>Notice of Meetings</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1.4</w:t>
            </w:r>
          </w:p>
        </w:tc>
        <w:tc>
          <w:tcPr>
            <w:tcW w:w="7260" w:type="dxa"/>
            <w:vAlign w:val="bottom"/>
          </w:tcPr>
          <w:p>
            <w:pPr>
              <w:ind w:left="60"/>
              <w:spacing w:after="0"/>
              <w:rPr>
                <w:sz w:val="20"/>
                <w:szCs w:val="20"/>
                <w:color w:val="auto"/>
              </w:rPr>
            </w:pPr>
            <w:r>
              <w:rPr>
                <w:rFonts w:ascii="Arial" w:cs="Arial" w:eastAsia="Arial" w:hAnsi="Arial"/>
                <w:sz w:val="18"/>
                <w:szCs w:val="18"/>
                <w:color w:val="auto"/>
              </w:rPr>
              <w:t>Adjournments</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1.5</w:t>
            </w:r>
          </w:p>
        </w:tc>
        <w:tc>
          <w:tcPr>
            <w:tcW w:w="7260" w:type="dxa"/>
            <w:vAlign w:val="bottom"/>
          </w:tcPr>
          <w:p>
            <w:pPr>
              <w:ind w:left="60"/>
              <w:spacing w:after="0"/>
              <w:rPr>
                <w:sz w:val="20"/>
                <w:szCs w:val="20"/>
                <w:color w:val="auto"/>
              </w:rPr>
            </w:pPr>
            <w:r>
              <w:rPr>
                <w:rFonts w:ascii="Arial" w:cs="Arial" w:eastAsia="Arial" w:hAnsi="Arial"/>
                <w:sz w:val="18"/>
                <w:szCs w:val="18"/>
                <w:color w:val="auto"/>
              </w:rPr>
              <w:t>Quorum</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1.6</w:t>
            </w:r>
          </w:p>
        </w:tc>
        <w:tc>
          <w:tcPr>
            <w:tcW w:w="7260" w:type="dxa"/>
            <w:vAlign w:val="bottom"/>
          </w:tcPr>
          <w:p>
            <w:pPr>
              <w:ind w:left="60"/>
              <w:spacing w:after="0"/>
              <w:rPr>
                <w:sz w:val="20"/>
                <w:szCs w:val="20"/>
                <w:color w:val="auto"/>
              </w:rPr>
            </w:pPr>
            <w:r>
              <w:rPr>
                <w:rFonts w:ascii="Arial" w:cs="Arial" w:eastAsia="Arial" w:hAnsi="Arial"/>
                <w:sz w:val="18"/>
                <w:szCs w:val="18"/>
                <w:color w:val="auto"/>
              </w:rPr>
              <w:t>Organization</w:t>
            </w:r>
          </w:p>
        </w:tc>
        <w:tc>
          <w:tcPr>
            <w:tcW w:w="2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1.7</w:t>
            </w:r>
          </w:p>
        </w:tc>
        <w:tc>
          <w:tcPr>
            <w:tcW w:w="7260" w:type="dxa"/>
            <w:vAlign w:val="bottom"/>
          </w:tcPr>
          <w:p>
            <w:pPr>
              <w:ind w:left="60"/>
              <w:spacing w:after="0"/>
              <w:rPr>
                <w:sz w:val="20"/>
                <w:szCs w:val="20"/>
                <w:color w:val="auto"/>
              </w:rPr>
            </w:pPr>
            <w:r>
              <w:rPr>
                <w:rFonts w:ascii="Arial" w:cs="Arial" w:eastAsia="Arial" w:hAnsi="Arial"/>
                <w:sz w:val="18"/>
                <w:szCs w:val="18"/>
                <w:color w:val="auto"/>
              </w:rPr>
              <w:t>Voting; Proxies</w:t>
            </w:r>
          </w:p>
        </w:tc>
        <w:tc>
          <w:tcPr>
            <w:tcW w:w="2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1.8</w:t>
            </w:r>
          </w:p>
        </w:tc>
        <w:tc>
          <w:tcPr>
            <w:tcW w:w="7260" w:type="dxa"/>
            <w:vAlign w:val="bottom"/>
          </w:tcPr>
          <w:p>
            <w:pPr>
              <w:ind w:left="60"/>
              <w:spacing w:after="0"/>
              <w:rPr>
                <w:sz w:val="20"/>
                <w:szCs w:val="20"/>
                <w:color w:val="auto"/>
              </w:rPr>
            </w:pPr>
            <w:r>
              <w:rPr>
                <w:rFonts w:ascii="Arial" w:cs="Arial" w:eastAsia="Arial" w:hAnsi="Arial"/>
                <w:sz w:val="18"/>
                <w:szCs w:val="18"/>
                <w:color w:val="auto"/>
              </w:rPr>
              <w:t>Fixing Date for Determination of Stockholders of Record</w:t>
            </w:r>
          </w:p>
        </w:tc>
        <w:tc>
          <w:tcPr>
            <w:tcW w:w="2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1.9</w:t>
            </w:r>
          </w:p>
        </w:tc>
        <w:tc>
          <w:tcPr>
            <w:tcW w:w="7260" w:type="dxa"/>
            <w:vAlign w:val="bottom"/>
          </w:tcPr>
          <w:p>
            <w:pPr>
              <w:ind w:left="60"/>
              <w:spacing w:after="0"/>
              <w:rPr>
                <w:sz w:val="20"/>
                <w:szCs w:val="20"/>
                <w:color w:val="auto"/>
              </w:rPr>
            </w:pPr>
            <w:r>
              <w:rPr>
                <w:rFonts w:ascii="Arial" w:cs="Arial" w:eastAsia="Arial" w:hAnsi="Arial"/>
                <w:sz w:val="18"/>
                <w:szCs w:val="18"/>
                <w:color w:val="auto"/>
              </w:rPr>
              <w:t>List of Stockholders Entitled to Vote</w:t>
            </w:r>
          </w:p>
        </w:tc>
        <w:tc>
          <w:tcPr>
            <w:tcW w:w="2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1.10</w:t>
            </w:r>
          </w:p>
        </w:tc>
        <w:tc>
          <w:tcPr>
            <w:tcW w:w="7260" w:type="dxa"/>
            <w:vAlign w:val="bottom"/>
          </w:tcPr>
          <w:p>
            <w:pPr>
              <w:ind w:left="60"/>
              <w:spacing w:after="0"/>
              <w:rPr>
                <w:sz w:val="20"/>
                <w:szCs w:val="20"/>
                <w:color w:val="auto"/>
              </w:rPr>
            </w:pPr>
            <w:r>
              <w:rPr>
                <w:rFonts w:ascii="Arial" w:cs="Arial" w:eastAsia="Arial" w:hAnsi="Arial"/>
                <w:sz w:val="18"/>
                <w:szCs w:val="18"/>
                <w:color w:val="auto"/>
              </w:rPr>
              <w:t>Inspectors of Elections</w:t>
            </w: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1.11</w:t>
            </w:r>
          </w:p>
        </w:tc>
        <w:tc>
          <w:tcPr>
            <w:tcW w:w="7260" w:type="dxa"/>
            <w:vAlign w:val="bottom"/>
          </w:tcPr>
          <w:p>
            <w:pPr>
              <w:ind w:left="60"/>
              <w:spacing w:after="0"/>
              <w:rPr>
                <w:sz w:val="20"/>
                <w:szCs w:val="20"/>
                <w:color w:val="auto"/>
              </w:rPr>
            </w:pPr>
            <w:r>
              <w:rPr>
                <w:rFonts w:ascii="Arial" w:cs="Arial" w:eastAsia="Arial" w:hAnsi="Arial"/>
                <w:sz w:val="18"/>
                <w:szCs w:val="18"/>
                <w:color w:val="auto"/>
              </w:rPr>
              <w:t>Conduct of Meetings</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1.12</w:t>
            </w:r>
          </w:p>
        </w:tc>
        <w:tc>
          <w:tcPr>
            <w:tcW w:w="7260" w:type="dxa"/>
            <w:vAlign w:val="bottom"/>
          </w:tcPr>
          <w:p>
            <w:pPr>
              <w:ind w:left="60"/>
              <w:spacing w:after="0"/>
              <w:rPr>
                <w:sz w:val="20"/>
                <w:szCs w:val="20"/>
                <w:color w:val="auto"/>
              </w:rPr>
            </w:pPr>
            <w:r>
              <w:rPr>
                <w:rFonts w:ascii="Arial" w:cs="Arial" w:eastAsia="Arial" w:hAnsi="Arial"/>
                <w:sz w:val="18"/>
                <w:szCs w:val="18"/>
                <w:color w:val="auto"/>
              </w:rPr>
              <w:t>Notice of Stockholder Business; Nominations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1.13</w:t>
            </w:r>
          </w:p>
        </w:tc>
        <w:tc>
          <w:tcPr>
            <w:tcW w:w="7260" w:type="dxa"/>
            <w:vAlign w:val="bottom"/>
          </w:tcPr>
          <w:p>
            <w:pPr>
              <w:ind w:left="60"/>
              <w:spacing w:after="0"/>
              <w:rPr>
                <w:sz w:val="20"/>
                <w:szCs w:val="20"/>
                <w:color w:val="auto"/>
              </w:rPr>
            </w:pPr>
            <w:r>
              <w:rPr>
                <w:rFonts w:ascii="Arial" w:cs="Arial" w:eastAsia="Arial" w:hAnsi="Arial"/>
                <w:sz w:val="18"/>
                <w:szCs w:val="18"/>
                <w:color w:val="auto"/>
              </w:rPr>
              <w:t>Action by Written Consent of Stockholders</w:t>
            </w:r>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1.14</w:t>
            </w:r>
          </w:p>
        </w:tc>
        <w:tc>
          <w:tcPr>
            <w:tcW w:w="7260" w:type="dxa"/>
            <w:vAlign w:val="bottom"/>
          </w:tcPr>
          <w:p>
            <w:pPr>
              <w:ind w:left="60"/>
              <w:spacing w:after="0"/>
              <w:rPr>
                <w:sz w:val="20"/>
                <w:szCs w:val="20"/>
                <w:color w:val="auto"/>
              </w:rPr>
            </w:pPr>
            <w:r>
              <w:rPr>
                <w:rFonts w:ascii="Arial" w:cs="Arial" w:eastAsia="Arial" w:hAnsi="Arial"/>
                <w:sz w:val="18"/>
                <w:szCs w:val="18"/>
                <w:color w:val="auto"/>
              </w:rPr>
              <w:t>Delivery to the Corporation</w:t>
            </w:r>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18"/>
        </w:trPr>
        <w:tc>
          <w:tcPr>
            <w:tcW w:w="8560" w:type="dxa"/>
            <w:vAlign w:val="bottom"/>
            <w:gridSpan w:val="2"/>
          </w:tcPr>
          <w:p>
            <w:pPr>
              <w:spacing w:after="0"/>
              <w:rPr>
                <w:sz w:val="20"/>
                <w:szCs w:val="20"/>
                <w:color w:val="auto"/>
              </w:rPr>
            </w:pPr>
            <w:r>
              <w:rPr>
                <w:rFonts w:ascii="Arial" w:cs="Arial" w:eastAsia="Arial" w:hAnsi="Arial"/>
                <w:sz w:val="18"/>
                <w:szCs w:val="18"/>
                <w:color w:val="auto"/>
              </w:rPr>
              <w:t>ARTICLE II BOARD OF DIRECTORS</w:t>
            </w:r>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7260" w:type="dxa"/>
            <w:vAlign w:val="bottom"/>
          </w:tcPr>
          <w:p>
            <w:pPr>
              <w:ind w:left="60"/>
              <w:spacing w:after="0"/>
              <w:rPr>
                <w:sz w:val="20"/>
                <w:szCs w:val="20"/>
                <w:color w:val="auto"/>
              </w:rPr>
            </w:pPr>
            <w:r>
              <w:rPr>
                <w:rFonts w:ascii="Arial" w:cs="Arial" w:eastAsia="Arial" w:hAnsi="Arial"/>
                <w:sz w:val="18"/>
                <w:szCs w:val="18"/>
                <w:color w:val="auto"/>
              </w:rPr>
              <w:t>Number; Qualifications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7260" w:type="dxa"/>
            <w:vAlign w:val="bottom"/>
          </w:tcPr>
          <w:p>
            <w:pPr>
              <w:ind w:left="60"/>
              <w:spacing w:after="0"/>
              <w:rPr>
                <w:sz w:val="20"/>
                <w:szCs w:val="20"/>
                <w:color w:val="auto"/>
              </w:rPr>
            </w:pPr>
            <w:r>
              <w:rPr>
                <w:rFonts w:ascii="Arial" w:cs="Arial" w:eastAsia="Arial" w:hAnsi="Arial"/>
                <w:sz w:val="18"/>
                <w:szCs w:val="18"/>
                <w:color w:val="auto"/>
              </w:rPr>
              <w:t>Election; Resignation; Removal; Vacancies</w:t>
            </w:r>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7260" w:type="dxa"/>
            <w:vAlign w:val="bottom"/>
          </w:tcPr>
          <w:p>
            <w:pPr>
              <w:ind w:left="60"/>
              <w:spacing w:after="0"/>
              <w:rPr>
                <w:sz w:val="20"/>
                <w:szCs w:val="20"/>
                <w:color w:val="auto"/>
              </w:rPr>
            </w:pPr>
            <w:r>
              <w:rPr>
                <w:rFonts w:ascii="Arial" w:cs="Arial" w:eastAsia="Arial" w:hAnsi="Arial"/>
                <w:sz w:val="18"/>
                <w:szCs w:val="18"/>
                <w:color w:val="auto"/>
              </w:rPr>
              <w:t>Regular Meetings</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2.4</w:t>
            </w:r>
          </w:p>
        </w:tc>
        <w:tc>
          <w:tcPr>
            <w:tcW w:w="7260" w:type="dxa"/>
            <w:vAlign w:val="bottom"/>
          </w:tcPr>
          <w:p>
            <w:pPr>
              <w:ind w:left="60"/>
              <w:spacing w:after="0"/>
              <w:rPr>
                <w:sz w:val="20"/>
                <w:szCs w:val="20"/>
                <w:color w:val="auto"/>
              </w:rPr>
            </w:pPr>
            <w:r>
              <w:rPr>
                <w:rFonts w:ascii="Arial" w:cs="Arial" w:eastAsia="Arial" w:hAnsi="Arial"/>
                <w:sz w:val="18"/>
                <w:szCs w:val="18"/>
                <w:color w:val="auto"/>
              </w:rPr>
              <w:t>Special Meetings</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2.5</w:t>
            </w:r>
          </w:p>
        </w:tc>
        <w:tc>
          <w:tcPr>
            <w:tcW w:w="7260" w:type="dxa"/>
            <w:vAlign w:val="bottom"/>
          </w:tcPr>
          <w:p>
            <w:pPr>
              <w:ind w:left="60"/>
              <w:spacing w:after="0"/>
              <w:rPr>
                <w:sz w:val="20"/>
                <w:szCs w:val="20"/>
                <w:color w:val="auto"/>
              </w:rPr>
            </w:pPr>
            <w:r>
              <w:rPr>
                <w:rFonts w:ascii="Arial" w:cs="Arial" w:eastAsia="Arial" w:hAnsi="Arial"/>
                <w:sz w:val="18"/>
                <w:szCs w:val="18"/>
                <w:color w:val="auto"/>
              </w:rPr>
              <w:t>Remote Meetings Permitted</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2.6</w:t>
            </w:r>
          </w:p>
        </w:tc>
        <w:tc>
          <w:tcPr>
            <w:tcW w:w="7260" w:type="dxa"/>
            <w:vAlign w:val="bottom"/>
          </w:tcPr>
          <w:p>
            <w:pPr>
              <w:ind w:left="60"/>
              <w:spacing w:after="0"/>
              <w:rPr>
                <w:sz w:val="20"/>
                <w:szCs w:val="20"/>
                <w:color w:val="auto"/>
              </w:rPr>
            </w:pPr>
            <w:r>
              <w:rPr>
                <w:rFonts w:ascii="Arial" w:cs="Arial" w:eastAsia="Arial" w:hAnsi="Arial"/>
                <w:sz w:val="18"/>
                <w:szCs w:val="18"/>
                <w:color w:val="auto"/>
              </w:rPr>
              <w:t>Quorum; Vote Required for Action</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2.7</w:t>
            </w:r>
          </w:p>
        </w:tc>
        <w:tc>
          <w:tcPr>
            <w:tcW w:w="7260" w:type="dxa"/>
            <w:vAlign w:val="bottom"/>
          </w:tcPr>
          <w:p>
            <w:pPr>
              <w:ind w:left="60"/>
              <w:spacing w:after="0"/>
              <w:rPr>
                <w:sz w:val="20"/>
                <w:szCs w:val="20"/>
                <w:color w:val="auto"/>
              </w:rPr>
            </w:pPr>
            <w:r>
              <w:rPr>
                <w:rFonts w:ascii="Arial" w:cs="Arial" w:eastAsia="Arial" w:hAnsi="Arial"/>
                <w:sz w:val="18"/>
                <w:szCs w:val="18"/>
                <w:color w:val="auto"/>
              </w:rPr>
              <w:t>Organization</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2.8</w:t>
            </w:r>
          </w:p>
        </w:tc>
        <w:tc>
          <w:tcPr>
            <w:tcW w:w="7260" w:type="dxa"/>
            <w:vAlign w:val="bottom"/>
          </w:tcPr>
          <w:p>
            <w:pPr>
              <w:ind w:left="60"/>
              <w:spacing w:after="0"/>
              <w:rPr>
                <w:sz w:val="20"/>
                <w:szCs w:val="20"/>
                <w:color w:val="auto"/>
              </w:rPr>
            </w:pPr>
            <w:r>
              <w:rPr>
                <w:rFonts w:ascii="Arial" w:cs="Arial" w:eastAsia="Arial" w:hAnsi="Arial"/>
                <w:sz w:val="18"/>
                <w:szCs w:val="18"/>
                <w:color w:val="auto"/>
              </w:rPr>
              <w:t>Unanimous Action by Directors in Lieu of a Meeting</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2.9</w:t>
            </w:r>
          </w:p>
        </w:tc>
        <w:tc>
          <w:tcPr>
            <w:tcW w:w="7260" w:type="dxa"/>
            <w:vAlign w:val="bottom"/>
          </w:tcPr>
          <w:p>
            <w:pPr>
              <w:ind w:left="60"/>
              <w:spacing w:after="0"/>
              <w:rPr>
                <w:sz w:val="20"/>
                <w:szCs w:val="20"/>
                <w:color w:val="auto"/>
              </w:rPr>
            </w:pPr>
            <w:r>
              <w:rPr>
                <w:rFonts w:ascii="Arial" w:cs="Arial" w:eastAsia="Arial" w:hAnsi="Arial"/>
                <w:sz w:val="18"/>
                <w:szCs w:val="18"/>
                <w:color w:val="auto"/>
              </w:rPr>
              <w:t>Powers</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2.10</w:t>
            </w:r>
          </w:p>
        </w:tc>
        <w:tc>
          <w:tcPr>
            <w:tcW w:w="7260" w:type="dxa"/>
            <w:vAlign w:val="bottom"/>
          </w:tcPr>
          <w:p>
            <w:pPr>
              <w:ind w:left="60"/>
              <w:spacing w:after="0"/>
              <w:rPr>
                <w:sz w:val="20"/>
                <w:szCs w:val="20"/>
                <w:color w:val="auto"/>
              </w:rPr>
            </w:pPr>
            <w:r>
              <w:rPr>
                <w:rFonts w:ascii="Arial" w:cs="Arial" w:eastAsia="Arial" w:hAnsi="Arial"/>
                <w:sz w:val="18"/>
                <w:szCs w:val="18"/>
                <w:color w:val="auto"/>
              </w:rPr>
              <w:t>Compensation of Directors</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2.11</w:t>
            </w:r>
          </w:p>
        </w:tc>
        <w:tc>
          <w:tcPr>
            <w:tcW w:w="7260" w:type="dxa"/>
            <w:vAlign w:val="bottom"/>
          </w:tcPr>
          <w:p>
            <w:pPr>
              <w:ind w:left="60"/>
              <w:spacing w:after="0"/>
              <w:rPr>
                <w:sz w:val="20"/>
                <w:szCs w:val="20"/>
                <w:color w:val="auto"/>
              </w:rPr>
            </w:pPr>
            <w:r>
              <w:rPr>
                <w:rFonts w:ascii="Arial" w:cs="Arial" w:eastAsia="Arial" w:hAnsi="Arial"/>
                <w:sz w:val="18"/>
                <w:szCs w:val="18"/>
                <w:color w:val="auto"/>
              </w:rPr>
              <w:t>Confidentiality</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18"/>
        </w:trPr>
        <w:tc>
          <w:tcPr>
            <w:tcW w:w="8560" w:type="dxa"/>
            <w:vAlign w:val="bottom"/>
            <w:gridSpan w:val="2"/>
          </w:tcPr>
          <w:p>
            <w:pPr>
              <w:spacing w:after="0"/>
              <w:rPr>
                <w:sz w:val="20"/>
                <w:szCs w:val="20"/>
                <w:color w:val="auto"/>
              </w:rPr>
            </w:pPr>
            <w:r>
              <w:rPr>
                <w:rFonts w:ascii="Arial" w:cs="Arial" w:eastAsia="Arial" w:hAnsi="Arial"/>
                <w:sz w:val="18"/>
                <w:szCs w:val="18"/>
                <w:color w:val="auto"/>
              </w:rPr>
              <w:t>ARTICLE III COMMITTEES</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7260" w:type="dxa"/>
            <w:vAlign w:val="bottom"/>
          </w:tcPr>
          <w:p>
            <w:pPr>
              <w:ind w:left="60"/>
              <w:spacing w:after="0"/>
              <w:rPr>
                <w:sz w:val="20"/>
                <w:szCs w:val="20"/>
                <w:color w:val="auto"/>
              </w:rPr>
            </w:pPr>
            <w:r>
              <w:rPr>
                <w:rFonts w:ascii="Arial" w:cs="Arial" w:eastAsia="Arial" w:hAnsi="Arial"/>
                <w:sz w:val="18"/>
                <w:szCs w:val="18"/>
                <w:color w:val="auto"/>
              </w:rPr>
              <w:t>Committees</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7260" w:type="dxa"/>
            <w:vAlign w:val="bottom"/>
          </w:tcPr>
          <w:p>
            <w:pPr>
              <w:ind w:left="60"/>
              <w:spacing w:after="0"/>
              <w:rPr>
                <w:sz w:val="20"/>
                <w:szCs w:val="20"/>
                <w:color w:val="auto"/>
              </w:rPr>
            </w:pPr>
            <w:r>
              <w:rPr>
                <w:rFonts w:ascii="Arial" w:cs="Arial" w:eastAsia="Arial" w:hAnsi="Arial"/>
                <w:sz w:val="18"/>
                <w:szCs w:val="18"/>
                <w:color w:val="auto"/>
              </w:rPr>
              <w:t>Committee Rules</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18"/>
        </w:trPr>
        <w:tc>
          <w:tcPr>
            <w:tcW w:w="8560" w:type="dxa"/>
            <w:vAlign w:val="bottom"/>
            <w:gridSpan w:val="2"/>
          </w:tcPr>
          <w:p>
            <w:pPr>
              <w:spacing w:after="0"/>
              <w:rPr>
                <w:sz w:val="20"/>
                <w:szCs w:val="20"/>
                <w:color w:val="auto"/>
              </w:rPr>
            </w:pPr>
            <w:r>
              <w:rPr>
                <w:rFonts w:ascii="Arial" w:cs="Arial" w:eastAsia="Arial" w:hAnsi="Arial"/>
                <w:sz w:val="18"/>
                <w:szCs w:val="18"/>
                <w:color w:val="auto"/>
              </w:rPr>
              <w:t>ARTICLE IV OFFICERS; CHAIRPERSON; LEAD INDEPENDENT DIRECTOR</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7260" w:type="dxa"/>
            <w:vAlign w:val="bottom"/>
          </w:tcPr>
          <w:p>
            <w:pPr>
              <w:ind w:left="60"/>
              <w:spacing w:after="0"/>
              <w:rPr>
                <w:sz w:val="20"/>
                <w:szCs w:val="20"/>
                <w:color w:val="auto"/>
              </w:rPr>
            </w:pPr>
            <w:r>
              <w:rPr>
                <w:rFonts w:ascii="Arial" w:cs="Arial" w:eastAsia="Arial" w:hAnsi="Arial"/>
                <w:sz w:val="18"/>
                <w:szCs w:val="18"/>
                <w:color w:val="auto"/>
              </w:rPr>
              <w:t>Generally</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7260" w:type="dxa"/>
            <w:vAlign w:val="bottom"/>
          </w:tcPr>
          <w:p>
            <w:pPr>
              <w:ind w:left="60"/>
              <w:spacing w:after="0"/>
              <w:rPr>
                <w:sz w:val="20"/>
                <w:szCs w:val="20"/>
                <w:color w:val="auto"/>
              </w:rPr>
            </w:pPr>
            <w:r>
              <w:rPr>
                <w:rFonts w:ascii="Arial" w:cs="Arial" w:eastAsia="Arial" w:hAnsi="Arial"/>
                <w:sz w:val="18"/>
                <w:szCs w:val="18"/>
                <w:color w:val="auto"/>
              </w:rPr>
              <w:t>Chief Executive Officer</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4.3</w:t>
            </w:r>
          </w:p>
        </w:tc>
        <w:tc>
          <w:tcPr>
            <w:tcW w:w="7260" w:type="dxa"/>
            <w:vAlign w:val="bottom"/>
          </w:tcPr>
          <w:p>
            <w:pPr>
              <w:ind w:left="60"/>
              <w:spacing w:after="0"/>
              <w:rPr>
                <w:sz w:val="20"/>
                <w:szCs w:val="20"/>
                <w:color w:val="auto"/>
              </w:rPr>
            </w:pPr>
            <w:r>
              <w:rPr>
                <w:rFonts w:ascii="Arial" w:cs="Arial" w:eastAsia="Arial" w:hAnsi="Arial"/>
                <w:sz w:val="18"/>
                <w:szCs w:val="18"/>
                <w:color w:val="auto"/>
              </w:rPr>
              <w:t>Chairperson of the Board</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4.4</w:t>
            </w:r>
          </w:p>
        </w:tc>
        <w:tc>
          <w:tcPr>
            <w:tcW w:w="7260" w:type="dxa"/>
            <w:vAlign w:val="bottom"/>
          </w:tcPr>
          <w:p>
            <w:pPr>
              <w:ind w:left="60"/>
              <w:spacing w:after="0"/>
              <w:rPr>
                <w:sz w:val="20"/>
                <w:szCs w:val="20"/>
                <w:color w:val="auto"/>
              </w:rPr>
            </w:pPr>
            <w:r>
              <w:rPr>
                <w:rFonts w:ascii="Arial" w:cs="Arial" w:eastAsia="Arial" w:hAnsi="Arial"/>
                <w:sz w:val="18"/>
                <w:szCs w:val="18"/>
                <w:color w:val="auto"/>
              </w:rPr>
              <w:t>Lead Independent Director</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4.5</w:t>
            </w:r>
          </w:p>
        </w:tc>
        <w:tc>
          <w:tcPr>
            <w:tcW w:w="7260" w:type="dxa"/>
            <w:vAlign w:val="bottom"/>
          </w:tcPr>
          <w:p>
            <w:pPr>
              <w:ind w:left="60"/>
              <w:spacing w:after="0"/>
              <w:rPr>
                <w:sz w:val="20"/>
                <w:szCs w:val="20"/>
                <w:color w:val="auto"/>
              </w:rPr>
            </w:pPr>
            <w:r>
              <w:rPr>
                <w:rFonts w:ascii="Arial" w:cs="Arial" w:eastAsia="Arial" w:hAnsi="Arial"/>
                <w:sz w:val="18"/>
                <w:szCs w:val="18"/>
                <w:color w:val="auto"/>
              </w:rPr>
              <w:t>President</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4.6</w:t>
            </w:r>
          </w:p>
        </w:tc>
        <w:tc>
          <w:tcPr>
            <w:tcW w:w="7260" w:type="dxa"/>
            <w:vAlign w:val="bottom"/>
          </w:tcPr>
          <w:p>
            <w:pPr>
              <w:ind w:left="60"/>
              <w:spacing w:after="0"/>
              <w:rPr>
                <w:sz w:val="20"/>
                <w:szCs w:val="20"/>
                <w:color w:val="auto"/>
              </w:rPr>
            </w:pPr>
            <w:r>
              <w:rPr>
                <w:rFonts w:ascii="Arial" w:cs="Arial" w:eastAsia="Arial" w:hAnsi="Arial"/>
                <w:sz w:val="18"/>
                <w:szCs w:val="18"/>
                <w:color w:val="auto"/>
              </w:rPr>
              <w:t>Chief Financial Officer</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4.7</w:t>
            </w:r>
          </w:p>
        </w:tc>
        <w:tc>
          <w:tcPr>
            <w:tcW w:w="7260" w:type="dxa"/>
            <w:vAlign w:val="bottom"/>
          </w:tcPr>
          <w:p>
            <w:pPr>
              <w:ind w:left="60"/>
              <w:spacing w:after="0"/>
              <w:rPr>
                <w:sz w:val="20"/>
                <w:szCs w:val="20"/>
                <w:color w:val="auto"/>
              </w:rPr>
            </w:pPr>
            <w:r>
              <w:rPr>
                <w:rFonts w:ascii="Arial" w:cs="Arial" w:eastAsia="Arial" w:hAnsi="Arial"/>
                <w:sz w:val="18"/>
                <w:szCs w:val="18"/>
                <w:color w:val="auto"/>
              </w:rPr>
              <w:t>Treasurer</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4.8</w:t>
            </w:r>
          </w:p>
        </w:tc>
        <w:tc>
          <w:tcPr>
            <w:tcW w:w="7260" w:type="dxa"/>
            <w:vAlign w:val="bottom"/>
          </w:tcPr>
          <w:p>
            <w:pPr>
              <w:ind w:left="60"/>
              <w:spacing w:after="0"/>
              <w:rPr>
                <w:sz w:val="20"/>
                <w:szCs w:val="20"/>
                <w:color w:val="auto"/>
              </w:rPr>
            </w:pPr>
            <w:r>
              <w:rPr>
                <w:rFonts w:ascii="Arial" w:cs="Arial" w:eastAsia="Arial" w:hAnsi="Arial"/>
                <w:sz w:val="18"/>
                <w:szCs w:val="18"/>
                <w:color w:val="auto"/>
              </w:rPr>
              <w:t>Vice President</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4.9</w:t>
            </w:r>
          </w:p>
        </w:tc>
        <w:tc>
          <w:tcPr>
            <w:tcW w:w="7260" w:type="dxa"/>
            <w:vAlign w:val="bottom"/>
          </w:tcPr>
          <w:p>
            <w:pPr>
              <w:ind w:left="60"/>
              <w:spacing w:after="0"/>
              <w:rPr>
                <w:sz w:val="20"/>
                <w:szCs w:val="20"/>
                <w:color w:val="auto"/>
              </w:rPr>
            </w:pPr>
            <w:r>
              <w:rPr>
                <w:rFonts w:ascii="Arial" w:cs="Arial" w:eastAsia="Arial" w:hAnsi="Arial"/>
                <w:sz w:val="18"/>
                <w:szCs w:val="18"/>
                <w:color w:val="auto"/>
              </w:rPr>
              <w:t>Secretary</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4.10</w:t>
            </w:r>
          </w:p>
        </w:tc>
        <w:tc>
          <w:tcPr>
            <w:tcW w:w="7260" w:type="dxa"/>
            <w:vAlign w:val="bottom"/>
          </w:tcPr>
          <w:p>
            <w:pPr>
              <w:ind w:left="60"/>
              <w:spacing w:after="0"/>
              <w:rPr>
                <w:sz w:val="20"/>
                <w:szCs w:val="20"/>
                <w:color w:val="auto"/>
              </w:rPr>
            </w:pPr>
            <w:r>
              <w:rPr>
                <w:rFonts w:ascii="Arial" w:cs="Arial" w:eastAsia="Arial" w:hAnsi="Arial"/>
                <w:sz w:val="18"/>
                <w:szCs w:val="18"/>
                <w:color w:val="auto"/>
              </w:rPr>
              <w:t>Delegation of Authority</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bl>
    <w:p>
      <w:pPr>
        <w:jc w:val="right"/>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4" w:name="page15"/>
    <w:bookmarkEnd w:id="1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4.11</w:t>
            </w:r>
          </w:p>
        </w:tc>
        <w:tc>
          <w:tcPr>
            <w:tcW w:w="8280" w:type="dxa"/>
            <w:vAlign w:val="bottom"/>
          </w:tcPr>
          <w:p>
            <w:pPr>
              <w:ind w:left="60"/>
              <w:spacing w:after="0"/>
              <w:rPr>
                <w:sz w:val="20"/>
                <w:szCs w:val="20"/>
                <w:color w:val="auto"/>
              </w:rPr>
            </w:pPr>
            <w:r>
              <w:rPr>
                <w:rFonts w:ascii="Arial" w:cs="Arial" w:eastAsia="Arial" w:hAnsi="Arial"/>
                <w:sz w:val="18"/>
                <w:szCs w:val="18"/>
                <w:color w:val="auto"/>
              </w:rPr>
              <w:t>Removal</w:t>
            </w:r>
          </w:p>
        </w:tc>
        <w:tc>
          <w:tcPr>
            <w:tcW w:w="13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4.12</w:t>
            </w:r>
          </w:p>
        </w:tc>
        <w:tc>
          <w:tcPr>
            <w:tcW w:w="8280" w:type="dxa"/>
            <w:vAlign w:val="bottom"/>
          </w:tcPr>
          <w:p>
            <w:pPr>
              <w:ind w:left="60"/>
              <w:spacing w:after="0"/>
              <w:rPr>
                <w:sz w:val="20"/>
                <w:szCs w:val="20"/>
                <w:color w:val="auto"/>
              </w:rPr>
            </w:pPr>
            <w:r>
              <w:rPr>
                <w:rFonts w:ascii="Arial" w:cs="Arial" w:eastAsia="Arial" w:hAnsi="Arial"/>
                <w:sz w:val="18"/>
                <w:szCs w:val="18"/>
                <w:color w:val="auto"/>
              </w:rPr>
              <w:t>Voting Shares in Other Business Entities</w:t>
            </w:r>
          </w:p>
        </w:tc>
        <w:tc>
          <w:tcPr>
            <w:tcW w:w="13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4.13</w:t>
            </w:r>
          </w:p>
        </w:tc>
        <w:tc>
          <w:tcPr>
            <w:tcW w:w="8280" w:type="dxa"/>
            <w:vAlign w:val="bottom"/>
          </w:tcPr>
          <w:p>
            <w:pPr>
              <w:ind w:left="60"/>
              <w:spacing w:after="0"/>
              <w:rPr>
                <w:sz w:val="20"/>
                <w:szCs w:val="20"/>
                <w:color w:val="auto"/>
              </w:rPr>
            </w:pPr>
            <w:r>
              <w:rPr>
                <w:rFonts w:ascii="Arial" w:cs="Arial" w:eastAsia="Arial" w:hAnsi="Arial"/>
                <w:sz w:val="18"/>
                <w:szCs w:val="18"/>
                <w:color w:val="auto"/>
              </w:rPr>
              <w:t>Execution of Corporate Contracts and Instruments</w:t>
            </w:r>
          </w:p>
        </w:tc>
        <w:tc>
          <w:tcPr>
            <w:tcW w:w="13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8"/>
        </w:trPr>
        <w:tc>
          <w:tcPr>
            <w:tcW w:w="9580" w:type="dxa"/>
            <w:vAlign w:val="bottom"/>
            <w:gridSpan w:val="2"/>
          </w:tcPr>
          <w:p>
            <w:pPr>
              <w:spacing w:after="0"/>
              <w:rPr>
                <w:sz w:val="20"/>
                <w:szCs w:val="20"/>
                <w:color w:val="auto"/>
              </w:rPr>
            </w:pPr>
            <w:r>
              <w:rPr>
                <w:rFonts w:ascii="Arial" w:cs="Arial" w:eastAsia="Arial" w:hAnsi="Arial"/>
                <w:sz w:val="18"/>
                <w:szCs w:val="18"/>
                <w:color w:val="auto"/>
              </w:rPr>
              <w:t>ARTICLE V STOCK</w:t>
            </w:r>
          </w:p>
        </w:tc>
        <w:tc>
          <w:tcPr>
            <w:tcW w:w="13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8280" w:type="dxa"/>
            <w:vAlign w:val="bottom"/>
          </w:tcPr>
          <w:p>
            <w:pPr>
              <w:ind w:left="60"/>
              <w:spacing w:after="0"/>
              <w:rPr>
                <w:sz w:val="20"/>
                <w:szCs w:val="20"/>
                <w:color w:val="auto"/>
              </w:rPr>
            </w:pPr>
            <w:r>
              <w:rPr>
                <w:rFonts w:ascii="Arial" w:cs="Arial" w:eastAsia="Arial" w:hAnsi="Arial"/>
                <w:sz w:val="18"/>
                <w:szCs w:val="18"/>
                <w:color w:val="auto"/>
              </w:rPr>
              <w:t>Certificates; Uncertificated Shares</w:t>
            </w:r>
          </w:p>
        </w:tc>
        <w:tc>
          <w:tcPr>
            <w:tcW w:w="13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8280" w:type="dxa"/>
            <w:vAlign w:val="bottom"/>
          </w:tcPr>
          <w:p>
            <w:pPr>
              <w:ind w:left="60"/>
              <w:spacing w:after="0"/>
              <w:rPr>
                <w:sz w:val="20"/>
                <w:szCs w:val="20"/>
                <w:color w:val="auto"/>
              </w:rPr>
            </w:pPr>
            <w:r>
              <w:rPr>
                <w:rFonts w:ascii="Arial" w:cs="Arial" w:eastAsia="Arial" w:hAnsi="Arial"/>
                <w:sz w:val="18"/>
                <w:szCs w:val="18"/>
                <w:color w:val="auto"/>
              </w:rPr>
              <w:t>Lost, Stolen or Destroyed Stock Certificates; Issuance of New Certificates or Uncertificated Shares</w:t>
            </w:r>
          </w:p>
        </w:tc>
        <w:tc>
          <w:tcPr>
            <w:tcW w:w="13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rPr>
              <w:t>Section 5.3</w:t>
            </w:r>
          </w:p>
        </w:tc>
        <w:tc>
          <w:tcPr>
            <w:tcW w:w="8280" w:type="dxa"/>
            <w:vAlign w:val="bottom"/>
          </w:tcPr>
          <w:p>
            <w:pPr>
              <w:ind w:left="60"/>
              <w:spacing w:after="0"/>
              <w:rPr>
                <w:sz w:val="20"/>
                <w:szCs w:val="20"/>
                <w:color w:val="auto"/>
              </w:rPr>
            </w:pPr>
            <w:r>
              <w:rPr>
                <w:rFonts w:ascii="Arial" w:cs="Arial" w:eastAsia="Arial" w:hAnsi="Arial"/>
                <w:sz w:val="18"/>
                <w:szCs w:val="18"/>
                <w:color w:val="auto"/>
              </w:rPr>
              <w:t>Other Regulations</w:t>
            </w:r>
          </w:p>
        </w:tc>
        <w:tc>
          <w:tcPr>
            <w:tcW w:w="13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18"/>
        </w:trPr>
        <w:tc>
          <w:tcPr>
            <w:tcW w:w="9580" w:type="dxa"/>
            <w:vAlign w:val="bottom"/>
            <w:gridSpan w:val="2"/>
          </w:tcPr>
          <w:p>
            <w:pPr>
              <w:spacing w:after="0"/>
              <w:rPr>
                <w:sz w:val="20"/>
                <w:szCs w:val="20"/>
                <w:color w:val="auto"/>
              </w:rPr>
            </w:pPr>
            <w:r>
              <w:rPr>
                <w:rFonts w:ascii="Arial" w:cs="Arial" w:eastAsia="Arial" w:hAnsi="Arial"/>
                <w:sz w:val="18"/>
                <w:szCs w:val="18"/>
                <w:color w:val="auto"/>
              </w:rPr>
              <w:t>ARTICLE VI INDEMNIFICATION</w:t>
            </w:r>
          </w:p>
        </w:tc>
        <w:tc>
          <w:tcPr>
            <w:tcW w:w="13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8280" w:type="dxa"/>
            <w:vAlign w:val="bottom"/>
          </w:tcPr>
          <w:p>
            <w:pPr>
              <w:ind w:left="60"/>
              <w:spacing w:after="0"/>
              <w:rPr>
                <w:sz w:val="20"/>
                <w:szCs w:val="20"/>
                <w:color w:val="auto"/>
              </w:rPr>
            </w:pPr>
            <w:r>
              <w:rPr>
                <w:rFonts w:ascii="Arial" w:cs="Arial" w:eastAsia="Arial" w:hAnsi="Arial"/>
                <w:sz w:val="18"/>
                <w:szCs w:val="18"/>
                <w:color w:val="auto"/>
              </w:rPr>
              <w:t>Indemnification of Officers and Directors</w:t>
            </w:r>
          </w:p>
        </w:tc>
        <w:tc>
          <w:tcPr>
            <w:tcW w:w="13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6.2</w:t>
            </w:r>
          </w:p>
        </w:tc>
        <w:tc>
          <w:tcPr>
            <w:tcW w:w="8280" w:type="dxa"/>
            <w:vAlign w:val="bottom"/>
          </w:tcPr>
          <w:p>
            <w:pPr>
              <w:ind w:left="60"/>
              <w:spacing w:after="0"/>
              <w:rPr>
                <w:sz w:val="20"/>
                <w:szCs w:val="20"/>
                <w:color w:val="auto"/>
              </w:rPr>
            </w:pPr>
            <w:r>
              <w:rPr>
                <w:rFonts w:ascii="Arial" w:cs="Arial" w:eastAsia="Arial" w:hAnsi="Arial"/>
                <w:sz w:val="18"/>
                <w:szCs w:val="18"/>
                <w:color w:val="auto"/>
              </w:rPr>
              <w:t>Advance of Expenses</w:t>
            </w:r>
          </w:p>
        </w:tc>
        <w:tc>
          <w:tcPr>
            <w:tcW w:w="13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6.3</w:t>
            </w:r>
          </w:p>
        </w:tc>
        <w:tc>
          <w:tcPr>
            <w:tcW w:w="8280" w:type="dxa"/>
            <w:vAlign w:val="bottom"/>
          </w:tcPr>
          <w:p>
            <w:pPr>
              <w:ind w:left="60"/>
              <w:spacing w:after="0"/>
              <w:rPr>
                <w:sz w:val="20"/>
                <w:szCs w:val="20"/>
                <w:color w:val="auto"/>
              </w:rPr>
            </w:pPr>
            <w:r>
              <w:rPr>
                <w:rFonts w:ascii="Arial" w:cs="Arial" w:eastAsia="Arial" w:hAnsi="Arial"/>
                <w:sz w:val="18"/>
                <w:szCs w:val="18"/>
                <w:color w:val="auto"/>
              </w:rPr>
              <w:t>Non-Exclusivity of Rights</w:t>
            </w:r>
          </w:p>
        </w:tc>
        <w:tc>
          <w:tcPr>
            <w:tcW w:w="13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6.4</w:t>
            </w:r>
          </w:p>
        </w:tc>
        <w:tc>
          <w:tcPr>
            <w:tcW w:w="8280" w:type="dxa"/>
            <w:vAlign w:val="bottom"/>
          </w:tcPr>
          <w:p>
            <w:pPr>
              <w:ind w:left="60"/>
              <w:spacing w:after="0"/>
              <w:rPr>
                <w:sz w:val="20"/>
                <w:szCs w:val="20"/>
                <w:color w:val="auto"/>
              </w:rPr>
            </w:pPr>
            <w:r>
              <w:rPr>
                <w:rFonts w:ascii="Arial" w:cs="Arial" w:eastAsia="Arial" w:hAnsi="Arial"/>
                <w:sz w:val="18"/>
                <w:szCs w:val="18"/>
                <w:color w:val="auto"/>
              </w:rPr>
              <w:t>Indemnification Contracts</w:t>
            </w:r>
          </w:p>
        </w:tc>
        <w:tc>
          <w:tcPr>
            <w:tcW w:w="13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6.5</w:t>
            </w:r>
          </w:p>
        </w:tc>
        <w:tc>
          <w:tcPr>
            <w:tcW w:w="8280" w:type="dxa"/>
            <w:vAlign w:val="bottom"/>
          </w:tcPr>
          <w:p>
            <w:pPr>
              <w:ind w:left="60"/>
              <w:spacing w:after="0"/>
              <w:rPr>
                <w:sz w:val="20"/>
                <w:szCs w:val="20"/>
                <w:color w:val="auto"/>
              </w:rPr>
            </w:pPr>
            <w:r>
              <w:rPr>
                <w:rFonts w:ascii="Arial" w:cs="Arial" w:eastAsia="Arial" w:hAnsi="Arial"/>
                <w:sz w:val="18"/>
                <w:szCs w:val="18"/>
                <w:color w:val="auto"/>
              </w:rPr>
              <w:t>Right of Indemnitee to Bring Suit</w:t>
            </w:r>
          </w:p>
        </w:tc>
        <w:tc>
          <w:tcPr>
            <w:tcW w:w="13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6.6</w:t>
            </w:r>
          </w:p>
        </w:tc>
        <w:tc>
          <w:tcPr>
            <w:tcW w:w="8280" w:type="dxa"/>
            <w:vAlign w:val="bottom"/>
          </w:tcPr>
          <w:p>
            <w:pPr>
              <w:ind w:left="60"/>
              <w:spacing w:after="0"/>
              <w:rPr>
                <w:sz w:val="20"/>
                <w:szCs w:val="20"/>
                <w:color w:val="auto"/>
              </w:rPr>
            </w:pPr>
            <w:r>
              <w:rPr>
                <w:rFonts w:ascii="Arial" w:cs="Arial" w:eastAsia="Arial" w:hAnsi="Arial"/>
                <w:sz w:val="18"/>
                <w:szCs w:val="18"/>
                <w:color w:val="auto"/>
              </w:rPr>
              <w:t>Nature of Rights</w:t>
            </w:r>
          </w:p>
        </w:tc>
        <w:tc>
          <w:tcPr>
            <w:tcW w:w="13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rPr>
              <w:t>Section 6.7</w:t>
            </w:r>
          </w:p>
        </w:tc>
        <w:tc>
          <w:tcPr>
            <w:tcW w:w="8280" w:type="dxa"/>
            <w:vAlign w:val="bottom"/>
          </w:tcPr>
          <w:p>
            <w:pPr>
              <w:ind w:left="60"/>
              <w:spacing w:after="0"/>
              <w:rPr>
                <w:sz w:val="20"/>
                <w:szCs w:val="20"/>
                <w:color w:val="auto"/>
              </w:rPr>
            </w:pPr>
            <w:r>
              <w:rPr>
                <w:rFonts w:ascii="Arial" w:cs="Arial" w:eastAsia="Arial" w:hAnsi="Arial"/>
                <w:sz w:val="18"/>
                <w:szCs w:val="18"/>
                <w:color w:val="auto"/>
              </w:rPr>
              <w:t>Insurance</w:t>
            </w:r>
          </w:p>
        </w:tc>
        <w:tc>
          <w:tcPr>
            <w:tcW w:w="13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8"/>
        </w:trPr>
        <w:tc>
          <w:tcPr>
            <w:tcW w:w="9580" w:type="dxa"/>
            <w:vAlign w:val="bottom"/>
            <w:gridSpan w:val="2"/>
          </w:tcPr>
          <w:p>
            <w:pPr>
              <w:spacing w:after="0"/>
              <w:rPr>
                <w:sz w:val="20"/>
                <w:szCs w:val="20"/>
                <w:color w:val="auto"/>
              </w:rPr>
            </w:pPr>
            <w:r>
              <w:rPr>
                <w:rFonts w:ascii="Arial" w:cs="Arial" w:eastAsia="Arial" w:hAnsi="Arial"/>
                <w:sz w:val="18"/>
                <w:szCs w:val="18"/>
                <w:color w:val="auto"/>
              </w:rPr>
              <w:t>ARTICLE VII NOTICES</w:t>
            </w:r>
          </w:p>
        </w:tc>
        <w:tc>
          <w:tcPr>
            <w:tcW w:w="13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7.1</w:t>
            </w:r>
          </w:p>
        </w:tc>
        <w:tc>
          <w:tcPr>
            <w:tcW w:w="8280" w:type="dxa"/>
            <w:vAlign w:val="bottom"/>
          </w:tcPr>
          <w:p>
            <w:pPr>
              <w:ind w:left="60"/>
              <w:spacing w:after="0"/>
              <w:rPr>
                <w:sz w:val="20"/>
                <w:szCs w:val="20"/>
                <w:color w:val="auto"/>
              </w:rPr>
            </w:pPr>
            <w:r>
              <w:rPr>
                <w:rFonts w:ascii="Arial" w:cs="Arial" w:eastAsia="Arial" w:hAnsi="Arial"/>
                <w:sz w:val="18"/>
                <w:szCs w:val="18"/>
                <w:color w:val="auto"/>
              </w:rPr>
              <w:t>Notice</w:t>
            </w:r>
          </w:p>
        </w:tc>
        <w:tc>
          <w:tcPr>
            <w:tcW w:w="13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rPr>
              <w:t>Section 7.2</w:t>
            </w:r>
          </w:p>
        </w:tc>
        <w:tc>
          <w:tcPr>
            <w:tcW w:w="8280" w:type="dxa"/>
            <w:vAlign w:val="bottom"/>
          </w:tcPr>
          <w:p>
            <w:pPr>
              <w:ind w:left="60"/>
              <w:spacing w:after="0"/>
              <w:rPr>
                <w:sz w:val="20"/>
                <w:szCs w:val="20"/>
                <w:color w:val="auto"/>
              </w:rPr>
            </w:pPr>
            <w:r>
              <w:rPr>
                <w:rFonts w:ascii="Arial" w:cs="Arial" w:eastAsia="Arial" w:hAnsi="Arial"/>
                <w:sz w:val="18"/>
                <w:szCs w:val="18"/>
                <w:color w:val="auto"/>
              </w:rPr>
              <w:t>Waiver of Notice</w:t>
            </w:r>
          </w:p>
        </w:tc>
        <w:tc>
          <w:tcPr>
            <w:tcW w:w="13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8"/>
        </w:trPr>
        <w:tc>
          <w:tcPr>
            <w:tcW w:w="9580" w:type="dxa"/>
            <w:vAlign w:val="bottom"/>
            <w:gridSpan w:val="2"/>
          </w:tcPr>
          <w:p>
            <w:pPr>
              <w:spacing w:after="0"/>
              <w:rPr>
                <w:sz w:val="20"/>
                <w:szCs w:val="20"/>
                <w:color w:val="auto"/>
              </w:rPr>
            </w:pPr>
            <w:r>
              <w:rPr>
                <w:rFonts w:ascii="Arial" w:cs="Arial" w:eastAsia="Arial" w:hAnsi="Arial"/>
                <w:sz w:val="18"/>
                <w:szCs w:val="18"/>
                <w:color w:val="auto"/>
              </w:rPr>
              <w:t>ARTICLE VIII INTERESTED DIRECTORS</w:t>
            </w:r>
          </w:p>
        </w:tc>
        <w:tc>
          <w:tcPr>
            <w:tcW w:w="13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8.1</w:t>
            </w:r>
          </w:p>
        </w:tc>
        <w:tc>
          <w:tcPr>
            <w:tcW w:w="8280" w:type="dxa"/>
            <w:vAlign w:val="bottom"/>
          </w:tcPr>
          <w:p>
            <w:pPr>
              <w:ind w:left="60"/>
              <w:spacing w:after="0"/>
              <w:rPr>
                <w:sz w:val="20"/>
                <w:szCs w:val="20"/>
                <w:color w:val="auto"/>
              </w:rPr>
            </w:pPr>
            <w:r>
              <w:rPr>
                <w:rFonts w:ascii="Arial" w:cs="Arial" w:eastAsia="Arial" w:hAnsi="Arial"/>
                <w:sz w:val="18"/>
                <w:szCs w:val="18"/>
                <w:color w:val="auto"/>
              </w:rPr>
              <w:t>Interested Directors</w:t>
            </w:r>
          </w:p>
        </w:tc>
        <w:tc>
          <w:tcPr>
            <w:tcW w:w="13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rPr>
              <w:t>Section 8.2</w:t>
            </w:r>
          </w:p>
        </w:tc>
        <w:tc>
          <w:tcPr>
            <w:tcW w:w="8280" w:type="dxa"/>
            <w:vAlign w:val="bottom"/>
          </w:tcPr>
          <w:p>
            <w:pPr>
              <w:ind w:left="60"/>
              <w:spacing w:after="0"/>
              <w:rPr>
                <w:sz w:val="20"/>
                <w:szCs w:val="20"/>
                <w:color w:val="auto"/>
              </w:rPr>
            </w:pPr>
            <w:r>
              <w:rPr>
                <w:rFonts w:ascii="Arial" w:cs="Arial" w:eastAsia="Arial" w:hAnsi="Arial"/>
                <w:sz w:val="18"/>
                <w:szCs w:val="18"/>
                <w:color w:val="auto"/>
              </w:rPr>
              <w:t>Quorum</w:t>
            </w:r>
          </w:p>
        </w:tc>
        <w:tc>
          <w:tcPr>
            <w:tcW w:w="13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8"/>
        </w:trPr>
        <w:tc>
          <w:tcPr>
            <w:tcW w:w="9580" w:type="dxa"/>
            <w:vAlign w:val="bottom"/>
            <w:gridSpan w:val="2"/>
          </w:tcPr>
          <w:p>
            <w:pPr>
              <w:spacing w:after="0"/>
              <w:rPr>
                <w:sz w:val="20"/>
                <w:szCs w:val="20"/>
                <w:color w:val="auto"/>
              </w:rPr>
            </w:pPr>
            <w:r>
              <w:rPr>
                <w:rFonts w:ascii="Arial" w:cs="Arial" w:eastAsia="Arial" w:hAnsi="Arial"/>
                <w:sz w:val="18"/>
                <w:szCs w:val="18"/>
                <w:color w:val="auto"/>
              </w:rPr>
              <w:t>ARTICLE IX MISCELLANEOUS</w:t>
            </w:r>
          </w:p>
        </w:tc>
        <w:tc>
          <w:tcPr>
            <w:tcW w:w="13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9.1</w:t>
            </w:r>
          </w:p>
        </w:tc>
        <w:tc>
          <w:tcPr>
            <w:tcW w:w="8280" w:type="dxa"/>
            <w:vAlign w:val="bottom"/>
          </w:tcPr>
          <w:p>
            <w:pPr>
              <w:ind w:left="60"/>
              <w:spacing w:after="0"/>
              <w:rPr>
                <w:sz w:val="20"/>
                <w:szCs w:val="20"/>
                <w:color w:val="auto"/>
              </w:rPr>
            </w:pPr>
            <w:r>
              <w:rPr>
                <w:rFonts w:ascii="Arial" w:cs="Arial" w:eastAsia="Arial" w:hAnsi="Arial"/>
                <w:sz w:val="18"/>
                <w:szCs w:val="18"/>
                <w:color w:val="auto"/>
              </w:rPr>
              <w:t>Fiscal Year</w:t>
            </w:r>
          </w:p>
        </w:tc>
        <w:tc>
          <w:tcPr>
            <w:tcW w:w="13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9.2</w:t>
            </w:r>
          </w:p>
        </w:tc>
        <w:tc>
          <w:tcPr>
            <w:tcW w:w="8280" w:type="dxa"/>
            <w:vAlign w:val="bottom"/>
          </w:tcPr>
          <w:p>
            <w:pPr>
              <w:ind w:left="60"/>
              <w:spacing w:after="0"/>
              <w:rPr>
                <w:sz w:val="20"/>
                <w:szCs w:val="20"/>
                <w:color w:val="auto"/>
              </w:rPr>
            </w:pPr>
            <w:r>
              <w:rPr>
                <w:rFonts w:ascii="Arial" w:cs="Arial" w:eastAsia="Arial" w:hAnsi="Arial"/>
                <w:sz w:val="18"/>
                <w:szCs w:val="18"/>
                <w:color w:val="auto"/>
              </w:rPr>
              <w:t>Seal</w:t>
            </w:r>
          </w:p>
        </w:tc>
        <w:tc>
          <w:tcPr>
            <w:tcW w:w="13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9.3</w:t>
            </w:r>
          </w:p>
        </w:tc>
        <w:tc>
          <w:tcPr>
            <w:tcW w:w="8280" w:type="dxa"/>
            <w:vAlign w:val="bottom"/>
          </w:tcPr>
          <w:p>
            <w:pPr>
              <w:ind w:left="60"/>
              <w:spacing w:after="0"/>
              <w:rPr>
                <w:sz w:val="20"/>
                <w:szCs w:val="20"/>
                <w:color w:val="auto"/>
              </w:rPr>
            </w:pPr>
            <w:r>
              <w:rPr>
                <w:rFonts w:ascii="Arial" w:cs="Arial" w:eastAsia="Arial" w:hAnsi="Arial"/>
                <w:sz w:val="18"/>
                <w:szCs w:val="18"/>
                <w:color w:val="auto"/>
              </w:rPr>
              <w:t>Form of Records</w:t>
            </w:r>
          </w:p>
        </w:tc>
        <w:tc>
          <w:tcPr>
            <w:tcW w:w="13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9.4</w:t>
            </w:r>
          </w:p>
        </w:tc>
        <w:tc>
          <w:tcPr>
            <w:tcW w:w="8280" w:type="dxa"/>
            <w:vAlign w:val="bottom"/>
          </w:tcPr>
          <w:p>
            <w:pPr>
              <w:ind w:left="60"/>
              <w:spacing w:after="0"/>
              <w:rPr>
                <w:sz w:val="20"/>
                <w:szCs w:val="20"/>
                <w:color w:val="auto"/>
              </w:rPr>
            </w:pPr>
            <w:r>
              <w:rPr>
                <w:rFonts w:ascii="Arial" w:cs="Arial" w:eastAsia="Arial" w:hAnsi="Arial"/>
                <w:sz w:val="18"/>
                <w:szCs w:val="18"/>
                <w:color w:val="auto"/>
              </w:rPr>
              <w:t>Reliance Upon Books and Records</w:t>
            </w:r>
          </w:p>
        </w:tc>
        <w:tc>
          <w:tcPr>
            <w:tcW w:w="13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9.5</w:t>
            </w:r>
          </w:p>
        </w:tc>
        <w:tc>
          <w:tcPr>
            <w:tcW w:w="8280" w:type="dxa"/>
            <w:vAlign w:val="bottom"/>
          </w:tcPr>
          <w:p>
            <w:pPr>
              <w:ind w:left="60"/>
              <w:spacing w:after="0"/>
              <w:rPr>
                <w:sz w:val="20"/>
                <w:szCs w:val="20"/>
                <w:color w:val="auto"/>
              </w:rPr>
            </w:pPr>
            <w:r>
              <w:rPr>
                <w:rFonts w:ascii="Arial" w:cs="Arial" w:eastAsia="Arial" w:hAnsi="Arial"/>
                <w:sz w:val="18"/>
                <w:szCs w:val="18"/>
                <w:color w:val="auto"/>
              </w:rPr>
              <w:t>Certificate of Incorporation Governs</w:t>
            </w:r>
          </w:p>
        </w:tc>
        <w:tc>
          <w:tcPr>
            <w:tcW w:w="13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9.6</w:t>
            </w:r>
          </w:p>
        </w:tc>
        <w:tc>
          <w:tcPr>
            <w:tcW w:w="828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13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rPr>
              <w:t>Section 9.7</w:t>
            </w:r>
          </w:p>
        </w:tc>
        <w:tc>
          <w:tcPr>
            <w:tcW w:w="8280" w:type="dxa"/>
            <w:vAlign w:val="bottom"/>
          </w:tcPr>
          <w:p>
            <w:pPr>
              <w:ind w:left="60"/>
              <w:spacing w:after="0"/>
              <w:rPr>
                <w:sz w:val="20"/>
                <w:szCs w:val="20"/>
                <w:color w:val="auto"/>
              </w:rPr>
            </w:pPr>
            <w:r>
              <w:rPr>
                <w:rFonts w:ascii="Arial" w:cs="Arial" w:eastAsia="Arial" w:hAnsi="Arial"/>
                <w:sz w:val="18"/>
                <w:szCs w:val="18"/>
                <w:color w:val="auto"/>
              </w:rPr>
              <w:t>Time Periods</w:t>
            </w:r>
          </w:p>
        </w:tc>
        <w:tc>
          <w:tcPr>
            <w:tcW w:w="13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9580" w:type="dxa"/>
            <w:vAlign w:val="bottom"/>
            <w:gridSpan w:val="2"/>
          </w:tcPr>
          <w:p>
            <w:pPr>
              <w:spacing w:after="0"/>
              <w:rPr>
                <w:sz w:val="20"/>
                <w:szCs w:val="20"/>
                <w:color w:val="auto"/>
              </w:rPr>
            </w:pPr>
            <w:r>
              <w:rPr>
                <w:rFonts w:ascii="Arial" w:cs="Arial" w:eastAsia="Arial" w:hAnsi="Arial"/>
                <w:sz w:val="18"/>
                <w:szCs w:val="18"/>
                <w:color w:val="auto"/>
              </w:rPr>
              <w:t>ARTICLE X AMENDMENT</w:t>
            </w:r>
          </w:p>
        </w:tc>
        <w:tc>
          <w:tcPr>
            <w:tcW w:w="1380" w:type="dxa"/>
            <w:vAlign w:val="bottom"/>
          </w:tcPr>
          <w:p>
            <w:pPr>
              <w:jc w:val="right"/>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0960"/>
          </w:cols>
          <w:pgMar w:left="440" w:top="270" w:right="49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FLYWIRE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Delaware corporation)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BYLAWS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Adopted April 28, 2021 and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Effective May 28, 2021</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w:t>
      </w:r>
    </w:p>
    <w:p>
      <w:pPr>
        <w:spacing w:after="0" w:line="207"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b w:val="1"/>
          <w:bCs w:val="1"/>
          <w:color w:val="auto"/>
        </w:rPr>
        <w:t xml:space="preserve">Section 1.1 </w:t>
      </w:r>
      <w:r>
        <w:rPr>
          <w:rFonts w:ascii="Arial" w:cs="Arial" w:eastAsia="Arial" w:hAnsi="Arial"/>
          <w:sz w:val="17"/>
          <w:szCs w:val="17"/>
          <w:b w:val="1"/>
          <w:bCs w:val="1"/>
          <w:u w:val="single" w:color="auto"/>
          <w:color w:val="auto"/>
        </w:rPr>
        <w:t>Annual Meetings</w:t>
      </w:r>
      <w:r>
        <w:rPr>
          <w:rFonts w:ascii="Arial" w:cs="Arial" w:eastAsia="Arial" w:hAnsi="Arial"/>
          <w:sz w:val="17"/>
          <w:szCs w:val="17"/>
          <w:b w:val="1"/>
          <w:bCs w:val="1"/>
          <w:color w:val="auto"/>
        </w:rPr>
        <w:t xml:space="preserve">. </w:t>
      </w:r>
      <w:r>
        <w:rPr>
          <w:rFonts w:ascii="Arial" w:cs="Arial" w:eastAsia="Arial" w:hAnsi="Arial"/>
          <w:sz w:val="17"/>
          <w:szCs w:val="17"/>
          <w:color w:val="auto"/>
        </w:rPr>
        <w:t>If required by applicable law, an annual meeting of stockholders shall be held for the election of directors at such</w:t>
      </w:r>
      <w:r>
        <w:rPr>
          <w:rFonts w:ascii="Arial" w:cs="Arial" w:eastAsia="Arial" w:hAnsi="Arial"/>
          <w:sz w:val="17"/>
          <w:szCs w:val="17"/>
          <w:b w:val="1"/>
          <w:bCs w:val="1"/>
          <w:color w:val="auto"/>
        </w:rPr>
        <w:t xml:space="preserve"> </w:t>
      </w:r>
      <w:r>
        <w:rPr>
          <w:rFonts w:ascii="Arial" w:cs="Arial" w:eastAsia="Arial" w:hAnsi="Arial"/>
          <w:sz w:val="17"/>
          <w:szCs w:val="17"/>
          <w:color w:val="auto"/>
        </w:rPr>
        <w:t>date and time as the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of Flywire Corporation (the “</w:t>
      </w:r>
      <w:r>
        <w:rPr>
          <w:rFonts w:ascii="Arial" w:cs="Arial" w:eastAsia="Arial" w:hAnsi="Arial"/>
          <w:sz w:val="17"/>
          <w:szCs w:val="17"/>
          <w:b w:val="1"/>
          <w:bCs w:val="1"/>
          <w:i w:val="1"/>
          <w:iCs w:val="1"/>
          <w:color w:val="auto"/>
        </w:rPr>
        <w:t>Corporation</w:t>
      </w:r>
      <w:r>
        <w:rPr>
          <w:rFonts w:ascii="Arial" w:cs="Arial" w:eastAsia="Arial" w:hAnsi="Arial"/>
          <w:sz w:val="17"/>
          <w:szCs w:val="17"/>
          <w:color w:val="auto"/>
        </w:rPr>
        <w:t>”) shall each year fix. The meeting may be held either at a place, within or without the State of Delaware as permitted by the Delaware General Corporation Law (the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or by means of remote communication as the Board in its sole discretion may determine. Any other proper business may be transacted at the annual meeting. The Corporation may postpone, reschedule or cancel any annual meeting of stockholders previously scheduled by the Board.</w:t>
      </w:r>
    </w:p>
    <w:p>
      <w:pPr>
        <w:spacing w:after="0" w:line="168" w:lineRule="exact"/>
        <w:rPr>
          <w:sz w:val="20"/>
          <w:szCs w:val="20"/>
          <w:color w:val="auto"/>
        </w:rPr>
      </w:pPr>
    </w:p>
    <w:p>
      <w:pPr>
        <w:ind w:right="80" w:firstLine="440"/>
        <w:spacing w:after="0" w:line="256"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u w:val="single" w:color="auto"/>
          <w:color w:val="auto"/>
        </w:rPr>
        <w:t>Special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Special meetings of stockholders for any purpose or purposes shall be called in the manner set forth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and Restated Certificate of Incorporation of the Corporation (as the same may be amended and/or restated from time to time, the “</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of Incorporation</w:t>
      </w:r>
      <w:r>
        <w:rPr>
          <w:rFonts w:ascii="Arial" w:cs="Arial" w:eastAsia="Arial" w:hAnsi="Arial"/>
          <w:sz w:val="18"/>
          <w:szCs w:val="18"/>
          <w:color w:val="auto"/>
        </w:rPr>
        <w:t>”). The special meeting may be held either at a place, within or without the State of Delaware, or by means of remote communication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the Board in its sole discretion may determine. Business transacted at any special meeting of stockholders shall be limited to matters relating to the purpose or purposes stated in the notice of the meeting. The Corporation may postpone, reschedule or cancel any special meeting of stockholders previously scheduled by the Board.</w:t>
      </w:r>
    </w:p>
    <w:p>
      <w:pPr>
        <w:spacing w:after="0" w:line="187"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b w:val="1"/>
          <w:bCs w:val="1"/>
          <w:color w:val="auto"/>
        </w:rPr>
        <w:t xml:space="preserve">Section 1.3 </w:t>
      </w:r>
      <w:r>
        <w:rPr>
          <w:rFonts w:ascii="Arial" w:cs="Arial" w:eastAsia="Arial" w:hAnsi="Arial"/>
          <w:sz w:val="17"/>
          <w:szCs w:val="17"/>
          <w:b w:val="1"/>
          <w:bCs w:val="1"/>
          <w:u w:val="single" w:color="auto"/>
          <w:color w:val="auto"/>
        </w:rPr>
        <w:t>Notice of Meetings</w:t>
      </w:r>
      <w:r>
        <w:rPr>
          <w:rFonts w:ascii="Arial" w:cs="Arial" w:eastAsia="Arial" w:hAnsi="Arial"/>
          <w:sz w:val="17"/>
          <w:szCs w:val="17"/>
          <w:b w:val="1"/>
          <w:bCs w:val="1"/>
          <w:color w:val="auto"/>
        </w:rPr>
        <w:t xml:space="preserve">. </w:t>
      </w:r>
      <w:r>
        <w:rPr>
          <w:rFonts w:ascii="Arial" w:cs="Arial" w:eastAsia="Arial" w:hAnsi="Arial"/>
          <w:sz w:val="17"/>
          <w:szCs w:val="17"/>
          <w:color w:val="auto"/>
        </w:rPr>
        <w:t>Notice of all meetings of stockholders shall be given in writing or by electronic transmission in the manner</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by applicable law (including, without limitation, as set forth in Section 7.1.1 of these Bylaws) stating the date, time and place, if any, of the meeting, the means of remote communication, if any, by which stockholders and proxy holders who are entitled to vote may be deemed to be present in person and vote at such meeting, and the record date for determining the stockholders entitled to vote at the meeting (if such date is different from the record date for stockholders entitled to notice of the meeting). In the case of a special meeting, such notice shall also set forth the purpose or purposes for which the meeting is called. Unless otherwise required by applicable law or the Certificate of Incorporation, notice of any meeting of stockholders shall be given not less than ten (10), nor more than sixty (60), days before the date of the meeting to each stockholder of record entitled to vote at such meeting as of the record date for determining the stockholders entitled to notice of the meeting.</w:t>
      </w:r>
    </w:p>
    <w:p>
      <w:pPr>
        <w:sectPr>
          <w:pgSz w:w="11900" w:h="16838" w:orient="portrait"/>
          <w:cols w:equalWidth="0" w:num="1">
            <w:col w:w="10980"/>
          </w:cols>
          <w:pgMar w:left="440" w:top="270" w:right="479" w:bottom="1440" w:gutter="0" w:footer="0" w:header="0"/>
        </w:sectPr>
      </w:pPr>
    </w:p>
    <w:bookmarkStart w:id="16" w:name="page17"/>
    <w:bookmarkEnd w:id="16"/>
    <w:p>
      <w:pPr>
        <w:ind w:firstLine="440"/>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1.4 </w:t>
      </w:r>
      <w:r>
        <w:rPr>
          <w:rFonts w:ascii="Arial" w:cs="Arial" w:eastAsia="Arial" w:hAnsi="Arial"/>
          <w:sz w:val="16"/>
          <w:szCs w:val="16"/>
          <w:b w:val="1"/>
          <w:bCs w:val="1"/>
          <w:u w:val="single" w:color="auto"/>
          <w:color w:val="auto"/>
        </w:rPr>
        <w:t>Adjournments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Section 1.5 of these Bylaws, the chairperson of the meeting shall have the power to recess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adjourn any meeting of stockholders, annual or special, to another time, date and place (if any) regardless of whether a quorum is present, at any time and for any reason. Any meeting of stockholders, annual or special, may be adjourned from time to time, and notice need not be given of any such adjourned meeting if the time, date and place (if any) thereof and the means of remote communication (if any) by which stockholders and proxy holders who are entitled to vote may be deemed to be present in person and vote at such adjourned meeting are announced at the meeting at which the adjournment is taken;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if (x) the adjournment is for more than thirty (30) days, a notice of the adjourned meeting shall be given to each stockholder of record entitled to vote at the meeting or (y)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At the adjourned meeting, the Corporation may transact any business that might have been transacted at the original meeting. If a quorum is present at the original meeting, it shall also be deemed present at the adjourned meeting. To the fullest extent permitted by law, the Board may postpone, reschedule or cancel at any time and for any reason any previously scheduled special or annual meeting of stockholders before it is to be held, regardless of whether any notice or public disclosure with respect to any such meeting has been sent or made pursuant to Section 1.3 hereof or otherwise, in which case notice shall be provided to the stockholders of the new date, time and place, if any, of the meeting as provided in Section 1.3 above.</w:t>
      </w:r>
    </w:p>
    <w:p>
      <w:pPr>
        <w:spacing w:after="0" w:line="167" w:lineRule="exact"/>
        <w:rPr>
          <w:sz w:val="20"/>
          <w:szCs w:val="20"/>
          <w:color w:val="auto"/>
        </w:rPr>
      </w:pPr>
    </w:p>
    <w:p>
      <w:pPr>
        <w:ind w:right="80" w:firstLine="440"/>
        <w:spacing w:after="0" w:line="269" w:lineRule="auto"/>
        <w:rPr>
          <w:sz w:val="20"/>
          <w:szCs w:val="20"/>
          <w:color w:val="auto"/>
        </w:rPr>
      </w:pPr>
      <w:r>
        <w:rPr>
          <w:rFonts w:ascii="Arial" w:cs="Arial" w:eastAsia="Arial" w:hAnsi="Arial"/>
          <w:sz w:val="17"/>
          <w:szCs w:val="17"/>
          <w:b w:val="1"/>
          <w:bCs w:val="1"/>
          <w:color w:val="auto"/>
        </w:rPr>
        <w:t xml:space="preserve">Section 1.5 </w:t>
      </w:r>
      <w:r>
        <w:rPr>
          <w:rFonts w:ascii="Arial" w:cs="Arial" w:eastAsia="Arial" w:hAnsi="Arial"/>
          <w:sz w:val="17"/>
          <w:szCs w:val="17"/>
          <w:b w:val="1"/>
          <w:bCs w:val="1"/>
          <w:u w:val="single" w:color="auto"/>
          <w:color w:val="auto"/>
        </w:rPr>
        <w:t>Quorum</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provided by applicable law, the Certificate of Incorporation or these Bylaws, at each meeting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stockholders the holders of a majority of the voting power of the shares of stock issued and outstanding and entitled to vote at the meeting, present in person or represented by proxy, shall constitute a quorum for the transaction of business;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xml:space="preserve">, that where a separate vote by a class or classes or series of stock is required by applicable law or the Certificate of Incorporation, the holders of a majority of the voting power of the shares of such class or classes or series of the stock issued and outstanding and entitled to vote on such matter, present in person or represented by proxy at the meeting, shall constitute a quorum entitled to take action with respect to the vote on such matter. If a quorum shall fail to attend any meeting, the chairperson of the meeting or, if directed to be voted on by the chairperson of the meeting, the holders of a majority of the voting power of the shares entitled to vote who are present in person or represented by proxy at the meeting may adjourn the meeting. Shares of the Corporation’s stock belonging to the Corporation (or to another corporation, if a majority of the shares entitled to vote in the election of directors of such other corporation are held, directly or indirectly, by the Corporation), shall neither be entitled to vote nor be counted for quorum purposes;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foregoing shall not limit the right of the Corporation or any other corporation to vote any shares of the Corporation’s stock held by it in a fiduciary capacity and to count such shares for purposes of determining a quorum. A quorum, once established at a meeting, shall not be broken by the withdrawal of enough votes to leave less than a quorum.</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17" w:name="page18"/>
    <w:bookmarkEnd w:id="17"/>
    <w:p>
      <w:pPr>
        <w:ind w:firstLine="4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1.6 </w:t>
      </w:r>
      <w:r>
        <w:rPr>
          <w:rFonts w:ascii="Arial" w:cs="Arial" w:eastAsia="Arial" w:hAnsi="Arial"/>
          <w:sz w:val="18"/>
          <w:szCs w:val="18"/>
          <w:b w:val="1"/>
          <w:bCs w:val="1"/>
          <w:u w:val="single" w:color="auto"/>
          <w:color w:val="auto"/>
        </w:rPr>
        <w:t>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Meetings of stockholders shall be presided over by (a) such person as the Board may designate, or (b) in the absence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a person, the Chairperson of the Board, or (c) in the absence of such person, the Lead Independent Director, or, (d) in the absence of such person, the Chief Executive Officer of the Corporation, or (e) in the absence of such person, the President of the Corporation, or (f) in the absence of such person, by a Vice President. The Secretary of the Corporation shall act as secretary of the meeting, but in such person’s absence the chairperson of the meeting may appoint any person to act as secretary of the meeting.</w:t>
      </w:r>
    </w:p>
    <w:p>
      <w:pPr>
        <w:spacing w:after="0" w:line="183"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b w:val="1"/>
          <w:bCs w:val="1"/>
          <w:color w:val="auto"/>
        </w:rPr>
        <w:t xml:space="preserve">Section 1.7 </w:t>
      </w:r>
      <w:r>
        <w:rPr>
          <w:rFonts w:ascii="Arial" w:cs="Arial" w:eastAsia="Arial" w:hAnsi="Arial"/>
          <w:sz w:val="17"/>
          <w:szCs w:val="17"/>
          <w:b w:val="1"/>
          <w:bCs w:val="1"/>
          <w:u w:val="single" w:color="auto"/>
          <w:color w:val="auto"/>
        </w:rPr>
        <w:t>Voting; Proxies</w:t>
      </w:r>
      <w:r>
        <w:rPr>
          <w:rFonts w:ascii="Arial" w:cs="Arial" w:eastAsia="Arial" w:hAnsi="Arial"/>
          <w:sz w:val="17"/>
          <w:szCs w:val="17"/>
          <w:b w:val="1"/>
          <w:bCs w:val="1"/>
          <w:color w:val="auto"/>
        </w:rPr>
        <w:t xml:space="preserve">. </w:t>
      </w:r>
      <w:r>
        <w:rPr>
          <w:rFonts w:ascii="Arial" w:cs="Arial" w:eastAsia="Arial" w:hAnsi="Arial"/>
          <w:sz w:val="17"/>
          <w:szCs w:val="17"/>
          <w:color w:val="auto"/>
        </w:rPr>
        <w:t>Each stockholder of record entitled to vote at a meeting of stockholders, or to take corporate action by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consent without a meeting, may authorize another person or persons to act for such stockholder by proxy, but no such proxy shall be voted or acted upon after three years from its date, unless the proxy provides for a longer period. Such a proxy may be prepared, transmitted and delivered in any manner permitted by applicable law. Except as may be required in the Certificate of Incorporation, at all meetings of stockholders for the election of directors at which a quorum is present, directors shall be elected by a plurality of the votes of the shares present in person or represented by proxy at the meeting and entitled to vote on the election of directors. At all meetings of stockholders at which a quorum is present, unless a different or minimum vote is required by applicable law, rule or regulation applicable to the Corporation or its securities, the rules or regulations of any stock exchange applicable to the Corporation, the Certificate of Incorporation or these Bylaws, in which case such different or minimum vote shall be the applicable vote on the matter, every matter other than the election of directors shall be decided by the affirmative vote of the holders of a majority of the voting power of the shares of stock entitled to vote on such matter that are present in person or represented by proxy at the meeting and are voted for or against the matter (or if there are two or more classes or series of stock entitled to vote as separate classes, then in the case of each class or series, the holders of a majority of the voting power of the shares of stock of that class or series present in person or represented by proxy at the meeting voting for or against such matter).</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1.8 </w:t>
      </w:r>
      <w:r>
        <w:rPr>
          <w:rFonts w:ascii="Arial" w:cs="Arial" w:eastAsia="Arial" w:hAnsi="Arial"/>
          <w:sz w:val="18"/>
          <w:szCs w:val="18"/>
          <w:b w:val="1"/>
          <w:bCs w:val="1"/>
          <w:u w:val="single" w:color="auto"/>
          <w:color w:val="auto"/>
        </w:rPr>
        <w:t>Fixing Date for Determination of Stockholders of Record</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 xml:space="preserve">1.8.1 </w:t>
      </w:r>
      <w:r>
        <w:rPr>
          <w:rFonts w:ascii="Arial" w:cs="Arial" w:eastAsia="Arial" w:hAnsi="Arial"/>
          <w:sz w:val="17"/>
          <w:szCs w:val="17"/>
          <w:u w:val="single" w:color="auto"/>
          <w:color w:val="auto"/>
        </w:rPr>
        <w:t>Meetings</w:t>
      </w:r>
      <w:r>
        <w:rPr>
          <w:rFonts w:ascii="Arial" w:cs="Arial" w:eastAsia="Arial" w:hAnsi="Arial"/>
          <w:sz w:val="17"/>
          <w:szCs w:val="17"/>
          <w:color w:val="auto"/>
        </w:rPr>
        <w:t xml:space="preserve">. 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18" w:name="page19"/>
    <w:bookmarkEnd w:id="18"/>
    <w:p>
      <w:pPr>
        <w:ind w:left="4" w:right="40"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1.8.2 </w:t>
      </w:r>
      <w:r>
        <w:rPr>
          <w:rFonts w:ascii="Arial" w:cs="Arial" w:eastAsia="Arial" w:hAnsi="Arial"/>
          <w:sz w:val="17"/>
          <w:szCs w:val="17"/>
          <w:u w:val="single" w:color="auto"/>
          <w:color w:val="auto"/>
        </w:rPr>
        <w:t>Stockholder Action by Written Consent</w:t>
      </w:r>
      <w:r>
        <w:rPr>
          <w:rFonts w:ascii="Arial" w:cs="Arial" w:eastAsia="Arial" w:hAnsi="Arial"/>
          <w:sz w:val="17"/>
          <w:szCs w:val="17"/>
          <w:color w:val="auto"/>
        </w:rPr>
        <w:t>. If stockholders are permitted to act by written consent pursuant to the Certificate of Incorporation, in order that the Corporation may determine the stockholders entitled to consent to corporate action in writing without a meeting, the Board may fix a record date, which record date shall not precede the date upon which the resolution fixing the record date is adopted by the Board, and which date shall not be more than ten (10) days after the date upon which the resolution fixing the record date is adopted by the Board. If no record date has been fixed by the Board pursuant to the first sentence of this Section 1.8.2, the record date for determining stockholders entitled to consent to corporate action in writing without a meeting (if stockholders are permitted to act by written consent pursuant to the Certificate of Incorporation), when no prior action by the Board is required by applicable law, shall be the first date on which a signed written consent setting forth the action taken or proposed to be taken is delivered to the Corporation by delivery to its registered office in Delaware, its principal place of business, or to any officer or agent of the Corporation having custody of the book in which proceedings of meetings of stockholders are recorded. If no record date has been fixed by the Board pursuant to the first sentence of this Section 1.8.2, the record date for determining stockholders entitled to consent to corporate action in writing without a meeting if prior action by the Board is required by applicable law shall be at the close of business on the date on which the Board adopts the resolution taking such prior action.</w:t>
      </w:r>
    </w:p>
    <w:p>
      <w:pPr>
        <w:spacing w:after="0" w:line="179" w:lineRule="exact"/>
        <w:rPr>
          <w:sz w:val="20"/>
          <w:szCs w:val="20"/>
          <w:color w:val="auto"/>
        </w:rPr>
      </w:pPr>
    </w:p>
    <w:p>
      <w:pPr>
        <w:ind w:left="4" w:firstLine="991"/>
        <w:spacing w:after="0" w:line="255" w:lineRule="auto"/>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u w:val="single" w:color="auto"/>
          <w:color w:val="auto"/>
        </w:rPr>
        <w:t>Meetings</w:t>
      </w:r>
      <w:r>
        <w:rPr>
          <w:rFonts w:ascii="Arial" w:cs="Arial" w:eastAsia="Arial" w:hAnsi="Arial"/>
          <w:sz w:val="18"/>
          <w:szCs w:val="18"/>
          <w:color w:val="auto"/>
        </w:rPr>
        <w:t>. 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in advance, a record date, which shall not precede the date upon which the resolution fixing the record date is adopted by the Board and which shall not be more than sixty (60) days prior to such action. If no such record date is fixed by the Board, then the record date for determining stockholders for any such purpose shall be at 5:00 p.m. New York Time on the day on which the Board adopts the resolution relating thereto.</w:t>
      </w:r>
    </w:p>
    <w:p>
      <w:pPr>
        <w:spacing w:after="0" w:line="188" w:lineRule="exact"/>
        <w:rPr>
          <w:sz w:val="20"/>
          <w:szCs w:val="20"/>
          <w:color w:val="auto"/>
        </w:rPr>
      </w:pPr>
    </w:p>
    <w:p>
      <w:pPr>
        <w:ind w:left="4" w:right="40" w:firstLine="991"/>
        <w:spacing w:after="0" w:line="286" w:lineRule="auto"/>
        <w:rPr>
          <w:sz w:val="20"/>
          <w:szCs w:val="20"/>
          <w:color w:val="auto"/>
        </w:rPr>
      </w:pPr>
      <w:r>
        <w:rPr>
          <w:rFonts w:ascii="Arial" w:cs="Arial" w:eastAsia="Arial" w:hAnsi="Arial"/>
          <w:sz w:val="16"/>
          <w:szCs w:val="16"/>
          <w:b w:val="1"/>
          <w:bCs w:val="1"/>
          <w:color w:val="auto"/>
        </w:rPr>
        <w:t xml:space="preserve">Section 1.9 </w:t>
      </w:r>
      <w:r>
        <w:rPr>
          <w:rFonts w:ascii="Arial" w:cs="Arial" w:eastAsia="Arial" w:hAnsi="Arial"/>
          <w:sz w:val="16"/>
          <w:szCs w:val="16"/>
          <w:b w:val="1"/>
          <w:bCs w:val="1"/>
          <w:u w:val="single" w:color="auto"/>
          <w:color w:val="auto"/>
        </w:rPr>
        <w:t>List of Stockholders Entitled to Vote</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 shall prepare, at least ten (10) days before every meeting of</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a complete list of stockholders entitled to vote at the meeting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at least ten</w:t>
      </w:r>
    </w:p>
    <w:p>
      <w:pPr>
        <w:spacing w:after="0" w:line="2" w:lineRule="exact"/>
        <w:rPr>
          <w:sz w:val="20"/>
          <w:szCs w:val="20"/>
          <w:color w:val="auto"/>
        </w:rPr>
      </w:pPr>
    </w:p>
    <w:p>
      <w:pPr>
        <w:ind w:left="4" w:right="100" w:hanging="4"/>
        <w:spacing w:after="0" w:line="252" w:lineRule="auto"/>
        <w:tabs>
          <w:tab w:leader="none" w:pos="349"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days prior to the meeting, (a) on a reasonably accessible electronic network as permitted by applicable law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the information required to gain access to the list is provided with the notice of the meeting), or (b) during ordinary business hours, at the principal place of business of the Corporation. If the meeting is held at a location where stockholders may attend in person, a list of stockholders entitled to vote at the meeting shall also be produced and kept at the time and place of the meeting during the whole time thereof and may be inspected by any stockholder who is present at the meeting. If the meeting is held solely by means of remote communication, then the list shall be open to the examination of any stockholder during the whole time of the meeting</w:t>
      </w:r>
    </w:p>
    <w:p>
      <w:pPr>
        <w:spacing w:after="0" w:line="12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4" w:right="479" w:bottom="1440" w:gutter="0" w:footer="0" w:header="0"/>
        </w:sectPr>
      </w:pPr>
    </w:p>
    <w:bookmarkStart w:id="19" w:name="page20"/>
    <w:bookmarkEnd w:id="19"/>
    <w:p>
      <w:pPr>
        <w:jc w:val="both"/>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a reasonably accessible electronic network, and the information required to access the list shall be provided with the notice of the meeting. Except as otherwise provided by law, the stock ledger shall be the only evidence as to who are the stockholders entitled to examine the list of stockholders required by this Section 1.9 or to determine who are holders of Voting Common Stock and entitled to vote in person or by proxy at any meeting of stockholders.</w:t>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1.10 </w:t>
      </w:r>
      <w:r>
        <w:rPr>
          <w:rFonts w:ascii="Arial" w:cs="Arial" w:eastAsia="Arial" w:hAnsi="Arial"/>
          <w:sz w:val="18"/>
          <w:szCs w:val="18"/>
          <w:b w:val="1"/>
          <w:bCs w:val="1"/>
          <w:u w:val="single" w:color="auto"/>
          <w:color w:val="auto"/>
        </w:rPr>
        <w:t>Inspectors of Elections</w:t>
      </w:r>
      <w:r>
        <w:rPr>
          <w:rFonts w:ascii="Arial" w:cs="Arial" w:eastAsia="Arial" w:hAnsi="Arial"/>
          <w:sz w:val="18"/>
          <w:szCs w:val="18"/>
          <w:color w:val="auto"/>
        </w:rPr>
        <w:t>.</w:t>
      </w:r>
    </w:p>
    <w:p>
      <w:pPr>
        <w:spacing w:after="0" w:line="229" w:lineRule="exact"/>
        <w:rPr>
          <w:sz w:val="20"/>
          <w:szCs w:val="20"/>
          <w:color w:val="auto"/>
        </w:rPr>
      </w:pPr>
    </w:p>
    <w:p>
      <w:pPr>
        <w:jc w:val="both"/>
        <w:ind w:right="160" w:firstLine="991"/>
        <w:spacing w:after="0" w:line="301" w:lineRule="auto"/>
        <w:rPr>
          <w:sz w:val="20"/>
          <w:szCs w:val="20"/>
          <w:color w:val="auto"/>
        </w:rPr>
      </w:pPr>
      <w:r>
        <w:rPr>
          <w:rFonts w:ascii="Arial" w:cs="Arial" w:eastAsia="Arial" w:hAnsi="Arial"/>
          <w:sz w:val="16"/>
          <w:szCs w:val="16"/>
          <w:color w:val="auto"/>
        </w:rPr>
        <w:t xml:space="preserve">1.10.1 </w:t>
      </w:r>
      <w:r>
        <w:rPr>
          <w:rFonts w:ascii="Arial" w:cs="Arial" w:eastAsia="Arial" w:hAnsi="Arial"/>
          <w:sz w:val="16"/>
          <w:szCs w:val="16"/>
          <w:u w:val="single" w:color="auto"/>
          <w:color w:val="auto"/>
        </w:rPr>
        <w:t>Applicability</w:t>
      </w:r>
      <w:r>
        <w:rPr>
          <w:rFonts w:ascii="Arial" w:cs="Arial" w:eastAsia="Arial" w:hAnsi="Arial"/>
          <w:sz w:val="16"/>
          <w:szCs w:val="16"/>
          <w:color w:val="auto"/>
        </w:rPr>
        <w:t>. Unless otherwise required by the Certificate of Incorporation or by applicable law, the following provisions of this Section 1.10 shall apply only if and when the Corporation has a class of voting stock that is: (a) listed on a national securities exchange; (b) authorized for quotation on an interdealer quotation system of a registered national securities association; or (c) held of record by more than two thousand (2,000) stockholders. In all other cases, observance of the provisions of this Section 1.10 shall be optional, and at the discretion of the Board.</w:t>
      </w:r>
    </w:p>
    <w:p>
      <w:pPr>
        <w:spacing w:after="0" w:line="157"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 xml:space="preserve">1.10.2 </w:t>
      </w:r>
      <w:r>
        <w:rPr>
          <w:rFonts w:ascii="Arial" w:cs="Arial" w:eastAsia="Arial" w:hAnsi="Arial"/>
          <w:sz w:val="18"/>
          <w:szCs w:val="18"/>
          <w:u w:val="single" w:color="auto"/>
          <w:color w:val="auto"/>
        </w:rPr>
        <w:t>Appointment</w:t>
      </w:r>
      <w:r>
        <w:rPr>
          <w:rFonts w:ascii="Arial" w:cs="Arial" w:eastAsia="Arial" w:hAnsi="Arial"/>
          <w:sz w:val="18"/>
          <w:szCs w:val="18"/>
          <w:color w:val="auto"/>
        </w:rPr>
        <w:t>. The Corporation shall, in advance of any meeting of stockholders, appoint one or more inspectors of election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shall appoint one or more inspectors to act at the meeting.</w:t>
      </w:r>
    </w:p>
    <w:p>
      <w:pPr>
        <w:spacing w:after="0" w:line="187"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 xml:space="preserve">1.10.3 </w:t>
      </w:r>
      <w:r>
        <w:rPr>
          <w:rFonts w:ascii="Arial" w:cs="Arial" w:eastAsia="Arial" w:hAnsi="Arial"/>
          <w:sz w:val="18"/>
          <w:szCs w:val="18"/>
          <w:u w:val="single" w:color="auto"/>
          <w:color w:val="auto"/>
        </w:rPr>
        <w:t>Inspector’s Oath</w:t>
      </w:r>
      <w:r>
        <w:rPr>
          <w:rFonts w:ascii="Arial" w:cs="Arial" w:eastAsia="Arial" w:hAnsi="Arial"/>
          <w:sz w:val="18"/>
          <w:szCs w:val="18"/>
          <w:color w:val="auto"/>
        </w:rPr>
        <w:t>. Each inspector of election, before entering upon the discharge of his duties, shall take and sign an oath faithfully to execute the duties of inspector with strict impartiality and according to the best of such inspector’s ability.</w:t>
      </w:r>
    </w:p>
    <w:p>
      <w:pPr>
        <w:spacing w:after="0" w:line="170" w:lineRule="exact"/>
        <w:rPr>
          <w:sz w:val="20"/>
          <w:szCs w:val="20"/>
          <w:color w:val="auto"/>
        </w:rPr>
      </w:pPr>
    </w:p>
    <w:p>
      <w:pPr>
        <w:ind w:right="80" w:firstLine="991"/>
        <w:spacing w:after="0" w:line="296" w:lineRule="auto"/>
        <w:rPr>
          <w:sz w:val="20"/>
          <w:szCs w:val="20"/>
          <w:color w:val="auto"/>
        </w:rPr>
      </w:pPr>
      <w:r>
        <w:rPr>
          <w:rFonts w:ascii="Arial" w:cs="Arial" w:eastAsia="Arial" w:hAnsi="Arial"/>
          <w:sz w:val="16"/>
          <w:szCs w:val="16"/>
          <w:color w:val="auto"/>
        </w:rPr>
        <w:t xml:space="preserve">1.10.4 </w:t>
      </w:r>
      <w:r>
        <w:rPr>
          <w:rFonts w:ascii="Arial" w:cs="Arial" w:eastAsia="Arial" w:hAnsi="Arial"/>
          <w:sz w:val="16"/>
          <w:szCs w:val="16"/>
          <w:u w:val="single" w:color="auto"/>
          <w:color w:val="auto"/>
        </w:rPr>
        <w:t>Duties of Inspectors</w:t>
      </w:r>
      <w:r>
        <w:rPr>
          <w:rFonts w:ascii="Arial" w:cs="Arial" w:eastAsia="Arial" w:hAnsi="Arial"/>
          <w:sz w:val="16"/>
          <w:szCs w:val="16"/>
          <w:color w:val="auto"/>
        </w:rPr>
        <w:t>. At a meeting of stockholders, the inspectors of election shall (a) ascertain the number of shares outstanding and the voting power of each share, (b) determine the shares represented at a meeting and the validity of proxies and ballots, (c) count all votes and ballots, (d) determine and retain for a reasonable period of time a record of the disposition of any challenges made to any determination by the inspectors, and (e) certify their determination of the number of shares represented at the meeting, and their count of all votes and ballots. The inspectors may appoint or retain other persons or entities to assist the inspectors in the performance of the duties of the inspectors.</w:t>
      </w:r>
    </w:p>
    <w:p>
      <w:pPr>
        <w:spacing w:after="0" w:line="161"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 xml:space="preserve">1.10.5 </w:t>
      </w:r>
      <w:r>
        <w:rPr>
          <w:rFonts w:ascii="Arial" w:cs="Arial" w:eastAsia="Arial" w:hAnsi="Arial"/>
          <w:sz w:val="18"/>
          <w:szCs w:val="18"/>
          <w:u w:val="single" w:color="auto"/>
          <w:color w:val="auto"/>
        </w:rPr>
        <w:t>Opening and Closing of Polls</w:t>
      </w:r>
      <w:r>
        <w:rPr>
          <w:rFonts w:ascii="Arial" w:cs="Arial" w:eastAsia="Arial" w:hAnsi="Arial"/>
          <w:sz w:val="18"/>
          <w:szCs w:val="18"/>
          <w:color w:val="auto"/>
        </w:rPr>
        <w:t>. The date and time of the opening and the closing of the polls for each matter upon which the stockholders will vote at a meeting shall be announced by the chairperson of the meeting at the meeting. No ballot, proxies or votes, nor any revocations thereof or changes thereto, shall be accepted by the inspectors after the closing of the polls unless the Court of Chancery upon application by a stockholder shall determine otherwise.</w:t>
      </w:r>
    </w:p>
    <w:p>
      <w:pPr>
        <w:spacing w:after="0" w:line="187"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 xml:space="preserve">1.10.6 </w:t>
      </w:r>
      <w:r>
        <w:rPr>
          <w:rFonts w:ascii="Arial" w:cs="Arial" w:eastAsia="Arial" w:hAnsi="Arial"/>
          <w:sz w:val="18"/>
          <w:szCs w:val="18"/>
          <w:u w:val="single" w:color="auto"/>
          <w:color w:val="auto"/>
        </w:rPr>
        <w:t>Determinations</w:t>
      </w:r>
      <w:r>
        <w:rPr>
          <w:rFonts w:ascii="Arial" w:cs="Arial" w:eastAsia="Arial" w:hAnsi="Arial"/>
          <w:sz w:val="18"/>
          <w:szCs w:val="18"/>
          <w:color w:val="auto"/>
        </w:rPr>
        <w:t>. In determining the validity and counting of proxies and ballots, the inspectors shall be limited to an examination of the proxies, any envelopes submitted with those proxies, any information provided in connection with proxies pursuant to Section 211(a)(2)b.(i) of the DGCL, or in accordance with Sections 211(e) or 212(c)(2) of the DGCL, ballots and the regular books and records of the Corporation, except that the inspectors may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20" w:name="page21"/>
    <w:bookmarkEnd w:id="20"/>
    <w:p>
      <w:pPr>
        <w:ind w:left="4"/>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of their determinations pursuant to this Section 1.10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174" w:lineRule="exact"/>
        <w:rPr>
          <w:sz w:val="20"/>
          <w:szCs w:val="20"/>
          <w:color w:val="auto"/>
        </w:rPr>
      </w:pPr>
    </w:p>
    <w:p>
      <w:pPr>
        <w:ind w:left="4" w:right="60" w:firstLine="440"/>
        <w:spacing w:after="0" w:line="284" w:lineRule="auto"/>
        <w:rPr>
          <w:sz w:val="20"/>
          <w:szCs w:val="20"/>
          <w:color w:val="auto"/>
        </w:rPr>
      </w:pPr>
      <w:r>
        <w:rPr>
          <w:rFonts w:ascii="Arial" w:cs="Arial" w:eastAsia="Arial" w:hAnsi="Arial"/>
          <w:sz w:val="16"/>
          <w:szCs w:val="16"/>
          <w:b w:val="1"/>
          <w:bCs w:val="1"/>
          <w:color w:val="auto"/>
        </w:rPr>
        <w:t xml:space="preserve">Section 1.11 </w:t>
      </w:r>
      <w:r>
        <w:rPr>
          <w:rFonts w:ascii="Arial" w:cs="Arial" w:eastAsia="Arial" w:hAnsi="Arial"/>
          <w:sz w:val="16"/>
          <w:szCs w:val="16"/>
          <w:b w:val="1"/>
          <w:bCs w:val="1"/>
          <w:u w:val="single" w:color="auto"/>
          <w:color w:val="auto"/>
        </w:rPr>
        <w:t>Conduct of Meetings</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may adopt by resolution such rules and regulations for the conduct of the meeting of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and to do all such acts as, in the judgment of such presiding person, are appropriate for the proper conduct of the meeting. Such rules, regulations or procedures, whether adopted by the Board or prescribed by the presiding person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presiding person of the meeting shall determine; (iv) restrictions on entry to the meeting after the time fixed for the commencement thereof; (v) limitations on the time allotted to questions or comments by participants;</w:t>
      </w:r>
    </w:p>
    <w:p>
      <w:pPr>
        <w:spacing w:after="0" w:line="3" w:lineRule="exact"/>
        <w:rPr>
          <w:sz w:val="20"/>
          <w:szCs w:val="20"/>
          <w:color w:val="auto"/>
        </w:rPr>
      </w:pPr>
    </w:p>
    <w:p>
      <w:pPr>
        <w:ind w:left="4" w:hanging="4"/>
        <w:spacing w:after="0" w:line="290" w:lineRule="auto"/>
        <w:tabs>
          <w:tab w:leader="none" w:pos="309"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restricting the use of audio/video recording devices and cell phones; and (vii) complying with any state and local laws and regulations concerning safety and security.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16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1.12 </w:t>
      </w:r>
      <w:r>
        <w:rPr>
          <w:rFonts w:ascii="Arial" w:cs="Arial" w:eastAsia="Arial" w:hAnsi="Arial"/>
          <w:sz w:val="18"/>
          <w:szCs w:val="18"/>
          <w:b w:val="1"/>
          <w:bCs w:val="1"/>
          <w:u w:val="single" w:color="auto"/>
          <w:color w:val="auto"/>
        </w:rPr>
        <w:t>Notice of Stockholder Business; Nominations</w:t>
      </w:r>
      <w:r>
        <w:rPr>
          <w:rFonts w:ascii="Arial" w:cs="Arial" w:eastAsia="Arial" w:hAnsi="Arial"/>
          <w:sz w:val="18"/>
          <w:szCs w:val="18"/>
          <w:color w:val="auto"/>
        </w:rPr>
        <w:t>.</w:t>
      </w:r>
    </w:p>
    <w:p>
      <w:pPr>
        <w:spacing w:after="0" w:line="22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1.12.1 </w:t>
      </w:r>
      <w:r>
        <w:rPr>
          <w:rFonts w:ascii="Arial" w:cs="Arial" w:eastAsia="Arial" w:hAnsi="Arial"/>
          <w:sz w:val="18"/>
          <w:szCs w:val="18"/>
          <w:u w:val="single" w:color="auto"/>
          <w:color w:val="auto"/>
        </w:rPr>
        <w:t>Annual Meeting of Stockholders</w:t>
      </w:r>
      <w:r>
        <w:rPr>
          <w:rFonts w:ascii="Arial" w:cs="Arial" w:eastAsia="Arial" w:hAnsi="Arial"/>
          <w:sz w:val="18"/>
          <w:szCs w:val="18"/>
          <w:color w:val="auto"/>
        </w:rPr>
        <w:t>.</w:t>
      </w:r>
    </w:p>
    <w:p>
      <w:pPr>
        <w:spacing w:after="0" w:line="225" w:lineRule="exact"/>
        <w:rPr>
          <w:sz w:val="20"/>
          <w:szCs w:val="20"/>
          <w:color w:val="auto"/>
        </w:rPr>
      </w:pPr>
    </w:p>
    <w:p>
      <w:pPr>
        <w:ind w:left="4" w:right="40" w:firstLine="1428"/>
        <w:spacing w:after="0" w:line="296" w:lineRule="auto"/>
        <w:tabs>
          <w:tab w:leader="none" w:pos="1681" w:val="left"/>
        </w:tabs>
        <w:numPr>
          <w:ilvl w:val="0"/>
          <w:numId w:val="13"/>
        </w:numPr>
        <w:rPr>
          <w:rFonts w:ascii="Arial" w:cs="Arial" w:eastAsia="Arial" w:hAnsi="Arial"/>
          <w:sz w:val="16"/>
          <w:szCs w:val="16"/>
          <w:color w:val="auto"/>
        </w:rPr>
      </w:pPr>
      <w:r>
        <w:rPr>
          <w:rFonts w:ascii="Arial" w:cs="Arial" w:eastAsia="Arial" w:hAnsi="Arial"/>
          <w:sz w:val="16"/>
          <w:szCs w:val="16"/>
          <w:color w:val="auto"/>
        </w:rPr>
        <w:t>Nominations of persons for election to the Board and the proposal of other business to be considered by the stockholders may be made at an annual meeting of stockholders only: (i) pursuant to the Corporation’s notice of such meeting (or any supplement thereto), (ii) by or at the direction of the Board or any committee thereof or (iii) by any stockholder of the Corporation who was a stockholder of record at the time of giving of the notice provided for in this Section 1.12 (the “</w:t>
      </w:r>
      <w:r>
        <w:rPr>
          <w:rFonts w:ascii="Arial" w:cs="Arial" w:eastAsia="Arial" w:hAnsi="Arial"/>
          <w:sz w:val="16"/>
          <w:szCs w:val="16"/>
          <w:b w:val="1"/>
          <w:bCs w:val="1"/>
          <w:i w:val="1"/>
          <w:iCs w:val="1"/>
          <w:color w:val="auto"/>
        </w:rPr>
        <w:t>Record Stockholder</w:t>
      </w:r>
      <w:r>
        <w:rPr>
          <w:rFonts w:ascii="Arial" w:cs="Arial" w:eastAsia="Arial" w:hAnsi="Arial"/>
          <w:sz w:val="16"/>
          <w:szCs w:val="16"/>
          <w:color w:val="auto"/>
        </w:rPr>
        <w:t>”), who is entitled to vote at such meeting and who complies with the notice and other procedures set forth in this Section 1.12 in all applicable respects. For the avoidance of doubt, the foregoing clause (iii) shall be the</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74" w:right="479" w:bottom="1440" w:gutter="0" w:footer="0" w:header="0"/>
        </w:sectPr>
      </w:pPr>
    </w:p>
    <w:bookmarkStart w:id="21" w:name="page22"/>
    <w:bookmarkEnd w:id="21"/>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exclusive means for a stockholder to make nominations or propose business (other than business included in the Corporation’s proxy materials pursuant to Rule 14a-8 under the Securities Exchange Act of 1934, as amended (such act, and the rules and regulations promulgated thereunder, the “</w:t>
      </w:r>
      <w:r>
        <w:rPr>
          <w:rFonts w:ascii="Arial" w:cs="Arial" w:eastAsia="Arial" w:hAnsi="Arial"/>
          <w:sz w:val="18"/>
          <w:szCs w:val="18"/>
          <w:b w:val="1"/>
          <w:bCs w:val="1"/>
          <w:i w:val="1"/>
          <w:iCs w:val="1"/>
          <w:color w:val="auto"/>
        </w:rPr>
        <w:t>Exchange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at an annual meeting of stockholders, and such stockholder must fully comply with the notice and other procedures set forth in this Section 1.12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make such nominations or propose business before an annual meeting.</w:t>
      </w:r>
    </w:p>
    <w:p>
      <w:pPr>
        <w:spacing w:after="0" w:line="187" w:lineRule="exact"/>
        <w:rPr>
          <w:sz w:val="20"/>
          <w:szCs w:val="20"/>
          <w:color w:val="auto"/>
        </w:rPr>
      </w:pPr>
    </w:p>
    <w:p>
      <w:pPr>
        <w:ind w:right="660" w:firstLine="1428"/>
        <w:spacing w:after="0" w:line="277" w:lineRule="auto"/>
        <w:tabs>
          <w:tab w:leader="none" w:pos="16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nominations or other business to be properly brought before an annual meeting by a Record Stockholder pursuant to Section 1.12.1(a) of these Bylaws:</w:t>
      </w:r>
    </w:p>
    <w:p>
      <w:pPr>
        <w:spacing w:after="0" w:line="62" w:lineRule="exact"/>
        <w:rPr>
          <w:rFonts w:ascii="Arial" w:cs="Arial" w:eastAsia="Arial" w:hAnsi="Arial"/>
          <w:sz w:val="18"/>
          <w:szCs w:val="18"/>
          <w:color w:val="auto"/>
        </w:rPr>
      </w:pPr>
    </w:p>
    <w:p>
      <w:pPr>
        <w:ind w:right="140" w:firstLine="1979"/>
        <w:spacing w:after="0" w:line="277" w:lineRule="auto"/>
        <w:tabs>
          <w:tab w:leader="none" w:pos="2198"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Record Stockholder must have given timely notice thereof in writing to the Secretary of the Corporation and provide any updates or supplements to such notice at the times and in the forms required by this Section 1.12;</w:t>
      </w:r>
    </w:p>
    <w:p>
      <w:pPr>
        <w:spacing w:after="0" w:line="170" w:lineRule="exact"/>
        <w:rPr>
          <w:rFonts w:ascii="Arial" w:cs="Arial" w:eastAsia="Arial" w:hAnsi="Arial"/>
          <w:sz w:val="18"/>
          <w:szCs w:val="18"/>
          <w:color w:val="auto"/>
        </w:rPr>
      </w:pPr>
    </w:p>
    <w:p>
      <w:pPr>
        <w:ind w:left="2240" w:hanging="261"/>
        <w:spacing w:after="0"/>
        <w:tabs>
          <w:tab w:leader="none" w:pos="22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such other business (other than the nomination of persons for election to the Board) must otherwise be a proper matter for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stockholder action;</w:t>
      </w:r>
    </w:p>
    <w:p>
      <w:pPr>
        <w:spacing w:after="0" w:line="210" w:lineRule="exact"/>
        <w:rPr>
          <w:rFonts w:ascii="Arial" w:cs="Arial" w:eastAsia="Arial" w:hAnsi="Arial"/>
          <w:sz w:val="16"/>
          <w:szCs w:val="16"/>
          <w:color w:val="auto"/>
        </w:rPr>
      </w:pPr>
    </w:p>
    <w:p>
      <w:pPr>
        <w:ind w:firstLine="1979"/>
        <w:spacing w:after="0" w:line="273" w:lineRule="auto"/>
        <w:tabs>
          <w:tab w:leader="none" w:pos="2298" w:val="left"/>
        </w:tabs>
        <w:numPr>
          <w:ilvl w:val="1"/>
          <w:numId w:val="14"/>
        </w:numPr>
        <w:rPr>
          <w:rFonts w:ascii="Arial" w:cs="Arial" w:eastAsia="Arial" w:hAnsi="Arial"/>
          <w:sz w:val="17"/>
          <w:szCs w:val="17"/>
          <w:color w:val="auto"/>
        </w:rPr>
      </w:pPr>
      <w:r>
        <w:rPr>
          <w:rFonts w:ascii="Arial" w:cs="Arial" w:eastAsia="Arial" w:hAnsi="Arial"/>
          <w:sz w:val="17"/>
          <w:szCs w:val="17"/>
          <w:color w:val="auto"/>
        </w:rPr>
        <w:t>if the Proposing Person (as defined below) has provided the Corporation with a Solicitation Notice (as defined below), such Proposing Person must, in the case of a proposal other than the nomination of persons for election to the Board, have delivered a proxy statement and form of proxy to 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Proposing Person to be sufficient to elect the nominee or nominees proposed to be nominated by such Record Stockholder, and must, in either case, have included in such materials the Solicitation Notice; and</w:t>
      </w:r>
    </w:p>
    <w:p>
      <w:pPr>
        <w:spacing w:after="0" w:line="177" w:lineRule="exact"/>
        <w:rPr>
          <w:rFonts w:ascii="Arial" w:cs="Arial" w:eastAsia="Arial" w:hAnsi="Arial"/>
          <w:sz w:val="17"/>
          <w:szCs w:val="17"/>
          <w:color w:val="auto"/>
        </w:rPr>
      </w:pPr>
    </w:p>
    <w:p>
      <w:pPr>
        <w:ind w:right="60" w:firstLine="1979"/>
        <w:spacing w:after="0" w:line="287" w:lineRule="auto"/>
        <w:tabs>
          <w:tab w:leader="none" w:pos="2288" w:val="left"/>
        </w:tabs>
        <w:numPr>
          <w:ilvl w:val="1"/>
          <w:numId w:val="14"/>
        </w:numPr>
        <w:rPr>
          <w:rFonts w:ascii="Arial" w:cs="Arial" w:eastAsia="Arial" w:hAnsi="Arial"/>
          <w:sz w:val="16"/>
          <w:szCs w:val="16"/>
          <w:color w:val="auto"/>
        </w:rPr>
      </w:pPr>
      <w:r>
        <w:rPr>
          <w:rFonts w:ascii="Arial" w:cs="Arial" w:eastAsia="Arial" w:hAnsi="Arial"/>
          <w:sz w:val="16"/>
          <w:szCs w:val="16"/>
          <w:color w:val="auto"/>
        </w:rPr>
        <w:t xml:space="preserve">if no Solicitation Notice relating thereto has been timely provided pursuant to this Section 1.12, the Proposing Person proposing such business or nomination must not have solicited a number of proxies sufficient to have required the delivery of such a Solicitation Notice under this Section 1.12. To be timely, a Record Stockholder’s notice must be delivered to the Secretary at the principal executive offices of the Corporation not later than 5:00 p.m. New York Time on the ninetieth (90th) day nor earlier than 5:00 p.m. New York Time on the one hundred and twentieth (120th) day prior to the first anniversary of the preceding year’s annual meeting (which date shall, for purposes of the Corporation’s first annual meeting of stockholders after its shares of Common Stock (as defined in the Certificate of Incorporation) are first publicly traded, be deemed to have occurred on June 8, 2021);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in the event that the date of the annual meeting is more than thirty (30) days before or more than seventy (70) days after such anniversary date, notice by the Record Stockholder to be timely must be so delivered (A) no earlier than 5:00 p.m. New York Time on the one hundred and twentieth (120th) day prior to such annual meeting and (B) no later than 5:00 p.m. New York Time on the later of the ninetieth (90th) day prior to such annual meeting or 5:00 p.m. New York Time on the tenth (10th) day following the day on which Public Announcement (as defined below) of the date of such meeting is first made by the Corporation. In no event shall an adjournment or postponement of an annual meeting commence a new time period (or extend any time period) for providing the Record Stockholder’s notice.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2" w:name="page23"/>
    <w:bookmarkEnd w:id="22"/>
    <w:p>
      <w:pPr>
        <w:ind w:left="-20" w:right="180" w:firstLine="1428"/>
        <w:spacing w:after="0" w:line="277" w:lineRule="auto"/>
        <w:tabs>
          <w:tab w:leader="none" w:pos="1657"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to each person whom the Record Stockholder proposes to nominate for election or reelection as a director, in addition to the matters set forth in paragraph (e) below, such Record Stockholder’s notice shall set forth:</w:t>
      </w:r>
    </w:p>
    <w:p>
      <w:pPr>
        <w:spacing w:after="0" w:line="170" w:lineRule="exact"/>
        <w:rPr>
          <w:rFonts w:ascii="Arial" w:cs="Arial" w:eastAsia="Arial" w:hAnsi="Arial"/>
          <w:sz w:val="18"/>
          <w:szCs w:val="18"/>
          <w:color w:val="auto"/>
        </w:rPr>
      </w:pPr>
    </w:p>
    <w:p>
      <w:pPr>
        <w:ind w:left="2180" w:hanging="221"/>
        <w:spacing w:after="0"/>
        <w:tabs>
          <w:tab w:leader="none" w:pos="21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name, age, business address and residence address of such person;</w:t>
      </w:r>
    </w:p>
    <w:p>
      <w:pPr>
        <w:spacing w:after="0" w:line="225" w:lineRule="exact"/>
        <w:rPr>
          <w:rFonts w:ascii="Arial" w:cs="Arial" w:eastAsia="Arial" w:hAnsi="Arial"/>
          <w:sz w:val="18"/>
          <w:szCs w:val="18"/>
          <w:color w:val="auto"/>
        </w:rPr>
      </w:pPr>
    </w:p>
    <w:p>
      <w:pPr>
        <w:ind w:left="2220" w:hanging="261"/>
        <w:spacing w:after="0"/>
        <w:tabs>
          <w:tab w:leader="none" w:pos="22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principal occupation or employment of such nominee;</w:t>
      </w:r>
    </w:p>
    <w:p>
      <w:pPr>
        <w:spacing w:after="0" w:line="225" w:lineRule="exact"/>
        <w:rPr>
          <w:rFonts w:ascii="Arial" w:cs="Arial" w:eastAsia="Arial" w:hAnsi="Arial"/>
          <w:sz w:val="18"/>
          <w:szCs w:val="18"/>
          <w:color w:val="auto"/>
        </w:rPr>
      </w:pPr>
    </w:p>
    <w:p>
      <w:pPr>
        <w:ind w:left="-20" w:right="60" w:firstLine="1979"/>
        <w:spacing w:after="0" w:line="277" w:lineRule="auto"/>
        <w:tabs>
          <w:tab w:leader="none" w:pos="2278"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class, series and number of any shares of stock of the Corporation that are beneficially owned or owned of record by such person or any Associated Person (as defined in Section 1.12.4(c));</w:t>
      </w:r>
    </w:p>
    <w:p>
      <w:pPr>
        <w:spacing w:after="0" w:line="170" w:lineRule="exact"/>
        <w:rPr>
          <w:rFonts w:ascii="Arial" w:cs="Arial" w:eastAsia="Arial" w:hAnsi="Arial"/>
          <w:sz w:val="18"/>
          <w:szCs w:val="18"/>
          <w:color w:val="auto"/>
        </w:rPr>
      </w:pPr>
    </w:p>
    <w:p>
      <w:pPr>
        <w:ind w:left="2260" w:hanging="301"/>
        <w:spacing w:after="0"/>
        <w:tabs>
          <w:tab w:leader="none" w:pos="22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date or dates such shares were acquired and the investment intent of such acquisition;</w:t>
      </w:r>
    </w:p>
    <w:p>
      <w:pPr>
        <w:spacing w:after="0" w:line="225" w:lineRule="exact"/>
        <w:rPr>
          <w:rFonts w:ascii="Arial" w:cs="Arial" w:eastAsia="Arial" w:hAnsi="Arial"/>
          <w:sz w:val="18"/>
          <w:szCs w:val="18"/>
          <w:color w:val="auto"/>
        </w:rPr>
      </w:pPr>
    </w:p>
    <w:p>
      <w:pPr>
        <w:ind w:left="-20" w:right="80" w:firstLine="1979"/>
        <w:spacing w:after="0" w:line="286" w:lineRule="auto"/>
        <w:tabs>
          <w:tab w:leader="none" w:pos="2218"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other information relating to such person that would be required to be disclosed in solicitations of proxies for election of directors in an election contest (even if an election contest is not involved), or would be otherwise required, in each case pursuant to and in accordance with Section 14(a) (or any successor provision) under the Exchange Act and the rules and regulations thereunder;</w:t>
      </w:r>
    </w:p>
    <w:p>
      <w:pPr>
        <w:spacing w:after="0" w:line="165" w:lineRule="exact"/>
        <w:rPr>
          <w:rFonts w:ascii="Arial" w:cs="Arial" w:eastAsia="Arial" w:hAnsi="Arial"/>
          <w:sz w:val="17"/>
          <w:szCs w:val="17"/>
          <w:color w:val="auto"/>
        </w:rPr>
      </w:pPr>
    </w:p>
    <w:p>
      <w:pPr>
        <w:ind w:left="-20" w:firstLine="1979"/>
        <w:spacing w:after="0" w:line="263" w:lineRule="auto"/>
        <w:tabs>
          <w:tab w:leader="none" w:pos="2268" w:val="left"/>
        </w:tabs>
        <w:numPr>
          <w:ilvl w:val="1"/>
          <w:numId w:val="15"/>
        </w:numPr>
        <w:rPr>
          <w:rFonts w:ascii="Arial" w:cs="Arial" w:eastAsia="Arial" w:hAnsi="Arial"/>
          <w:sz w:val="18"/>
          <w:szCs w:val="18"/>
          <w:color w:val="auto"/>
        </w:rPr>
      </w:pPr>
      <w:r>
        <w:rPr>
          <w:rFonts w:ascii="Arial" w:cs="Arial" w:eastAsia="Arial" w:hAnsi="Arial"/>
          <w:sz w:val="18"/>
          <w:szCs w:val="18"/>
          <w:color w:val="auto"/>
        </w:rPr>
        <w:t>such person’s written consent to being named in the Corporation’s proxy statement as a nominee, to the public disclosure of information regarding or related to such person provided to the Corporation by such person or otherwise pursuant to this Section 1.12 and to serving as a director if elected;</w:t>
      </w:r>
    </w:p>
    <w:p>
      <w:pPr>
        <w:spacing w:after="0" w:line="183" w:lineRule="exact"/>
        <w:rPr>
          <w:rFonts w:ascii="Arial" w:cs="Arial" w:eastAsia="Arial" w:hAnsi="Arial"/>
          <w:sz w:val="18"/>
          <w:szCs w:val="18"/>
          <w:color w:val="auto"/>
        </w:rPr>
      </w:pPr>
    </w:p>
    <w:p>
      <w:pPr>
        <w:ind w:left="-20" w:right="40" w:firstLine="1979"/>
        <w:spacing w:after="0" w:line="277" w:lineRule="auto"/>
        <w:tabs>
          <w:tab w:leader="none" w:pos="2318" w:val="left"/>
        </w:tabs>
        <w:numPr>
          <w:ilvl w:val="1"/>
          <w:numId w:val="15"/>
        </w:numPr>
        <w:rPr>
          <w:rFonts w:ascii="Arial" w:cs="Arial" w:eastAsia="Arial" w:hAnsi="Arial"/>
          <w:sz w:val="18"/>
          <w:szCs w:val="18"/>
          <w:color w:val="auto"/>
        </w:rPr>
      </w:pPr>
      <w:r>
        <w:rPr>
          <w:rFonts w:ascii="Arial" w:cs="Arial" w:eastAsia="Arial" w:hAnsi="Arial"/>
          <w:sz w:val="18"/>
          <w:szCs w:val="18"/>
          <w:color w:val="auto"/>
        </w:rPr>
        <w:t>whether such person meets the independence requirements of the stock exchange upon which the Corporation’s Class A Common Stock (or Common Stock) is primarily traded;</w:t>
      </w:r>
    </w:p>
    <w:p>
      <w:pPr>
        <w:spacing w:after="0" w:line="170" w:lineRule="exact"/>
        <w:rPr>
          <w:rFonts w:ascii="Arial" w:cs="Arial" w:eastAsia="Arial" w:hAnsi="Arial"/>
          <w:sz w:val="18"/>
          <w:szCs w:val="18"/>
          <w:color w:val="auto"/>
        </w:rPr>
      </w:pPr>
    </w:p>
    <w:p>
      <w:pPr>
        <w:ind w:left="-20" w:firstLine="1979"/>
        <w:spacing w:after="0" w:line="255" w:lineRule="auto"/>
        <w:tabs>
          <w:tab w:leader="none" w:pos="236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description of all direct and indirect compensation and other material monetary agreements, arrangements and understandings during the past three (3) years, and any other material relationships, between or among such Proposing Person or any of its respective affiliates and associates, on the one hand, and each proposed nominee, and his or her respective affiliates and associates, on the other hand, including all information that would be required to be disclosed pursuant to Rule 404 promulgated under Regulation S-K if the Proposing Person or any of its respective affiliates and associates were the “registrant” for purposes of such rule and the nominee were a director or executive officer of such registrant; and</w:t>
      </w:r>
    </w:p>
    <w:p>
      <w:pPr>
        <w:spacing w:after="0" w:line="192" w:lineRule="exact"/>
        <w:rPr>
          <w:rFonts w:ascii="Arial" w:cs="Arial" w:eastAsia="Arial" w:hAnsi="Arial"/>
          <w:sz w:val="18"/>
          <w:szCs w:val="18"/>
          <w:color w:val="auto"/>
        </w:rPr>
      </w:pPr>
    </w:p>
    <w:p>
      <w:pPr>
        <w:ind w:left="2260" w:hanging="301"/>
        <w:spacing w:after="0"/>
        <w:tabs>
          <w:tab w:leader="none" w:pos="22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 completed and signed questionnaire, representation and agreement required by Section 1.12.2 of these Bylaws.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60" w:top="274" w:right="459" w:bottom="1440" w:gutter="0" w:footer="0" w:header="0"/>
        </w:sectPr>
      </w:pPr>
    </w:p>
    <w:bookmarkStart w:id="23" w:name="page24"/>
    <w:bookmarkEnd w:id="23"/>
    <w:p>
      <w:pPr>
        <w:ind w:left="-20" w:right="160" w:firstLine="1428"/>
        <w:spacing w:after="0" w:line="277" w:lineRule="auto"/>
        <w:tabs>
          <w:tab w:leader="none" w:pos="1667"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to any business other than the nomination of a director or directors that the Record Stockholder proposes to bring before the meeting, in addition to the matters set forth in paragraph (e) below, such Record Stockholder’s notice shall set forth:</w:t>
      </w:r>
    </w:p>
    <w:p>
      <w:pPr>
        <w:spacing w:after="0" w:line="62" w:lineRule="exact"/>
        <w:rPr>
          <w:rFonts w:ascii="Arial" w:cs="Arial" w:eastAsia="Arial" w:hAnsi="Arial"/>
          <w:sz w:val="18"/>
          <w:szCs w:val="18"/>
          <w:color w:val="auto"/>
        </w:rPr>
      </w:pPr>
    </w:p>
    <w:p>
      <w:pPr>
        <w:ind w:left="-20" w:right="160" w:firstLine="1979"/>
        <w:spacing w:after="0" w:line="259" w:lineRule="auto"/>
        <w:tabs>
          <w:tab w:leader="none" w:pos="2178" w:val="left"/>
        </w:tabs>
        <w:numPr>
          <w:ilvl w:val="1"/>
          <w:numId w:val="16"/>
        </w:numPr>
        <w:rPr>
          <w:rFonts w:ascii="Arial" w:cs="Arial" w:eastAsia="Arial" w:hAnsi="Arial"/>
          <w:sz w:val="18"/>
          <w:szCs w:val="18"/>
          <w:color w:val="auto"/>
        </w:rPr>
      </w:pPr>
      <w:r>
        <w:rPr>
          <w:rFonts w:ascii="Arial" w:cs="Arial" w:eastAsia="Arial" w:hAnsi="Arial"/>
          <w:sz w:val="18"/>
          <w:szCs w:val="18"/>
          <w:color w:val="auto"/>
        </w:rPr>
        <w:t>brief description of the business desired to be brought before the meeting, the text of the proposal or business (including the text of any resolutions proposed for consideration and in the event that such business includes a proposal to amend the Bylaws, the text of the proposed amendment), the reasons for conducting such business at the meeting and any material interest in such business of such Proposing Person, including any anticipated benefit to any Proposing Person therefrom; and</w:t>
      </w:r>
    </w:p>
    <w:p>
      <w:pPr>
        <w:spacing w:after="0" w:line="186" w:lineRule="exact"/>
        <w:rPr>
          <w:rFonts w:ascii="Arial" w:cs="Arial" w:eastAsia="Arial" w:hAnsi="Arial"/>
          <w:sz w:val="18"/>
          <w:szCs w:val="18"/>
          <w:color w:val="auto"/>
        </w:rPr>
      </w:pPr>
    </w:p>
    <w:p>
      <w:pPr>
        <w:jc w:val="both"/>
        <w:ind w:left="-20" w:firstLine="1979"/>
        <w:spacing w:after="0" w:line="263" w:lineRule="auto"/>
        <w:tabs>
          <w:tab w:leader="none" w:pos="222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description of all agreements, arrangements and understandings between or among any such Proposing Person and any of its respective affiliates or associates, on the one hand, and any other person or persons, on the other hand, (including their names) in connection with the proposal of such business by such Proposing Person;</w:t>
      </w:r>
    </w:p>
    <w:p>
      <w:pPr>
        <w:spacing w:after="0" w:line="183" w:lineRule="exact"/>
        <w:rPr>
          <w:rFonts w:ascii="Arial" w:cs="Arial" w:eastAsia="Arial" w:hAnsi="Arial"/>
          <w:sz w:val="18"/>
          <w:szCs w:val="18"/>
          <w:color w:val="auto"/>
        </w:rPr>
      </w:pPr>
    </w:p>
    <w:p>
      <w:pPr>
        <w:ind w:left="1660" w:hanging="252"/>
        <w:spacing w:after="0"/>
        <w:tabs>
          <w:tab w:leader="none" w:pos="1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to each Proposing Person giving the notice, such Record Stockholder’s notice shall set forth:</w:t>
      </w:r>
    </w:p>
    <w:p>
      <w:pPr>
        <w:spacing w:after="0" w:line="225" w:lineRule="exact"/>
        <w:rPr>
          <w:rFonts w:ascii="Arial" w:cs="Arial" w:eastAsia="Arial" w:hAnsi="Arial"/>
          <w:sz w:val="18"/>
          <w:szCs w:val="18"/>
          <w:color w:val="auto"/>
        </w:rPr>
      </w:pPr>
    </w:p>
    <w:p>
      <w:pPr>
        <w:ind w:left="-20" w:right="40" w:firstLine="1979"/>
        <w:spacing w:after="0" w:line="277" w:lineRule="auto"/>
        <w:tabs>
          <w:tab w:leader="none" w:pos="2178"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current name and address of such Proposing Person, including, if applicable, their name and address as they appear on the Corporation’s stock ledger, if different;</w:t>
      </w:r>
    </w:p>
    <w:p>
      <w:pPr>
        <w:spacing w:after="0" w:line="170" w:lineRule="exact"/>
        <w:rPr>
          <w:rFonts w:ascii="Arial" w:cs="Arial" w:eastAsia="Arial" w:hAnsi="Arial"/>
          <w:sz w:val="18"/>
          <w:szCs w:val="18"/>
          <w:color w:val="auto"/>
        </w:rPr>
      </w:pPr>
    </w:p>
    <w:p>
      <w:pPr>
        <w:ind w:left="-20" w:right="280" w:firstLine="1979"/>
        <w:spacing w:after="0" w:line="263" w:lineRule="auto"/>
        <w:tabs>
          <w:tab w:leader="none" w:pos="2228"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class or series and number of shares of stock of the Corporation that are directly or indirectly owned of record or beneficially owned by such Proposing Person, including any shares of any class or series of the Corporation as to which such Proposing Person has a right to acquire beneficial ownership at any time in the future;</w:t>
      </w:r>
    </w:p>
    <w:p>
      <w:pPr>
        <w:spacing w:after="0" w:line="183" w:lineRule="exact"/>
        <w:rPr>
          <w:rFonts w:ascii="Arial" w:cs="Arial" w:eastAsia="Arial" w:hAnsi="Arial"/>
          <w:sz w:val="18"/>
          <w:szCs w:val="18"/>
          <w:color w:val="auto"/>
        </w:rPr>
      </w:pPr>
    </w:p>
    <w:p>
      <w:pPr>
        <w:ind w:left="-20" w:right="20" w:firstLine="1979"/>
        <w:spacing w:after="0" w:line="286" w:lineRule="auto"/>
        <w:tabs>
          <w:tab w:leader="none" w:pos="2278" w:val="left"/>
        </w:tabs>
        <w:numPr>
          <w:ilvl w:val="1"/>
          <w:numId w:val="16"/>
        </w:numPr>
        <w:rPr>
          <w:rFonts w:ascii="Arial" w:cs="Arial" w:eastAsia="Arial" w:hAnsi="Arial"/>
          <w:sz w:val="16"/>
          <w:szCs w:val="16"/>
          <w:color w:val="auto"/>
        </w:rPr>
      </w:pPr>
      <w:r>
        <w:rPr>
          <w:rFonts w:ascii="Arial" w:cs="Arial" w:eastAsia="Arial" w:hAnsi="Arial"/>
          <w:sz w:val="16"/>
          <w:szCs w:val="16"/>
          <w:color w:val="auto"/>
        </w:rPr>
        <w:t>whether and the extent to which any derivative interest in the Corporation’s equity securities (including without limitation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shares of the Corporation or otherwise, and any cash-settled equity swap, total return swap, synthetic equity position or similar derivative arrangement (any of the foregoing, a “</w:t>
      </w:r>
      <w:r>
        <w:rPr>
          <w:rFonts w:ascii="Arial" w:cs="Arial" w:eastAsia="Arial" w:hAnsi="Arial"/>
          <w:sz w:val="16"/>
          <w:szCs w:val="16"/>
          <w:b w:val="1"/>
          <w:bCs w:val="1"/>
          <w:i w:val="1"/>
          <w:iCs w:val="1"/>
          <w:color w:val="auto"/>
        </w:rPr>
        <w:t>Derivative Instrument</w:t>
      </w:r>
      <w:r>
        <w:rPr>
          <w:rFonts w:ascii="Arial" w:cs="Arial" w:eastAsia="Arial" w:hAnsi="Arial"/>
          <w:sz w:val="16"/>
          <w:szCs w:val="16"/>
          <w:color w:val="auto"/>
        </w:rPr>
        <w:t>”), as well as any rights to dividends on the shares of any class or series of shares of the Corporation that are separated or separable from the underlying shares of the Corporation) or any short interest in any security of the Corporation (for purposes of this Bylaw a person shall be deemed to have a short interest in a security if such person directly or indirectly, through any contract, arrangement, understanding, relationship or otherwise, has the opportunity to profit or share in any profit derived from any increase or decrease in the value of the subject security, including through performance-related fees) is held directly or indirectly by or for the benefit of such Proposing Person, including without limitation whether and the extent to which any ongoing hedging or other transaction or series of transactions has been entered into by or on behalf of, or any other agreement, arrangement or understanding (including without limitation any short position or any borrowing or lending of shares) has been made, the effect or intent of which is to mitigate loss to or manage risk or benefit of share price changes for, or to increase or decrease the voting power of, such Proposing Person with respect to any share of stock of the Corporation (any of the foregoing, a “</w:t>
      </w:r>
      <w:r>
        <w:rPr>
          <w:rFonts w:ascii="Arial" w:cs="Arial" w:eastAsia="Arial" w:hAnsi="Arial"/>
          <w:sz w:val="16"/>
          <w:szCs w:val="16"/>
          <w:b w:val="1"/>
          <w:bCs w:val="1"/>
          <w:i w:val="1"/>
          <w:iCs w:val="1"/>
          <w:color w:val="auto"/>
        </w:rPr>
        <w:t>Short Interest</w:t>
      </w:r>
      <w:r>
        <w:rPr>
          <w:rFonts w:ascii="Arial" w:cs="Arial" w:eastAsia="Arial" w:hAnsi="Arial"/>
          <w:sz w:val="16"/>
          <w:szCs w:val="16"/>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60" w:top="274" w:right="459" w:bottom="1440" w:gutter="0" w:footer="0" w:header="0"/>
        </w:sectPr>
      </w:pPr>
    </w:p>
    <w:bookmarkStart w:id="24" w:name="page25"/>
    <w:bookmarkEnd w:id="24"/>
    <w:p>
      <w:pPr>
        <w:ind w:firstLine="1979"/>
        <w:spacing w:after="0" w:line="263" w:lineRule="auto"/>
        <w:tabs>
          <w:tab w:leader="none" w:pos="2288"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proportionate interest in shares of the Corporation or Derivative Instruments held, directly or indirectly, by a general or limited partnership in which such Proposing Person or any of its respective affiliates or associates is a general partner or, directly or indirectly, beneficially owns an interest in a general partner of such general or limited partnership;</w:t>
      </w:r>
    </w:p>
    <w:p>
      <w:pPr>
        <w:spacing w:after="0" w:line="183" w:lineRule="exact"/>
        <w:rPr>
          <w:rFonts w:ascii="Arial" w:cs="Arial" w:eastAsia="Arial" w:hAnsi="Arial"/>
          <w:sz w:val="18"/>
          <w:szCs w:val="18"/>
          <w:color w:val="auto"/>
        </w:rPr>
      </w:pPr>
    </w:p>
    <w:p>
      <w:pPr>
        <w:ind w:right="320" w:firstLine="1979"/>
        <w:spacing w:after="0" w:line="263" w:lineRule="auto"/>
        <w:tabs>
          <w:tab w:leader="none" w:pos="223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direct or indirect material interest in any material contract or agreement with the Corporation, any affiliate of the Corporation or any Competitor (as defined below) (including, in any such case, any employment agreement, collective bargaining agreement or consulting agreement);</w:t>
      </w:r>
    </w:p>
    <w:p>
      <w:pPr>
        <w:spacing w:after="0" w:line="183" w:lineRule="exact"/>
        <w:rPr>
          <w:rFonts w:ascii="Arial" w:cs="Arial" w:eastAsia="Arial" w:hAnsi="Arial"/>
          <w:sz w:val="18"/>
          <w:szCs w:val="18"/>
          <w:color w:val="auto"/>
        </w:rPr>
      </w:pPr>
    </w:p>
    <w:p>
      <w:pPr>
        <w:ind w:right="680" w:firstLine="1979"/>
        <w:spacing w:after="0" w:line="277" w:lineRule="auto"/>
        <w:tabs>
          <w:tab w:leader="none" w:pos="22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significant equity interests or any Derivative Instruments or Short Interests in any Competitor held by such Proposing Person and/or any of its respective affiliates or associates;</w:t>
      </w:r>
    </w:p>
    <w:p>
      <w:pPr>
        <w:spacing w:after="0" w:line="170" w:lineRule="exact"/>
        <w:rPr>
          <w:rFonts w:ascii="Arial" w:cs="Arial" w:eastAsia="Arial" w:hAnsi="Arial"/>
          <w:sz w:val="18"/>
          <w:szCs w:val="18"/>
          <w:color w:val="auto"/>
        </w:rPr>
      </w:pPr>
    </w:p>
    <w:p>
      <w:pPr>
        <w:ind w:right="180" w:firstLine="1979"/>
        <w:spacing w:after="0" w:line="277" w:lineRule="auto"/>
        <w:tabs>
          <w:tab w:leader="none" w:pos="233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material relationship between such Proposing Person, on the one hand, and the Corporation, any affiliate of the Corporation or any Competitor, on the other hand;</w:t>
      </w:r>
    </w:p>
    <w:p>
      <w:pPr>
        <w:spacing w:after="0" w:line="170" w:lineRule="exact"/>
        <w:rPr>
          <w:rFonts w:ascii="Arial" w:cs="Arial" w:eastAsia="Arial" w:hAnsi="Arial"/>
          <w:sz w:val="18"/>
          <w:szCs w:val="18"/>
          <w:color w:val="auto"/>
        </w:rPr>
      </w:pPr>
    </w:p>
    <w:p>
      <w:pPr>
        <w:ind w:right="180" w:firstLine="1979"/>
        <w:spacing w:after="0" w:line="263" w:lineRule="auto"/>
        <w:tabs>
          <w:tab w:leader="none" w:pos="2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information that would be required to be set forth in a Schedule 13D filed pursuant to Rule 13d-1(a) or an amendment pursuant to Rule 13d-2(a) if such a statement were required to be filed under the Exchange Act and the rules and regulations promulgated thereunder by such Proposing Person and/or any of its respective affiliates or associates;</w:t>
      </w:r>
    </w:p>
    <w:p>
      <w:pPr>
        <w:spacing w:after="0" w:line="183" w:lineRule="exact"/>
        <w:rPr>
          <w:rFonts w:ascii="Arial" w:cs="Arial" w:eastAsia="Arial" w:hAnsi="Arial"/>
          <w:sz w:val="18"/>
          <w:szCs w:val="18"/>
          <w:color w:val="auto"/>
        </w:rPr>
      </w:pPr>
    </w:p>
    <w:p>
      <w:pPr>
        <w:ind w:right="60" w:firstLine="1979"/>
        <w:spacing w:after="0" w:line="311" w:lineRule="auto"/>
        <w:tabs>
          <w:tab w:leader="none" w:pos="2288"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(or any successor provision) under the Exchange Act and the rules and regulations thereunder;</w:t>
      </w:r>
    </w:p>
    <w:p>
      <w:pPr>
        <w:spacing w:after="0" w:line="148" w:lineRule="exact"/>
        <w:rPr>
          <w:rFonts w:ascii="Arial" w:cs="Arial" w:eastAsia="Arial" w:hAnsi="Arial"/>
          <w:sz w:val="16"/>
          <w:szCs w:val="16"/>
          <w:color w:val="auto"/>
        </w:rPr>
      </w:pPr>
    </w:p>
    <w:p>
      <w:pPr>
        <w:ind w:left="2240" w:hanging="261"/>
        <w:spacing w:after="0"/>
        <w:tabs>
          <w:tab w:leader="none" w:pos="2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such Proposing Person’s written consent to the public disclosure of information provided to the Corporation pursuant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Section 1.12;</w:t>
      </w:r>
    </w:p>
    <w:p>
      <w:pPr>
        <w:spacing w:after="0" w:line="210" w:lineRule="exact"/>
        <w:rPr>
          <w:rFonts w:ascii="Arial" w:cs="Arial" w:eastAsia="Arial" w:hAnsi="Arial"/>
          <w:sz w:val="16"/>
          <w:szCs w:val="16"/>
          <w:color w:val="auto"/>
        </w:rPr>
      </w:pPr>
    </w:p>
    <w:p>
      <w:pPr>
        <w:ind w:right="80" w:firstLine="1979"/>
        <w:spacing w:after="0" w:line="311" w:lineRule="auto"/>
        <w:tabs>
          <w:tab w:leader="none" w:pos="2288"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complete written description of any agreement, arrangement or understanding (whether oral or in writing) (including any knowledge that another person or entity is Acting in Concert (as defined in Section 1.12.4(c)) with such Proposing Person) between or among such Proposing Person, any of its respective affiliates or associates and any other person Acting in Concert with any of the foregoing persons;</w:t>
      </w:r>
    </w:p>
    <w:p>
      <w:pPr>
        <w:spacing w:after="0" w:line="148" w:lineRule="exact"/>
        <w:rPr>
          <w:rFonts w:ascii="Arial" w:cs="Arial" w:eastAsia="Arial" w:hAnsi="Arial"/>
          <w:sz w:val="16"/>
          <w:szCs w:val="16"/>
          <w:color w:val="auto"/>
        </w:rPr>
      </w:pPr>
    </w:p>
    <w:p>
      <w:pPr>
        <w:ind w:right="260" w:firstLine="1979"/>
        <w:spacing w:after="0" w:line="277" w:lineRule="auto"/>
        <w:tabs>
          <w:tab w:leader="none" w:pos="233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representation that the Record Stockholder is a holder of record of stock of the Corporation entitled to vote at such meeting and intends to appear in person or by proxy at the meeting to propose such business or nomination;</w:t>
      </w:r>
    </w:p>
    <w:p>
      <w:pPr>
        <w:spacing w:after="0" w:line="170" w:lineRule="exact"/>
        <w:rPr>
          <w:rFonts w:ascii="Arial" w:cs="Arial" w:eastAsia="Arial" w:hAnsi="Arial"/>
          <w:sz w:val="18"/>
          <w:szCs w:val="18"/>
          <w:color w:val="auto"/>
        </w:rPr>
      </w:pPr>
    </w:p>
    <w:p>
      <w:pPr>
        <w:jc w:val="both"/>
        <w:ind w:firstLine="1979"/>
        <w:spacing w:after="0" w:line="279" w:lineRule="auto"/>
        <w:tabs>
          <w:tab w:leader="none" w:pos="2388"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representation whether such Proposing Person intends (or is part of a group that intends) to deliver a proxy statement or form of proxy to holders of, in the case of a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being a “</w:t>
      </w:r>
      <w:r>
        <w:rPr>
          <w:rFonts w:ascii="Arial" w:cs="Arial" w:eastAsia="Arial" w:hAnsi="Arial"/>
          <w:sz w:val="17"/>
          <w:szCs w:val="17"/>
          <w:b w:val="1"/>
          <w:bCs w:val="1"/>
          <w:i w:val="1"/>
          <w:iCs w:val="1"/>
          <w:color w:val="auto"/>
        </w:rPr>
        <w:t>Solicitation Notice</w:t>
      </w:r>
      <w:r>
        <w:rPr>
          <w:rFonts w:ascii="Arial" w:cs="Arial" w:eastAsia="Arial" w:hAnsi="Arial"/>
          <w:sz w:val="17"/>
          <w:szCs w:val="17"/>
          <w:color w:val="auto"/>
        </w:rPr>
        <w:t>”); and</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74" w:right="499" w:bottom="1440" w:gutter="0" w:footer="0" w:header="0"/>
        </w:sectPr>
      </w:pPr>
    </w:p>
    <w:bookmarkStart w:id="25" w:name="page26"/>
    <w:bookmarkEnd w:id="25"/>
    <w:p>
      <w:pPr>
        <w:ind w:right="40" w:firstLine="1979"/>
        <w:spacing w:after="0" w:line="277" w:lineRule="auto"/>
        <w:tabs>
          <w:tab w:leader="none" w:pos="2378"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proxy, contract, arrangement, or relationship pursuant to which the Proposing Person has a right to vote, directly or indirectly, any shares of any security of the Corporation.</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disclosures to be made pursuant to the foregoing clauses (ii), (iii), (iv) and (vi) shall not include any information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w:t>
      </w:r>
    </w:p>
    <w:p>
      <w:pPr>
        <w:spacing w:after="0" w:line="165" w:lineRule="exact"/>
        <w:rPr>
          <w:sz w:val="20"/>
          <w:szCs w:val="20"/>
          <w:color w:val="auto"/>
        </w:rPr>
      </w:pPr>
    </w:p>
    <w:p>
      <w:pPr>
        <w:ind w:firstLine="1428"/>
        <w:spacing w:after="0" w:line="268" w:lineRule="auto"/>
        <w:tabs>
          <w:tab w:leader="none" w:pos="1657"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stockholder providing written notice required by this Section 1.12 shall update such notice in writing, if necessary, so that the information provided or required to be provided in such notice is true and correct in all material respects as of (i) the record date for determining the stockholders entitled to notice of the meeting and (ii) 5:00 p.m. New York Time on the tenth (10th) business day prior to the meeting or any adjournment or postponement thereof. In the case of an update pursuant to clause (i) of the foregoing sentence, such update shall be received by the Secretary of the Corporation at the principal executive office of the Corporation not later than five (5) business days after the record date for determining the stockholders entitled to notice of the meeting, and in the case of an update and supplement pursuant to clause (ii) of the foregoing sentence, such update and supplement shall be received by the Secretary of the Corporation at the principal executive office of the Corporation not later than eight (8) business days prior to the date for the meeting, and, if practicable, any adjournment or postponement thereof (and, if not practicable, on the first practicable date prior to the date to which the meeting has been adjourned or postponed). For the avoidance of doubt, the obligation to update as set forth in this paragraph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nomination or to submit any new proposal, including by changing or adding nominees, matters, business and/or resolutions proposed to be brought before a meeting of the stockholders.</w:t>
      </w:r>
    </w:p>
    <w:p>
      <w:pPr>
        <w:spacing w:after="0" w:line="186" w:lineRule="exact"/>
        <w:rPr>
          <w:rFonts w:ascii="Arial" w:cs="Arial" w:eastAsia="Arial" w:hAnsi="Arial"/>
          <w:sz w:val="17"/>
          <w:szCs w:val="17"/>
          <w:color w:val="auto"/>
        </w:rPr>
      </w:pPr>
    </w:p>
    <w:p>
      <w:pPr>
        <w:ind w:right="120" w:firstLine="1428"/>
        <w:spacing w:after="0" w:line="279" w:lineRule="auto"/>
        <w:tabs>
          <w:tab w:leader="none" w:pos="1687"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Notwithstanding anything in Section 1.12 or any other provision of the Bylaws to the contrary, any person who has been determined by a majority of the Whole Board to have violated Section 2.11 of these Bylaws or a Board Confidentiality Policy (as defined below) while serving as a director of the Corporation in the preceding five (5) years shall be ineligible to be nominated or be qualified to serve as a member of the Board, absent a prior waiver for such nomination or qualification approved by two-thirds of the Whole Board.</w:t>
      </w:r>
    </w:p>
    <w:p>
      <w:pPr>
        <w:spacing w:after="0" w:line="171" w:lineRule="exact"/>
        <w:rPr>
          <w:sz w:val="20"/>
          <w:szCs w:val="20"/>
          <w:color w:val="auto"/>
        </w:rPr>
      </w:pPr>
    </w:p>
    <w:p>
      <w:pPr>
        <w:ind w:right="400" w:firstLine="991"/>
        <w:spacing w:after="0" w:line="301" w:lineRule="auto"/>
        <w:rPr>
          <w:sz w:val="20"/>
          <w:szCs w:val="20"/>
          <w:color w:val="auto"/>
        </w:rPr>
      </w:pPr>
      <w:r>
        <w:rPr>
          <w:rFonts w:ascii="Arial" w:cs="Arial" w:eastAsia="Arial" w:hAnsi="Arial"/>
          <w:sz w:val="16"/>
          <w:szCs w:val="16"/>
          <w:color w:val="auto"/>
        </w:rPr>
        <w:t xml:space="preserve">1.12.2 </w:t>
      </w:r>
      <w:r>
        <w:rPr>
          <w:rFonts w:ascii="Arial" w:cs="Arial" w:eastAsia="Arial" w:hAnsi="Arial"/>
          <w:sz w:val="16"/>
          <w:szCs w:val="16"/>
          <w:u w:val="single" w:color="auto"/>
          <w:color w:val="auto"/>
        </w:rPr>
        <w:t>Submission of Questionnaire, Representation and Agreement</w:t>
      </w:r>
      <w:r>
        <w:rPr>
          <w:rFonts w:ascii="Arial" w:cs="Arial" w:eastAsia="Arial" w:hAnsi="Arial"/>
          <w:sz w:val="16"/>
          <w:szCs w:val="16"/>
          <w:color w:val="auto"/>
        </w:rPr>
        <w:t>. To be eligible to be a nominee of any stockholder for election or reelection as a director of the Corporation, the person proposed to be nominated must deliver (in accordance with the time periods prescribed for delivery of notice under Section 1.12 of these Bylaws) to the Secretary at the principal executive offices of the Corporation a completed and signed questionnaire in the form required by the Corporation (which form the stockholder shall request in writing from the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6" w:name="page27"/>
    <w:bookmarkEnd w:id="26"/>
    <w:p>
      <w:pPr>
        <w:ind w:left="4" w:right="8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Secretary of the Corporation and which the Secretary shall provide to such stockholder within ten days of receiving such request) with respect to the background and qualification of such person to serve as a director of the Corporation and the background of any other person or entity on whose behalf, directly or indirectly, the nomination is being made and a signed representation and agreement (in the form available from the Secretary upon written request) that such person: (a) is not and will not become a party to (i) any agreement, arrangement or understanding with, and has not given any commitment or assurance to, any person or entity as to how such person, if elected as a director of the Corporation, will act or vote on any issue or question (a “</w:t>
      </w:r>
      <w:r>
        <w:rPr>
          <w:rFonts w:ascii="Arial" w:cs="Arial" w:eastAsia="Arial" w:hAnsi="Arial"/>
          <w:sz w:val="16"/>
          <w:szCs w:val="16"/>
          <w:b w:val="1"/>
          <w:bCs w:val="1"/>
          <w:i w:val="1"/>
          <w:iCs w:val="1"/>
          <w:color w:val="auto"/>
        </w:rPr>
        <w:t>Voting Commitment</w:t>
      </w:r>
      <w:r>
        <w:rPr>
          <w:rFonts w:ascii="Arial" w:cs="Arial" w:eastAsia="Arial" w:hAnsi="Arial"/>
          <w:sz w:val="16"/>
          <w:szCs w:val="16"/>
          <w:color w:val="auto"/>
        </w:rPr>
        <w:t>”) that has not been disclosed to the Corporation or (ii) any Voting Commitment that could limit or interfere with such person’s ability to comply, if elected as a director of the Corporation, with such person’s fiduciary duties under applicable law, (b) is not and will not become a party to any Compensation Arrangement (as defined below) that has not been disclosed therein, (c) if elected as a director of the Corporation, will comply with all informational and similar requirements of applicable insurance policies and laws and regulations in connection with service or action as a director of the Corporation, (d) if elected as a director of the Corporation, will comply with all corporate governance, conflict of interest, stock ownership requirements, confidentiality and trading policies and guidelines of the Corporation publicly disclosed from time to time, (e) if elected as a director of the Corporation, will act in the best interests of the Corporation and its stockholders and not in the interests of individual constituencies,</w:t>
      </w:r>
    </w:p>
    <w:p>
      <w:pPr>
        <w:spacing w:after="0" w:line="3" w:lineRule="exact"/>
        <w:rPr>
          <w:sz w:val="20"/>
          <w:szCs w:val="20"/>
          <w:color w:val="auto"/>
        </w:rPr>
      </w:pPr>
    </w:p>
    <w:p>
      <w:pPr>
        <w:ind w:left="4" w:right="60" w:hanging="4"/>
        <w:spacing w:after="0" w:line="255" w:lineRule="auto"/>
        <w:tabs>
          <w:tab w:leader="none" w:pos="229"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consents to being named as a nominee in the Corporation’s proxy statement pursuant to Rule 14a-4(d) under the Exchange Act and any associated proxy card of the Corporation and agrees to serve if elected as a director and (g) intends to serve as a director for the full term for which such individual is to stand for election.</w:t>
      </w:r>
    </w:p>
    <w:p>
      <w:pPr>
        <w:spacing w:after="0" w:line="190" w:lineRule="exact"/>
        <w:rPr>
          <w:sz w:val="20"/>
          <w:szCs w:val="20"/>
          <w:color w:val="auto"/>
        </w:rPr>
      </w:pPr>
    </w:p>
    <w:p>
      <w:pPr>
        <w:ind w:left="4" w:firstLine="991"/>
        <w:spacing w:after="0" w:line="286" w:lineRule="auto"/>
        <w:rPr>
          <w:sz w:val="20"/>
          <w:szCs w:val="20"/>
          <w:color w:val="auto"/>
        </w:rPr>
      </w:pPr>
      <w:r>
        <w:rPr>
          <w:rFonts w:ascii="Arial" w:cs="Arial" w:eastAsia="Arial" w:hAnsi="Arial"/>
          <w:sz w:val="16"/>
          <w:szCs w:val="16"/>
          <w:color w:val="auto"/>
        </w:rPr>
        <w:t xml:space="preserve">1.12.3 </w:t>
      </w:r>
      <w:r>
        <w:rPr>
          <w:rFonts w:ascii="Arial" w:cs="Arial" w:eastAsia="Arial" w:hAnsi="Arial"/>
          <w:sz w:val="16"/>
          <w:szCs w:val="16"/>
          <w:u w:val="single" w:color="auto"/>
          <w:color w:val="auto"/>
        </w:rPr>
        <w:t>Special Meetings of Stockholders</w:t>
      </w:r>
      <w:r>
        <w:rPr>
          <w:rFonts w:ascii="Arial" w:cs="Arial" w:eastAsia="Arial" w:hAnsi="Arial"/>
          <w:sz w:val="16"/>
          <w:szCs w:val="16"/>
          <w:color w:val="auto"/>
        </w:rPr>
        <w:t>. Only such business shall be conducted at a special meeting of stockholders as shall have been brought before the meeting pursuant to the Corporation’s notice of such meeting. Nominations of persons for election to the Board may be made at a special meeting of stockholders at which directors are to be elected pursuant to the Corporation’s notice of such meeting (a) by or at the direction of the Board or any committee thereof or (b) provided that the Board has determined that directors shall be elected at such meeting, by any stockholder of the Corporation who is a stockholder of record at the time of giving of notice of the special meeting, who shall be entitled to vote at the meeting and who complies with the notice and other procedures set forth in this Section 1.12 in all applicable respects. In the event the Corporation calls a special meeting of stockholders for the purpose of electing one or more directors to the Board, any such stockholder may nominate a person or persons (as the case may be), for election to such position(s) as specified in the Corporation’s notice of meeting, if the stockholder’s notice required by Section 1.12.1(b) of these Bylaws shall be delivered to the Secretary of the Corporation at the principal executive offices of the Corporation (i) no earlier than the one hundred and twentieth (120th) day prior to such special meeting and (ii) no later than 5:00 p.m. New York Time on the later of the ninetieth (90th) day prior to such special meeting or the tenth (10th) day following the day on which Public Announcement is first made of the date of the special meeting and of the nominees proposed by the Board to be elected at such meeting. In no event shall an adjournment or postponement of a special meeting commence a new time period (or extend any time period) for providing such notice.</w:t>
      </w:r>
    </w:p>
    <w:p>
      <w:pPr>
        <w:spacing w:after="0" w:line="10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27" w:name="page28"/>
    <w:bookmarkEnd w:id="27"/>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1.12.4 </w:t>
      </w: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25" w:lineRule="exact"/>
        <w:rPr>
          <w:sz w:val="20"/>
          <w:szCs w:val="20"/>
          <w:color w:val="auto"/>
        </w:rPr>
      </w:pPr>
    </w:p>
    <w:p>
      <w:pPr>
        <w:ind w:left="4" w:right="40" w:firstLine="1428"/>
        <w:spacing w:after="0" w:line="288" w:lineRule="auto"/>
        <w:tabs>
          <w:tab w:leader="none" w:pos="1681"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Except as otherwise expressly provided in any applicable rule or regulation promulgated under the Exchange Act, only such persons who are nominated in accordance with the procedures set forth in this Section 1.12 shall be eligible to be elected at a meeting of stockholders and serve as directors and only such business shall be conducted at a meeting of stockholders as shall have been brought before the meeting in accordance with the procedures set forth in this Section 1.12. Except as otherwise provided by law or these Bylaws, the chairperson of the meeting shall have the power and duty to determine whether a nomination or any other business proposed to be brought before the meeting was made or proposed, as the case may be, in accordance with the procedures set forth in this Section 1.12 and, if any proposed nomination or business is not in compliance herewith, to declare that such defective proposal or nomination shall be disregarded. Notwithstanding the foregoing provisions of this Section 1.12, unless otherwise required by law, if the stockholder (or a Qualified Representative of the stockholder (as defined below))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w:t>
      </w:r>
    </w:p>
    <w:p>
      <w:pPr>
        <w:spacing w:after="0" w:line="168" w:lineRule="exact"/>
        <w:rPr>
          <w:rFonts w:ascii="Arial" w:cs="Arial" w:eastAsia="Arial" w:hAnsi="Arial"/>
          <w:sz w:val="16"/>
          <w:szCs w:val="16"/>
          <w:color w:val="auto"/>
        </w:rPr>
      </w:pPr>
    </w:p>
    <w:p>
      <w:pPr>
        <w:ind w:left="4" w:firstLine="1428"/>
        <w:spacing w:after="0" w:line="301" w:lineRule="auto"/>
        <w:tabs>
          <w:tab w:leader="none" w:pos="1691"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Notwithstanding the foregoing provisions of this Section 1.12, a stockholder shall also comply with all applicable requirements of the Exchange Act and the rules and regulations thereunder with respect to the matters set forth herein. Nothing in this Section 1.12 shall be deemed to affect any rights of (a) stockholders to request inclusion of proposals in the Corporation’s proxy statement pursuant to Rule 14a-8 under the Exchange Act or (b) the holders of any series of Preferred Stock to elect directors pursuant to any applicable provisions of the Certificate of Incorporation.</w:t>
      </w:r>
    </w:p>
    <w:p>
      <w:pPr>
        <w:spacing w:after="0" w:line="15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1.12.5 For purposes of these Bylaws the following definitions shall apply:</w:t>
      </w:r>
    </w:p>
    <w:p>
      <w:pPr>
        <w:spacing w:after="0" w:line="117" w:lineRule="exact"/>
        <w:rPr>
          <w:sz w:val="20"/>
          <w:szCs w:val="20"/>
          <w:color w:val="auto"/>
        </w:rPr>
      </w:pPr>
    </w:p>
    <w:p>
      <w:pPr>
        <w:ind w:left="4" w:right="20" w:hanging="4"/>
        <w:spacing w:after="0" w:line="269" w:lineRule="auto"/>
        <w:tabs>
          <w:tab w:leader="none" w:pos="299"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person shall be deemed to be “</w:t>
      </w:r>
      <w:r>
        <w:rPr>
          <w:rFonts w:ascii="Arial" w:cs="Arial" w:eastAsia="Arial" w:hAnsi="Arial"/>
          <w:sz w:val="17"/>
          <w:szCs w:val="17"/>
          <w:b w:val="1"/>
          <w:bCs w:val="1"/>
          <w:i w:val="1"/>
          <w:iCs w:val="1"/>
          <w:color w:val="auto"/>
        </w:rPr>
        <w:t>Acting in Concert</w:t>
      </w:r>
      <w:r>
        <w:rPr>
          <w:rFonts w:ascii="Arial" w:cs="Arial" w:eastAsia="Arial" w:hAnsi="Arial"/>
          <w:sz w:val="17"/>
          <w:szCs w:val="17"/>
          <w:color w:val="auto"/>
        </w:rPr>
        <w:t>” with another person if such person knowingly acts (whether or not pursuant to an express agreement, arrangement or understanding) in concert with, or toward a common goal relating to the management, governance or control of the Corporation in substantial parallel with, such other person where (1) each person is conscious of the other person’s conduct or intent and this awareness is an element in their decision-making processes and (2) at least one additional factor suggests that such persons intend to act in concert or in substantial parallel, which such additional factors may include, without limitation, exchanging information (whether publicly or privately), attending meetings, conducting discussions or making or soliciting invitations to act in concert or in substantial parallel; provided that a person shall not be deemed to be Acting in Concert with any other person solely as a result of the solicitation or receipt of revocable proxies or consents from such other person in response to a solicitation made pursuant to, and in accordance with, Section 14(a) (or any successor provision) of the Exchange Act by way of a proxy or consent solicitation statement filed on Schedule 14A. A person Acting in Concert with another person shall be deemed to be Acting in Concert with any third party who is also Acting in Concert with such other person;</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4"/>
          </w:cols>
          <w:pgMar w:left="436" w:top="274" w:right="479" w:bottom="1440" w:gutter="0" w:footer="0" w:header="0"/>
        </w:sectPr>
      </w:pPr>
    </w:p>
    <w:bookmarkStart w:id="28" w:name="page29"/>
    <w:bookmarkEnd w:id="28"/>
    <w:p>
      <w:pPr>
        <w:ind w:left="4"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and “</w:t>
      </w:r>
      <w:r>
        <w:rPr>
          <w:rFonts w:ascii="Arial" w:cs="Arial" w:eastAsia="Arial" w:hAnsi="Arial"/>
          <w:sz w:val="18"/>
          <w:szCs w:val="18"/>
          <w:b w:val="1"/>
          <w:bCs w:val="1"/>
          <w:i w:val="1"/>
          <w:iCs w:val="1"/>
          <w:color w:val="auto"/>
        </w:rPr>
        <w:t>associate</w:t>
      </w:r>
      <w:r>
        <w:rPr>
          <w:rFonts w:ascii="Arial" w:cs="Arial" w:eastAsia="Arial" w:hAnsi="Arial"/>
          <w:sz w:val="18"/>
          <w:szCs w:val="18"/>
          <w:color w:val="auto"/>
        </w:rPr>
        <w:t>” shall have the meanings ascribed thereto in Rule 405 under the Securities Act of 1933, as amended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provided, however, that the term “partner” as used in the definition of “associate” shall not include any limited partner that is not involved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of the relevant partnership;</w:t>
      </w:r>
    </w:p>
    <w:p>
      <w:pPr>
        <w:spacing w:after="0" w:line="184" w:lineRule="exact"/>
        <w:rPr>
          <w:sz w:val="20"/>
          <w:szCs w:val="20"/>
          <w:color w:val="auto"/>
        </w:rPr>
      </w:pPr>
    </w:p>
    <w:p>
      <w:pPr>
        <w:ind w:left="4" w:right="20" w:hanging="4"/>
        <w:spacing w:after="0" w:line="301" w:lineRule="auto"/>
        <w:tabs>
          <w:tab w:leader="none" w:pos="289" w:val="left"/>
        </w:tabs>
        <w:numPr>
          <w:ilvl w:val="0"/>
          <w:numId w:val="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Associated Person</w:t>
      </w:r>
      <w:r>
        <w:rPr>
          <w:rFonts w:ascii="Arial" w:cs="Arial" w:eastAsia="Arial" w:hAnsi="Arial"/>
          <w:sz w:val="16"/>
          <w:szCs w:val="16"/>
          <w:color w:val="auto"/>
        </w:rPr>
        <w:t>” shall mean with respect to any subject stockholder or other person (including any proposed nominee) (1) any person directly or indirectly controlling, controlled by or under common control with such stockholder or other person, (2) any beneficial owner of shares of stock of the Corporation owned of record or beneficially by such stockholder or other person, (3) any associate of such stockholder or other person, and (4) any person directly or indirectly controlling, controlled by or under common control or Acting in Concert with any such Associated Person;</w:t>
      </w:r>
    </w:p>
    <w:p>
      <w:pPr>
        <w:spacing w:after="0" w:line="157" w:lineRule="exact"/>
        <w:rPr>
          <w:rFonts w:ascii="Arial" w:cs="Arial" w:eastAsia="Arial" w:hAnsi="Arial"/>
          <w:sz w:val="16"/>
          <w:szCs w:val="16"/>
          <w:color w:val="auto"/>
        </w:rPr>
      </w:pPr>
    </w:p>
    <w:p>
      <w:pPr>
        <w:ind w:left="4" w:right="40" w:hanging="4"/>
        <w:spacing w:after="0" w:line="259" w:lineRule="auto"/>
        <w:tabs>
          <w:tab w:leader="none" w:pos="299"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Compensation Arrangement</w:t>
      </w:r>
      <w:r>
        <w:rPr>
          <w:rFonts w:ascii="Arial" w:cs="Arial" w:eastAsia="Arial" w:hAnsi="Arial"/>
          <w:sz w:val="18"/>
          <w:szCs w:val="18"/>
          <w:color w:val="auto"/>
        </w:rPr>
        <w:t>” shall mean any direct or indirect compensatory payment or other financial agreement, arrangement or understanding with any person or entity other than the Corporation, including any agreement, arrangement or understanding with respect to any direct or indirect compensation, reimbursement or indemnification in connection with candidacy, nomination, service or action as a nominee or as a director of the Corporation;</w:t>
      </w:r>
    </w:p>
    <w:p>
      <w:pPr>
        <w:spacing w:after="0" w:line="186" w:lineRule="exact"/>
        <w:rPr>
          <w:rFonts w:ascii="Arial" w:cs="Arial" w:eastAsia="Arial" w:hAnsi="Arial"/>
          <w:sz w:val="18"/>
          <w:szCs w:val="18"/>
          <w:color w:val="auto"/>
        </w:rPr>
      </w:pPr>
    </w:p>
    <w:p>
      <w:pPr>
        <w:ind w:left="4" w:right="320" w:hanging="4"/>
        <w:spacing w:after="0" w:line="277" w:lineRule="auto"/>
        <w:tabs>
          <w:tab w:leader="none" w:pos="279"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Competitor</w:t>
      </w:r>
      <w:r>
        <w:rPr>
          <w:rFonts w:ascii="Arial" w:cs="Arial" w:eastAsia="Arial" w:hAnsi="Arial"/>
          <w:sz w:val="18"/>
          <w:szCs w:val="18"/>
          <w:color w:val="auto"/>
        </w:rPr>
        <w:t>” shall mean any entity that provides products or services that compete with or are alternatives to the principal products produced or services provided by the Corporation or its affiliates;</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Proposing Person</w:t>
      </w:r>
      <w:r>
        <w:rPr>
          <w:rFonts w:ascii="Arial" w:cs="Arial" w:eastAsia="Arial" w:hAnsi="Arial"/>
          <w:sz w:val="16"/>
          <w:szCs w:val="16"/>
          <w:color w:val="auto"/>
        </w:rPr>
        <w:t>” shall mean (1) the Record Stockholder providing the notice of business proposed to be brought before an annual meeting or</w:t>
      </w:r>
    </w:p>
    <w:p>
      <w:pPr>
        <w:spacing w:after="0" w:line="46" w:lineRule="exact"/>
        <w:rPr>
          <w:rFonts w:ascii="Arial" w:cs="Arial" w:eastAsia="Arial" w:hAnsi="Arial"/>
          <w:sz w:val="16"/>
          <w:szCs w:val="16"/>
          <w:color w:val="auto"/>
        </w:rPr>
      </w:pPr>
    </w:p>
    <w:p>
      <w:pPr>
        <w:ind w:left="4" w:right="40"/>
        <w:spacing w:after="0" w:line="253" w:lineRule="auto"/>
        <w:rPr>
          <w:rFonts w:ascii="Arial" w:cs="Arial" w:eastAsia="Arial" w:hAnsi="Arial"/>
          <w:sz w:val="16"/>
          <w:szCs w:val="16"/>
          <w:color w:val="auto"/>
        </w:rPr>
      </w:pPr>
      <w:r>
        <w:rPr>
          <w:rFonts w:ascii="Arial" w:cs="Arial" w:eastAsia="Arial" w:hAnsi="Arial"/>
          <w:sz w:val="18"/>
          <w:szCs w:val="18"/>
          <w:color w:val="auto"/>
        </w:rPr>
        <w:t>nomination of persons for election to the Board at a stockholder meeting, (2) the beneficial owner or beneficial owners, if different, on whose behalf the notice of business proposed to be brought before the annual meeting or nomination of persons for election to the Board at a stockholder meeting is made, and (3) any Associated Person on whose behalf the notice of business proposed to be brought before the annual meeting or nomination of persons for election to the Board at a stockholder meeting is made;</w:t>
      </w:r>
    </w:p>
    <w:p>
      <w:pPr>
        <w:spacing w:after="0" w:line="192" w:lineRule="exact"/>
        <w:rPr>
          <w:rFonts w:ascii="Arial" w:cs="Arial" w:eastAsia="Arial" w:hAnsi="Arial"/>
          <w:sz w:val="16"/>
          <w:szCs w:val="16"/>
          <w:color w:val="auto"/>
        </w:rPr>
      </w:pPr>
    </w:p>
    <w:p>
      <w:pPr>
        <w:ind w:left="4" w:right="680" w:hanging="4"/>
        <w:spacing w:after="0" w:line="308" w:lineRule="auto"/>
        <w:tabs>
          <w:tab w:leader="none" w:pos="299" w:val="left"/>
        </w:tabs>
        <w:numPr>
          <w:ilvl w:val="0"/>
          <w:numId w:val="2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Public Announcement</w:t>
      </w:r>
      <w:r>
        <w:rPr>
          <w:rFonts w:ascii="Arial" w:cs="Arial" w:eastAsia="Arial" w:hAnsi="Arial"/>
          <w:sz w:val="17"/>
          <w:szCs w:val="17"/>
          <w:color w:val="auto"/>
        </w:rPr>
        <w:t>” shall mean disclosure in a press release reported by a national news service or in a document publicly filed by the Corporation with the Securities and Exchange Commission pursuant to Section 13, 14 or 15(d) of the Exchange Act; and</w:t>
      </w:r>
    </w:p>
    <w:p>
      <w:pPr>
        <w:spacing w:after="0" w:line="146" w:lineRule="exact"/>
        <w:rPr>
          <w:rFonts w:ascii="Arial" w:cs="Arial" w:eastAsia="Arial" w:hAnsi="Arial"/>
          <w:sz w:val="17"/>
          <w:szCs w:val="17"/>
          <w:color w:val="auto"/>
        </w:rPr>
      </w:pPr>
    </w:p>
    <w:p>
      <w:pPr>
        <w:ind w:left="4" w:hanging="4"/>
        <w:spacing w:after="0" w:line="255" w:lineRule="auto"/>
        <w:tabs>
          <w:tab w:leader="none" w:pos="29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be considered a “</w:t>
      </w:r>
      <w:r>
        <w:rPr>
          <w:rFonts w:ascii="Arial" w:cs="Arial" w:eastAsia="Arial" w:hAnsi="Arial"/>
          <w:sz w:val="18"/>
          <w:szCs w:val="18"/>
          <w:b w:val="1"/>
          <w:bCs w:val="1"/>
          <w:i w:val="1"/>
          <w:iCs w:val="1"/>
          <w:color w:val="auto"/>
        </w:rPr>
        <w:t>Qualified Representative</w:t>
      </w:r>
      <w:r>
        <w:rPr>
          <w:rFonts w:ascii="Arial" w:cs="Arial" w:eastAsia="Arial" w:hAnsi="Arial"/>
          <w:sz w:val="18"/>
          <w:szCs w:val="18"/>
          <w:color w:val="auto"/>
        </w:rPr>
        <w:t>” of a stockholder, a person must be a duly authorized officer, manager, trustee or partner of such stockholder or must be authorized by a writing executed by such stockholder or an electronic transmission delivered by such stockholder to act for such stockholder as a proxy at the meeting of stockholders and such person must produce such writing or electronic transmission, or a reliable reproduction thereof, at the meeting. The Secretary of the Corporation, or any other person who shall be appointed to serve as secretary of the meeting, may require, on behalf of the Corporation, reasonable and appropriate documentation to verify the status of a person purporting to be a “Qualified Representative” for purposes hereof.</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29" w:name="page30"/>
    <w:bookmarkEnd w:id="29"/>
    <w:p>
      <w:pPr>
        <w:ind w:firstLine="440"/>
        <w:spacing w:after="0" w:line="28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1.13 </w:t>
      </w:r>
      <w:r>
        <w:rPr>
          <w:rFonts w:ascii="Arial" w:cs="Arial" w:eastAsia="Arial" w:hAnsi="Arial"/>
          <w:sz w:val="16"/>
          <w:szCs w:val="16"/>
          <w:b w:val="1"/>
          <w:bCs w:val="1"/>
          <w:u w:val="single" w:color="auto"/>
          <w:color w:val="auto"/>
        </w:rPr>
        <w:t>Action by Written Consent of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Until the Voting Threshold Date (as defined in the Certificate of Incorporation)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any other restrictions in the Certificate of Incorporation, any action required or permitted to be taken at any annual or special meeting of the stockholders may be taken without a meeting, without prior notice and without a vote, if a consent or consents setting forth the action so taken shall be signed by the holders of outstanding stock entitled to vote on such action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 in which minutes of proceedings of stockholders are recorded. Delivery made to the Corporation’s registered office shall be by hand or by certified or registered mail, return receipt requested. Prompt notice of the taking of the corporate action without a meeting by less than unanimous written consent shall, to the extent required by law, be given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Corporation.</w:t>
      </w:r>
    </w:p>
    <w:p>
      <w:pPr>
        <w:spacing w:after="0" w:line="379" w:lineRule="exact"/>
        <w:rPr>
          <w:sz w:val="20"/>
          <w:szCs w:val="20"/>
          <w:color w:val="auto"/>
        </w:rPr>
      </w:pPr>
    </w:p>
    <w:p>
      <w:pPr>
        <w:ind w:right="160" w:firstLine="440"/>
        <w:spacing w:after="0" w:line="256" w:lineRule="auto"/>
        <w:rPr>
          <w:sz w:val="20"/>
          <w:szCs w:val="20"/>
          <w:color w:val="auto"/>
        </w:rPr>
      </w:pPr>
      <w:r>
        <w:rPr>
          <w:rFonts w:ascii="Arial" w:cs="Arial" w:eastAsia="Arial" w:hAnsi="Arial"/>
          <w:sz w:val="18"/>
          <w:szCs w:val="18"/>
          <w:b w:val="1"/>
          <w:bCs w:val="1"/>
          <w:color w:val="auto"/>
        </w:rPr>
        <w:t xml:space="preserve">Section 1.14 </w:t>
      </w:r>
      <w:r>
        <w:rPr>
          <w:rFonts w:ascii="Arial" w:cs="Arial" w:eastAsia="Arial" w:hAnsi="Arial"/>
          <w:sz w:val="18"/>
          <w:szCs w:val="18"/>
          <w:b w:val="1"/>
          <w:bCs w:val="1"/>
          <w:u w:val="single" w:color="auto"/>
          <w:color w:val="auto"/>
        </w:rPr>
        <w:t>Delivery to the Corporation</w:t>
      </w:r>
      <w:r>
        <w:rPr>
          <w:rFonts w:ascii="Arial" w:cs="Arial" w:eastAsia="Arial" w:hAnsi="Arial"/>
          <w:sz w:val="18"/>
          <w:szCs w:val="18"/>
          <w:color w:val="auto"/>
        </w:rPr>
        <w:t>. Whenever this Article II requires one or more persons (including a record or beneficial owner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 to deliver a document or information to the Corporation or any officer, employee or agent thereof (including any notice, request, questionnaire, revocation, representation or other document or agreement), unless the Corporation elects otherwise,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07"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b w:val="1"/>
          <w:bCs w:val="1"/>
          <w:u w:val="single" w:color="auto"/>
          <w:color w:val="auto"/>
        </w:rPr>
        <w:t>Number; Qualifications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total number of directors constituting the Whole Board shall be fixed from time to time in the manner</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Certificate of Incorporation and the term “Whole Board” shall have the meaning specified in the Certificate of Incorporation. No decrease in the authorized number of directors constituting the Whole Board shall shorten the term of any incumbent director. Directors need not be stockholders of the Corporation.</w:t>
      </w:r>
    </w:p>
    <w:p>
      <w:pPr>
        <w:spacing w:after="0" w:line="396"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b w:val="1"/>
          <w:bCs w:val="1"/>
          <w:color w:val="auto"/>
        </w:rPr>
        <w:t xml:space="preserve">Section 2.2 </w:t>
      </w:r>
      <w:r>
        <w:rPr>
          <w:rFonts w:ascii="Arial" w:cs="Arial" w:eastAsia="Arial" w:hAnsi="Arial"/>
          <w:sz w:val="17"/>
          <w:szCs w:val="17"/>
          <w:b w:val="1"/>
          <w:bCs w:val="1"/>
          <w:u w:val="single" w:color="auto"/>
          <w:color w:val="auto"/>
        </w:rPr>
        <w:t>Election; Resignation; Removal; Vacancies</w:t>
      </w:r>
      <w:r>
        <w:rPr>
          <w:rFonts w:ascii="Arial" w:cs="Arial" w:eastAsia="Arial" w:hAnsi="Arial"/>
          <w:sz w:val="17"/>
          <w:szCs w:val="17"/>
          <w:b w:val="1"/>
          <w:bCs w:val="1"/>
          <w:color w:val="auto"/>
        </w:rPr>
        <w:t xml:space="preserve">. </w:t>
      </w:r>
      <w:r>
        <w:rPr>
          <w:rFonts w:ascii="Arial" w:cs="Arial" w:eastAsia="Arial" w:hAnsi="Arial"/>
          <w:sz w:val="17"/>
          <w:szCs w:val="17"/>
          <w:color w:val="auto"/>
        </w:rPr>
        <w:t>Election of directors need not be by written ballot. Unless otherwise provided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 of Incorporation and subject to the special rights of holders of any series of Preferred Stock to elect directors, immediately following the Voting Threshold Date (as defined in the Certificate of Incorporation), the Board shall be divided into three classes, designated as Class I, Class II and Class III. The number of directors in each class shall be divided as nearly equal as is practicable. Each director shall hold office until the annual meeting at which such director’s term expires and until such director’s successor is elected and qualified or until such director’s earlier death, resignation, disqualification or removal. Any director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a later time or upon the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30" w:name="page31"/>
    <w:bookmarkEnd w:id="30"/>
    <w:p>
      <w:pPr>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happening of an event. Subject to the special rights of holders of any series of Preferred Stock to elect directors, directors may be removed only as provided by the Certificate of Incorporation and applicable law. All vacancies occurring in the Board and any newly created directorships resulting from any increase in the authorized number of directors shall be filled in the manner set forth in the Certificate of Incorporation.</w:t>
      </w:r>
    </w:p>
    <w:p>
      <w:pPr>
        <w:spacing w:after="0" w:line="161" w:lineRule="exact"/>
        <w:rPr>
          <w:sz w:val="20"/>
          <w:szCs w:val="20"/>
          <w:color w:val="auto"/>
        </w:rPr>
      </w:pPr>
    </w:p>
    <w:p>
      <w:pPr>
        <w:ind w:right="220" w:firstLine="440"/>
        <w:spacing w:after="0" w:line="266" w:lineRule="auto"/>
        <w:rPr>
          <w:sz w:val="20"/>
          <w:szCs w:val="20"/>
          <w:color w:val="auto"/>
        </w:rPr>
      </w:pPr>
      <w:r>
        <w:rPr>
          <w:rFonts w:ascii="Arial" w:cs="Arial" w:eastAsia="Arial" w:hAnsi="Arial"/>
          <w:sz w:val="18"/>
          <w:szCs w:val="18"/>
          <w:b w:val="1"/>
          <w:bCs w:val="1"/>
          <w:color w:val="auto"/>
        </w:rPr>
        <w:t xml:space="preserve">Section 2.3 </w:t>
      </w:r>
      <w:r>
        <w:rPr>
          <w:rFonts w:ascii="Arial" w:cs="Arial" w:eastAsia="Arial" w:hAnsi="Arial"/>
          <w:sz w:val="18"/>
          <w:szCs w:val="18"/>
          <w:b w:val="1"/>
          <w:bCs w:val="1"/>
          <w:u w:val="single" w:color="auto"/>
          <w:color w:val="auto"/>
        </w:rPr>
        <w:t>Regular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Regular meetings of the Board may be held at such places, within or without the State of Delaware, and at such</w:t>
      </w:r>
      <w:r>
        <w:rPr>
          <w:rFonts w:ascii="Arial" w:cs="Arial" w:eastAsia="Arial" w:hAnsi="Arial"/>
          <w:sz w:val="18"/>
          <w:szCs w:val="18"/>
          <w:b w:val="1"/>
          <w:bCs w:val="1"/>
          <w:color w:val="auto"/>
        </w:rPr>
        <w:t xml:space="preserve"> </w:t>
      </w:r>
      <w:r>
        <w:rPr>
          <w:rFonts w:ascii="Arial" w:cs="Arial" w:eastAsia="Arial" w:hAnsi="Arial"/>
          <w:sz w:val="18"/>
          <w:szCs w:val="18"/>
          <w:color w:val="auto"/>
        </w:rPr>
        <w:t>times as the Board may from time to time determine. Notice of regular meetings need not be given if the date, times and places thereof are fixed by resolution of the Board.</w:t>
      </w:r>
    </w:p>
    <w:p>
      <w:pPr>
        <w:spacing w:after="0" w:line="176"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b w:val="1"/>
          <w:bCs w:val="1"/>
          <w:color w:val="auto"/>
        </w:rPr>
        <w:t xml:space="preserve">Section 2.4 </w:t>
      </w:r>
      <w:r>
        <w:rPr>
          <w:rFonts w:ascii="Arial" w:cs="Arial" w:eastAsia="Arial" w:hAnsi="Arial"/>
          <w:sz w:val="17"/>
          <w:szCs w:val="17"/>
          <w:b w:val="1"/>
          <w:bCs w:val="1"/>
          <w:u w:val="single" w:color="auto"/>
          <w:color w:val="auto"/>
        </w:rPr>
        <w:t>Special Meetings</w:t>
      </w:r>
      <w:r>
        <w:rPr>
          <w:rFonts w:ascii="Arial" w:cs="Arial" w:eastAsia="Arial" w:hAnsi="Arial"/>
          <w:sz w:val="17"/>
          <w:szCs w:val="17"/>
          <w:b w:val="1"/>
          <w:bCs w:val="1"/>
          <w:color w:val="auto"/>
        </w:rPr>
        <w:t xml:space="preserve">. </w:t>
      </w:r>
      <w:r>
        <w:rPr>
          <w:rFonts w:ascii="Arial" w:cs="Arial" w:eastAsia="Arial" w:hAnsi="Arial"/>
          <w:sz w:val="17"/>
          <w:szCs w:val="17"/>
          <w:color w:val="auto"/>
        </w:rPr>
        <w:t>Special meetings of the Board may be called by the Chairperson of the Board, the Chief Executive Officer,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Lead Independent Director or a majority of the members of the Board then in office and may be held at any time, date or place, within or without the State of Delaware, as the person or persons calling the meeting shall fix. Notice of the time, date and place of such meeting shall be given, orally, in writing or by electronic transmission (including electronic mail), by the person or persons calling the meeting to all directors at least four (4) days before the meeting if the notice is mailed, or at least twenty-four (24) hours before the meeting if such notice is given by telephone, hand delivery, telegram, telex, mailgram, facsimile, electronic mail or other means of electronic transmission;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under the circumstances, the Chairperson of the Board, the Lead Independent Director or the Chief Executive Officer calling a special meeting deems that more immediate action is necessary or appropriate, notice may be delivered on the day of such special meeting. Unless otherwise indicated in the notice, any and all business may be transacted at a special meeting.</w:t>
      </w:r>
    </w:p>
    <w:p>
      <w:pPr>
        <w:spacing w:after="0" w:line="173" w:lineRule="exact"/>
        <w:rPr>
          <w:sz w:val="20"/>
          <w:szCs w:val="20"/>
          <w:color w:val="auto"/>
        </w:rPr>
      </w:pPr>
    </w:p>
    <w:p>
      <w:pPr>
        <w:jc w:val="both"/>
        <w:ind w:right="80" w:firstLine="440"/>
        <w:spacing w:after="0" w:line="261" w:lineRule="auto"/>
        <w:rPr>
          <w:sz w:val="20"/>
          <w:szCs w:val="20"/>
          <w:color w:val="auto"/>
        </w:rPr>
      </w:pPr>
      <w:r>
        <w:rPr>
          <w:rFonts w:ascii="Arial" w:cs="Arial" w:eastAsia="Arial" w:hAnsi="Arial"/>
          <w:sz w:val="18"/>
          <w:szCs w:val="18"/>
          <w:b w:val="1"/>
          <w:bCs w:val="1"/>
          <w:color w:val="auto"/>
        </w:rPr>
        <w:t xml:space="preserve">Section 2.5 </w:t>
      </w:r>
      <w:r>
        <w:rPr>
          <w:rFonts w:ascii="Arial" w:cs="Arial" w:eastAsia="Arial" w:hAnsi="Arial"/>
          <w:sz w:val="18"/>
          <w:szCs w:val="18"/>
          <w:b w:val="1"/>
          <w:bCs w:val="1"/>
          <w:u w:val="single" w:color="auto"/>
          <w:color w:val="auto"/>
        </w:rPr>
        <w:t>Remote Meetings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Members of the Board, or any committee of the Board, may participate in a meeting of the Board or</w:t>
      </w:r>
      <w:r>
        <w:rPr>
          <w:rFonts w:ascii="Arial" w:cs="Arial" w:eastAsia="Arial" w:hAnsi="Arial"/>
          <w:sz w:val="18"/>
          <w:szCs w:val="18"/>
          <w:b w:val="1"/>
          <w:bCs w:val="1"/>
          <w:color w:val="auto"/>
        </w:rPr>
        <w:t xml:space="preserve"> </w:t>
      </w:r>
      <w:r>
        <w:rPr>
          <w:rFonts w:ascii="Arial" w:cs="Arial" w:eastAsia="Arial" w:hAnsi="Arial"/>
          <w:sz w:val="18"/>
          <w:szCs w:val="18"/>
          <w:color w:val="auto"/>
        </w:rPr>
        <w:t>such committee by means of conference telephone or other communications equipment by means of which all persons participating in the meeting can hear each other, and participation in a meeting pursuant to conference telephone or other communications equipment shall constitute presence in person at such meeting.</w:t>
      </w:r>
    </w:p>
    <w:p>
      <w:pPr>
        <w:spacing w:after="0" w:line="180"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b w:val="1"/>
          <w:bCs w:val="1"/>
          <w:color w:val="auto"/>
        </w:rPr>
        <w:t xml:space="preserve">Section 2.6 </w:t>
      </w:r>
      <w:r>
        <w:rPr>
          <w:rFonts w:ascii="Arial" w:cs="Arial" w:eastAsia="Arial" w:hAnsi="Arial"/>
          <w:sz w:val="18"/>
          <w:szCs w:val="18"/>
          <w:b w:val="1"/>
          <w:bCs w:val="1"/>
          <w:u w:val="single" w:color="auto"/>
          <w:color w:val="auto"/>
        </w:rPr>
        <w:t>Quorum; Vote Required for Action</w:t>
      </w:r>
      <w:r>
        <w:rPr>
          <w:rFonts w:ascii="Arial" w:cs="Arial" w:eastAsia="Arial" w:hAnsi="Arial"/>
          <w:sz w:val="18"/>
          <w:szCs w:val="18"/>
          <w:b w:val="1"/>
          <w:bCs w:val="1"/>
          <w:color w:val="auto"/>
        </w:rPr>
        <w:t xml:space="preserve">. </w:t>
      </w:r>
      <w:r>
        <w:rPr>
          <w:rFonts w:ascii="Arial" w:cs="Arial" w:eastAsia="Arial" w:hAnsi="Arial"/>
          <w:sz w:val="18"/>
          <w:szCs w:val="18"/>
          <w:color w:val="auto"/>
        </w:rPr>
        <w:t>At all meetings of the Board, directors representing a majority of the Whole Board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 quorum for the transaction of business. If a quorum shall fail to attend any meeting, a majority of those present may adjourn the meeting to another place, date or time. Except as otherwise provided herein or in the Certificate of Incorporation, or required by law, the vote of a majority of the directors present at a meeting at which a quorum is present shall be the act of the Board.</w:t>
      </w:r>
    </w:p>
    <w:p>
      <w:pPr>
        <w:spacing w:after="0" w:line="180" w:lineRule="exact"/>
        <w:rPr>
          <w:sz w:val="20"/>
          <w:szCs w:val="20"/>
          <w:color w:val="auto"/>
        </w:rPr>
      </w:pPr>
    </w:p>
    <w:p>
      <w:pPr>
        <w:jc w:val="both"/>
        <w:ind w:right="40" w:firstLine="440"/>
        <w:spacing w:after="0" w:line="281" w:lineRule="auto"/>
        <w:rPr>
          <w:sz w:val="20"/>
          <w:szCs w:val="20"/>
          <w:color w:val="auto"/>
        </w:rPr>
      </w:pPr>
      <w:r>
        <w:rPr>
          <w:rFonts w:ascii="Arial" w:cs="Arial" w:eastAsia="Arial" w:hAnsi="Arial"/>
          <w:sz w:val="17"/>
          <w:szCs w:val="17"/>
          <w:b w:val="1"/>
          <w:bCs w:val="1"/>
          <w:color w:val="auto"/>
        </w:rPr>
        <w:t xml:space="preserve">Section 2.7 </w:t>
      </w:r>
      <w:r>
        <w:rPr>
          <w:rFonts w:ascii="Arial" w:cs="Arial" w:eastAsia="Arial" w:hAnsi="Arial"/>
          <w:sz w:val="17"/>
          <w:szCs w:val="17"/>
          <w:b w:val="1"/>
          <w:bCs w:val="1"/>
          <w:u w:val="single" w:color="auto"/>
          <w:color w:val="auto"/>
        </w:rPr>
        <w:t>Organization</w:t>
      </w:r>
      <w:r>
        <w:rPr>
          <w:rFonts w:ascii="Arial" w:cs="Arial" w:eastAsia="Arial" w:hAnsi="Arial"/>
          <w:sz w:val="17"/>
          <w:szCs w:val="17"/>
          <w:b w:val="1"/>
          <w:bCs w:val="1"/>
          <w:color w:val="auto"/>
        </w:rPr>
        <w:t xml:space="preserve">. </w:t>
      </w:r>
      <w:r>
        <w:rPr>
          <w:rFonts w:ascii="Arial" w:cs="Arial" w:eastAsia="Arial" w:hAnsi="Arial"/>
          <w:sz w:val="17"/>
          <w:szCs w:val="17"/>
          <w:color w:val="auto"/>
        </w:rPr>
        <w:t>Meetings of the Board shall be presided over by (a) the Chairperson of the Board, or (b) in the absence of such person,</w:t>
      </w:r>
      <w:r>
        <w:rPr>
          <w:rFonts w:ascii="Arial" w:cs="Arial" w:eastAsia="Arial" w:hAnsi="Arial"/>
          <w:sz w:val="17"/>
          <w:szCs w:val="17"/>
          <w:b w:val="1"/>
          <w:bCs w:val="1"/>
          <w:color w:val="auto"/>
        </w:rPr>
        <w:t xml:space="preserve"> </w:t>
      </w:r>
      <w:r>
        <w:rPr>
          <w:rFonts w:ascii="Arial" w:cs="Arial" w:eastAsia="Arial" w:hAnsi="Arial"/>
          <w:sz w:val="17"/>
          <w:szCs w:val="17"/>
          <w:color w:val="auto"/>
        </w:rPr>
        <w:t>the Lead Independent Director, or (c) in such person’s absence, by the Chief Executive Officer, or (d) in such person’s absence, by a chairperson chosen by the Board at the meeting. Unless otherwise determined by the Board, the Secretary shall act as secretary of the meeting, but in such person’s absence the chairperson of the meeting may appoint any person to act as secretary of the meeting.</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31" w:name="page32"/>
    <w:bookmarkEnd w:id="31"/>
    <w:p>
      <w:pPr>
        <w:ind w:firstLine="440"/>
        <w:spacing w:after="0" w:line="29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2.8 </w:t>
      </w:r>
      <w:r>
        <w:rPr>
          <w:rFonts w:ascii="Arial" w:cs="Arial" w:eastAsia="Arial" w:hAnsi="Arial"/>
          <w:sz w:val="16"/>
          <w:szCs w:val="16"/>
          <w:b w:val="1"/>
          <w:bCs w:val="1"/>
          <w:u w:val="single" w:color="auto"/>
          <w:color w:val="auto"/>
        </w:rPr>
        <w:t>Unanimous Action by Directors in Lieu of a Meeting</w:t>
      </w:r>
      <w:r>
        <w:rPr>
          <w:rFonts w:ascii="Arial" w:cs="Arial" w:eastAsia="Arial" w:hAnsi="Arial"/>
          <w:sz w:val="16"/>
          <w:szCs w:val="16"/>
          <w:b w:val="1"/>
          <w:bCs w:val="1"/>
          <w:color w:val="auto"/>
        </w:rPr>
        <w:t xml:space="preserve">. </w:t>
      </w:r>
      <w:r>
        <w:rPr>
          <w:rFonts w:ascii="Arial" w:cs="Arial" w:eastAsia="Arial" w:hAnsi="Arial"/>
          <w:sz w:val="16"/>
          <w:szCs w:val="16"/>
          <w:color w:val="auto"/>
        </w:rPr>
        <w:t>Any action required or permitted to be taken at any meeting of the Board, or</w:t>
      </w:r>
      <w:r>
        <w:rPr>
          <w:rFonts w:ascii="Arial" w:cs="Arial" w:eastAsia="Arial" w:hAnsi="Arial"/>
          <w:sz w:val="16"/>
          <w:szCs w:val="16"/>
          <w:b w:val="1"/>
          <w:bCs w:val="1"/>
          <w:color w:val="auto"/>
        </w:rPr>
        <w:t xml:space="preserve"> </w:t>
      </w:r>
      <w:r>
        <w:rPr>
          <w:rFonts w:ascii="Arial" w:cs="Arial" w:eastAsia="Arial" w:hAnsi="Arial"/>
          <w:sz w:val="16"/>
          <w:szCs w:val="16"/>
          <w:color w:val="auto"/>
        </w:rPr>
        <w:t>of any committee thereof, may be taken without a meeting if all members of the Board or such committee, as the case may be, consent thereto in writing or by electronic transmission, and any consent may be documented, signed and delivered in any manner permitted by Section 116 of the DGCL. After an action is taken, the consent or consents relating thereto shall be filed with the minutes of proceedings of the Board or committee, as applicable. Such filing shall be in paper form if the minutes are maintained in paper form and shall be in electronic form if the minutes are maintained in electronic form.</w:t>
      </w:r>
    </w:p>
    <w:p>
      <w:pPr>
        <w:spacing w:after="0" w:line="154"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b w:val="1"/>
          <w:bCs w:val="1"/>
          <w:color w:val="auto"/>
        </w:rPr>
        <w:t xml:space="preserve">Section 2.9 </w:t>
      </w:r>
      <w:r>
        <w:rPr>
          <w:rFonts w:ascii="Arial" w:cs="Arial" w:eastAsia="Arial" w:hAnsi="Arial"/>
          <w:sz w:val="18"/>
          <w:szCs w:val="18"/>
          <w:b w:val="1"/>
          <w:bCs w:val="1"/>
          <w:u w:val="single" w:color="auto"/>
          <w:color w:val="auto"/>
        </w:rPr>
        <w:t>Powers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by the Certificate of Incorporation or the DGCL, the business and affairs of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managed by or under the direction of the Board.</w:t>
      </w:r>
    </w:p>
    <w:p>
      <w:pPr>
        <w:spacing w:after="0" w:line="162" w:lineRule="exact"/>
        <w:rPr>
          <w:sz w:val="20"/>
          <w:szCs w:val="20"/>
          <w:color w:val="auto"/>
        </w:rPr>
      </w:pPr>
    </w:p>
    <w:p>
      <w:pPr>
        <w:ind w:right="420" w:firstLine="440"/>
        <w:spacing w:after="0" w:line="312" w:lineRule="auto"/>
        <w:rPr>
          <w:sz w:val="20"/>
          <w:szCs w:val="20"/>
          <w:color w:val="auto"/>
        </w:rPr>
      </w:pPr>
      <w:r>
        <w:rPr>
          <w:rFonts w:ascii="Arial" w:cs="Arial" w:eastAsia="Arial" w:hAnsi="Arial"/>
          <w:sz w:val="17"/>
          <w:szCs w:val="17"/>
          <w:b w:val="1"/>
          <w:bCs w:val="1"/>
          <w:color w:val="auto"/>
        </w:rPr>
        <w:t xml:space="preserve">Section 2.10 </w:t>
      </w:r>
      <w:r>
        <w:rPr>
          <w:rFonts w:ascii="Arial" w:cs="Arial" w:eastAsia="Arial" w:hAnsi="Arial"/>
          <w:sz w:val="17"/>
          <w:szCs w:val="17"/>
          <w:b w:val="1"/>
          <w:bCs w:val="1"/>
          <w:u w:val="single" w:color="auto"/>
          <w:color w:val="auto"/>
        </w:rPr>
        <w:t>Compensation of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Members of the Board, as such, may receive, pursuant to a resolution of the Board, fees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for their services as directors, including without limitation their services as members of committees of the Board.</w:t>
      </w:r>
    </w:p>
    <w:p>
      <w:pPr>
        <w:spacing w:after="0" w:line="140" w:lineRule="exact"/>
        <w:rPr>
          <w:sz w:val="20"/>
          <w:szCs w:val="20"/>
          <w:color w:val="auto"/>
        </w:rPr>
      </w:pPr>
    </w:p>
    <w:p>
      <w:pPr>
        <w:ind w:firstLine="440"/>
        <w:spacing w:after="0" w:line="294" w:lineRule="auto"/>
        <w:rPr>
          <w:sz w:val="20"/>
          <w:szCs w:val="20"/>
          <w:color w:val="auto"/>
        </w:rPr>
      </w:pPr>
      <w:r>
        <w:rPr>
          <w:rFonts w:ascii="Arial" w:cs="Arial" w:eastAsia="Arial" w:hAnsi="Arial"/>
          <w:sz w:val="16"/>
          <w:szCs w:val="16"/>
          <w:b w:val="1"/>
          <w:bCs w:val="1"/>
          <w:color w:val="auto"/>
        </w:rPr>
        <w:t xml:space="preserve">Section 2.11 </w:t>
      </w:r>
      <w:r>
        <w:rPr>
          <w:rFonts w:ascii="Arial" w:cs="Arial" w:eastAsia="Arial" w:hAnsi="Arial"/>
          <w:sz w:val="16"/>
          <w:szCs w:val="16"/>
          <w:b w:val="1"/>
          <w:bCs w:val="1"/>
          <w:u w:val="single" w:color="auto"/>
          <w:color w:val="auto"/>
        </w:rPr>
        <w:t>Confidentiality</w:t>
      </w:r>
      <w:r>
        <w:rPr>
          <w:rFonts w:ascii="Arial" w:cs="Arial" w:eastAsia="Arial" w:hAnsi="Arial"/>
          <w:sz w:val="16"/>
          <w:szCs w:val="16"/>
          <w:b w:val="1"/>
          <w:bCs w:val="1"/>
          <w:color w:val="auto"/>
        </w:rPr>
        <w:t xml:space="preserve">. </w:t>
      </w:r>
      <w:r>
        <w:rPr>
          <w:rFonts w:ascii="Arial" w:cs="Arial" w:eastAsia="Arial" w:hAnsi="Arial"/>
          <w:sz w:val="16"/>
          <w:szCs w:val="16"/>
          <w:color w:val="auto"/>
        </w:rPr>
        <w:t>Each director shall maintain the confidentiality of, and shall not share with any third party person or entity</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third parties that originally sponsored, nominated or designated such director (the “</w:t>
      </w:r>
      <w:r>
        <w:rPr>
          <w:rFonts w:ascii="Arial" w:cs="Arial" w:eastAsia="Arial" w:hAnsi="Arial"/>
          <w:sz w:val="16"/>
          <w:szCs w:val="16"/>
          <w:b w:val="1"/>
          <w:bCs w:val="1"/>
          <w:i w:val="1"/>
          <w:iCs w:val="1"/>
          <w:color w:val="auto"/>
        </w:rPr>
        <w:t>Sponsoring Party</w:t>
      </w:r>
      <w:r>
        <w:rPr>
          <w:rFonts w:ascii="Arial" w:cs="Arial" w:eastAsia="Arial" w:hAnsi="Arial"/>
          <w:sz w:val="16"/>
          <w:szCs w:val="16"/>
          <w:color w:val="auto"/>
        </w:rPr>
        <w:t>”)), any non-public information learned in their capacities as directors, including communications among Board members in their capacities as directors. The Board may adopt a board confidentiality policy further implementing and interpreting this bylaw (a “</w:t>
      </w:r>
      <w:r>
        <w:rPr>
          <w:rFonts w:ascii="Arial" w:cs="Arial" w:eastAsia="Arial" w:hAnsi="Arial"/>
          <w:sz w:val="16"/>
          <w:szCs w:val="16"/>
          <w:b w:val="1"/>
          <w:bCs w:val="1"/>
          <w:i w:val="1"/>
          <w:iCs w:val="1"/>
          <w:color w:val="auto"/>
        </w:rPr>
        <w:t>Board Confidentiality Policy</w:t>
      </w:r>
      <w:r>
        <w:rPr>
          <w:rFonts w:ascii="Arial" w:cs="Arial" w:eastAsia="Arial" w:hAnsi="Arial"/>
          <w:sz w:val="16"/>
          <w:szCs w:val="16"/>
          <w:color w:val="auto"/>
        </w:rPr>
        <w:t>”). All directors are required to comply with this bylaw and any such Board Confidentiality Policy unless such director or the Sponsoring Party for such director has entered into a specific written agreement with the Corporation, in either case as approved by the Board, providing otherwise with respect to such confidential information.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COMMITTEES</w:t>
      </w:r>
    </w:p>
    <w:p>
      <w:pPr>
        <w:spacing w:after="0" w:line="207" w:lineRule="exact"/>
        <w:rPr>
          <w:sz w:val="20"/>
          <w:szCs w:val="20"/>
          <w:color w:val="auto"/>
        </w:rPr>
      </w:pPr>
    </w:p>
    <w:p>
      <w:pPr>
        <w:ind w:right="100" w:firstLine="440"/>
        <w:spacing w:after="0" w:line="270" w:lineRule="auto"/>
        <w:rPr>
          <w:sz w:val="20"/>
          <w:szCs w:val="20"/>
          <w:color w:val="auto"/>
        </w:rPr>
      </w:pPr>
      <w:r>
        <w:rPr>
          <w:rFonts w:ascii="Arial" w:cs="Arial" w:eastAsia="Arial" w:hAnsi="Arial"/>
          <w:sz w:val="17"/>
          <w:szCs w:val="17"/>
          <w:b w:val="1"/>
          <w:bCs w:val="1"/>
          <w:color w:val="auto"/>
        </w:rPr>
        <w:t xml:space="preserve">Section 3.1 </w:t>
      </w:r>
      <w:r>
        <w:rPr>
          <w:rFonts w:ascii="Arial" w:cs="Arial" w:eastAsia="Arial" w:hAnsi="Arial"/>
          <w:sz w:val="17"/>
          <w:szCs w:val="17"/>
          <w:b w:val="1"/>
          <w:bCs w:val="1"/>
          <w:u w:val="single" w:color="auto"/>
          <w:color w:val="auto"/>
        </w:rPr>
        <w:t>Committees</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may designate one or more committees, each committee to consist of one or more of the directors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The Board may designate one or more directors as alternate members of any committee, who may replace any absent or disqualified member at any meeting of the committee. In the absence or disqualification of a member of the committee, the member or members thereof present at any meeting of such committee who are not disqualified from voting, whether or not such member or members constitute a quorum, may unanimously appoint another member of the Board to act at the meeting in place of any such absent or disqualified member. Any such committee, to the extent provided in a resolution of the Board,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in reference to the following matters: (a) approving, adopting, or recommending to the stockholders any action or matter (other than the election or removal of members of the Board) expressly required by the DGCL to be submitted to stockholders for approval or (b) adopting, amending or repealing any bylaw of the Corporation.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0" w:right="459" w:bottom="1440" w:gutter="0" w:footer="0" w:header="0"/>
        </w:sectPr>
      </w:pPr>
    </w:p>
    <w:bookmarkStart w:id="32" w:name="page33"/>
    <w:bookmarkEnd w:id="32"/>
    <w:p>
      <w:pPr>
        <w:ind w:right="100" w:firstLine="440"/>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3.2 </w:t>
      </w:r>
      <w:r>
        <w:rPr>
          <w:rFonts w:ascii="Arial" w:cs="Arial" w:eastAsia="Arial" w:hAnsi="Arial"/>
          <w:sz w:val="17"/>
          <w:szCs w:val="17"/>
          <w:b w:val="1"/>
          <w:bCs w:val="1"/>
          <w:u w:val="single" w:color="auto"/>
          <w:color w:val="auto"/>
        </w:rPr>
        <w:t>Committee Rules</w:t>
      </w:r>
      <w:r>
        <w:rPr>
          <w:rFonts w:ascii="Arial" w:cs="Arial" w:eastAsia="Arial" w:hAnsi="Arial"/>
          <w:sz w:val="17"/>
          <w:szCs w:val="17"/>
          <w:b w:val="1"/>
          <w:bCs w:val="1"/>
          <w:color w:val="auto"/>
        </w:rPr>
        <w:t xml:space="preserve">. </w:t>
      </w:r>
      <w:r>
        <w:rPr>
          <w:rFonts w:ascii="Arial" w:cs="Arial" w:eastAsia="Arial" w:hAnsi="Arial"/>
          <w:sz w:val="17"/>
          <w:szCs w:val="17"/>
          <w:color w:val="auto"/>
        </w:rPr>
        <w:t>Each committee shall keep records of its proceedings and make such reports as the Board may from time to time</w:t>
      </w:r>
      <w:r>
        <w:rPr>
          <w:rFonts w:ascii="Arial" w:cs="Arial" w:eastAsia="Arial" w:hAnsi="Arial"/>
          <w:sz w:val="17"/>
          <w:szCs w:val="17"/>
          <w:b w:val="1"/>
          <w:bCs w:val="1"/>
          <w:color w:val="auto"/>
        </w:rPr>
        <w:t xml:space="preserve"> </w:t>
      </w:r>
      <w:r>
        <w:rPr>
          <w:rFonts w:ascii="Arial" w:cs="Arial" w:eastAsia="Arial" w:hAnsi="Arial"/>
          <w:sz w:val="17"/>
          <w:szCs w:val="17"/>
          <w:color w:val="auto"/>
        </w:rPr>
        <w:t>request. Unless the Board otherwise provides, each committee designated by the Board may make, alter and repeal rules for the conduct of its business. In the absence of such rules, each committee shall conduct its business in the same manner as the Board conducts its business pursuant to Article II of these Bylaws. Except as otherwise provided in the Certificate of Incorporation, these Bylaws or the resolution of the Board designating the committee, any committee may create one or more subcommittees, each subcommittee to consist of one or more members of the committee, and may delegate to any such subcommittee any or all of the powers and authority of the committee.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 CHAIRPERSON; LEAD INDEPENDENT DIRECTOR</w:t>
      </w:r>
    </w:p>
    <w:p>
      <w:pPr>
        <w:spacing w:after="0" w:line="207"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b w:val="1"/>
          <w:bCs w:val="1"/>
          <w:color w:val="auto"/>
        </w:rPr>
        <w:t xml:space="preserve">Section 4.1 </w:t>
      </w:r>
      <w:r>
        <w:rPr>
          <w:rFonts w:ascii="Arial" w:cs="Arial" w:eastAsia="Arial" w:hAnsi="Arial"/>
          <w:sz w:val="16"/>
          <w:szCs w:val="16"/>
          <w:b w:val="1"/>
          <w:bCs w:val="1"/>
          <w:u w:val="single" w:color="auto"/>
          <w:color w:val="auto"/>
        </w:rPr>
        <w:t>Generally</w:t>
      </w:r>
      <w:r>
        <w:rPr>
          <w:rFonts w:ascii="Arial" w:cs="Arial" w:eastAsia="Arial" w:hAnsi="Arial"/>
          <w:sz w:val="16"/>
          <w:szCs w:val="16"/>
          <w:b w:val="1"/>
          <w:bCs w:val="1"/>
          <w:color w:val="auto"/>
        </w:rPr>
        <w:t xml:space="preserve">. </w:t>
      </w:r>
      <w:r>
        <w:rPr>
          <w:rFonts w:ascii="Arial" w:cs="Arial" w:eastAsia="Arial" w:hAnsi="Arial"/>
          <w:sz w:val="16"/>
          <w:szCs w:val="16"/>
          <w:color w:val="auto"/>
        </w:rPr>
        <w:t>The officers of the Corporation shall consist of a Chief Executive Officer (who may be the Chairperson of the Board or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President), a President, a Secretary and a Treasurer and may consist of such other officers, including, without limitation, a Chief Financial Officer, and one or more Vice Presidents, as may from time to time be appointed by the Board. All officers shall be elected by the Board;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the Board may empower the Chief Executive Officer of the Corporation to appoint any officer other than the Chief Executive Officer, the President, the Chief Financial Officer or the Treasurer. Except as otherwise provided by law, by the Certificate of Incorporation or these Bylaws, each officer shall hold office until such officer’s successor is duly elected and qualified or until such officer’s earlier resignation, death, disqualification or removal. Any number of offices may be held by the same person. Any officer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some later time or upon the happening of some later event. Any vacancy occurring in any office of the Corporation by death, resignation, removal or otherwise may be filled by the Board and the Board may, in its discretion, leave unfilled, for such period as it may determine, any offices. Each such successor shall hold office for the unexpired term of such officer’s predecessor and until a successor is duly elected and qualified or until such officer’s earlier resignation, death, disqualification or removal.</w:t>
      </w:r>
    </w:p>
    <w:p>
      <w:pPr>
        <w:spacing w:after="0" w:line="168"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b w:val="1"/>
          <w:bCs w:val="1"/>
          <w:color w:val="auto"/>
        </w:rPr>
        <w:t xml:space="preserve">Section 4.2 </w:t>
      </w:r>
      <w:r>
        <w:rPr>
          <w:rFonts w:ascii="Arial" w:cs="Arial" w:eastAsia="Arial" w:hAnsi="Arial"/>
          <w:sz w:val="18"/>
          <w:szCs w:val="18"/>
          <w:b w:val="1"/>
          <w:bCs w:val="1"/>
          <w:u w:val="single" w:color="auto"/>
          <w:color w:val="auto"/>
        </w:rPr>
        <w:t>Chief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control of the Board and such supervisory powers, if any, as may be given by the Board, the</w:t>
      </w:r>
      <w:r>
        <w:rPr>
          <w:rFonts w:ascii="Arial" w:cs="Arial" w:eastAsia="Arial" w:hAnsi="Arial"/>
          <w:sz w:val="18"/>
          <w:szCs w:val="18"/>
          <w:b w:val="1"/>
          <w:bCs w:val="1"/>
          <w:color w:val="auto"/>
        </w:rPr>
        <w:t xml:space="preserve"> </w:t>
      </w:r>
      <w:r>
        <w:rPr>
          <w:rFonts w:ascii="Arial" w:cs="Arial" w:eastAsia="Arial" w:hAnsi="Arial"/>
          <w:sz w:val="18"/>
          <w:szCs w:val="18"/>
          <w:color w:val="auto"/>
        </w:rPr>
        <w:t>powers and duties of the Chief Executive Officer of the Corporation are:</w:t>
      </w:r>
    </w:p>
    <w:p>
      <w:pPr>
        <w:spacing w:after="0" w:line="58" w:lineRule="exact"/>
        <w:rPr>
          <w:sz w:val="20"/>
          <w:szCs w:val="20"/>
          <w:color w:val="auto"/>
        </w:rPr>
      </w:pPr>
    </w:p>
    <w:p>
      <w:pPr>
        <w:ind w:right="260" w:firstLine="1428"/>
        <w:spacing w:after="0" w:line="277" w:lineRule="auto"/>
        <w:tabs>
          <w:tab w:leader="none" w:pos="167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act as the general manager and, subject to the control of the Board, to have general supervision, direction and control of the business and affairs of the Corporation;</w:t>
      </w:r>
    </w:p>
    <w:p>
      <w:pPr>
        <w:spacing w:after="0" w:line="170" w:lineRule="exact"/>
        <w:rPr>
          <w:rFonts w:ascii="Arial" w:cs="Arial" w:eastAsia="Arial" w:hAnsi="Arial"/>
          <w:sz w:val="18"/>
          <w:szCs w:val="18"/>
          <w:color w:val="auto"/>
        </w:rPr>
      </w:pPr>
    </w:p>
    <w:p>
      <w:pPr>
        <w:ind w:left="1680" w:hanging="252"/>
        <w:spacing w:after="0"/>
        <w:tabs>
          <w:tab w:leader="none" w:pos="1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subject to Section 1.6 of these Bylaws, to preside at all meetings of the stockholders;</w:t>
      </w:r>
    </w:p>
    <w:p>
      <w:pPr>
        <w:spacing w:after="0" w:line="225" w:lineRule="exact"/>
        <w:rPr>
          <w:rFonts w:ascii="Arial" w:cs="Arial" w:eastAsia="Arial" w:hAnsi="Arial"/>
          <w:sz w:val="18"/>
          <w:szCs w:val="18"/>
          <w:color w:val="auto"/>
        </w:rPr>
      </w:pPr>
    </w:p>
    <w:p>
      <w:pPr>
        <w:ind w:right="300" w:firstLine="1428"/>
        <w:spacing w:after="0" w:line="277" w:lineRule="auto"/>
        <w:tabs>
          <w:tab w:leader="none" w:pos="1677"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subject to Section 1.2 of these Bylaws, to call special meetings of the stockholders to be held at such times and, subject to the limitations prescribed by law or by these Bylaws, at such places as he or she shall deem proper;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0" w:right="459" w:bottom="1440" w:gutter="0" w:footer="0" w:header="0"/>
        </w:sectPr>
      </w:pPr>
    </w:p>
    <w:bookmarkStart w:id="33" w:name="page34"/>
    <w:bookmarkEnd w:id="33"/>
    <w:p>
      <w:pPr>
        <w:ind w:right="60" w:firstLine="1428"/>
        <w:spacing w:after="0" w:line="301" w:lineRule="auto"/>
        <w:tabs>
          <w:tab w:leader="none" w:pos="1687" w:val="left"/>
        </w:tabs>
        <w:numPr>
          <w:ilvl w:val="0"/>
          <w:numId w:val="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affix the signature of the Corporation to all deeds, conveyances, mortgages, guarantees, leases, obligations, bonds, certificates and other papers and instruments in writing which have been authorized by the Board or which, in the judgment of the Chief Executive Officer, should be executed on behalf of the Corporation; to sign certificates for shares of stock of the Corporation (if any); and, subject to the direction of the Board, to have general charge of the property of the Corporation and to supervise and control all officers, agents and employees of the Corporation.</w:t>
      </w:r>
    </w:p>
    <w:p>
      <w:pPr>
        <w:spacing w:after="0" w:line="15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person holding the office of President shall be the Chief Executive Officer of the Corporation unless the Board shall designate another officer to be the Chief Executive Officer.</w:t>
      </w:r>
    </w:p>
    <w:p>
      <w:pPr>
        <w:spacing w:after="0" w:line="166"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b w:val="1"/>
          <w:bCs w:val="1"/>
          <w:color w:val="auto"/>
        </w:rPr>
        <w:t xml:space="preserve">Section 4.3 </w:t>
      </w:r>
      <w:r>
        <w:rPr>
          <w:rFonts w:ascii="Arial" w:cs="Arial" w:eastAsia="Arial" w:hAnsi="Arial"/>
          <w:sz w:val="18"/>
          <w:szCs w:val="18"/>
          <w:b w:val="1"/>
          <w:bCs w:val="1"/>
          <w:u w:val="single" w:color="auto"/>
          <w:color w:val="auto"/>
        </w:rPr>
        <w:t>Chairperson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Section 2.7 of these Bylaws, the Chairperson of the Board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power to preside at all meetings of the Board and shall have such other powers and duties as provided in these Bylaws and as the Board may from time to time prescribe. The Chairperson of the Board may or may not be an officer of the Corporation.</w:t>
      </w:r>
    </w:p>
    <w:p>
      <w:pPr>
        <w:spacing w:after="0" w:line="176"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b w:val="1"/>
          <w:bCs w:val="1"/>
          <w:color w:val="auto"/>
        </w:rPr>
        <w:t xml:space="preserve">Section 4.4 </w:t>
      </w:r>
      <w:r>
        <w:rPr>
          <w:rFonts w:ascii="Arial" w:cs="Arial" w:eastAsia="Arial" w:hAnsi="Arial"/>
          <w:sz w:val="17"/>
          <w:szCs w:val="17"/>
          <w:b w:val="1"/>
          <w:bCs w:val="1"/>
          <w:u w:val="single" w:color="auto"/>
          <w:color w:val="auto"/>
        </w:rPr>
        <w:t>Lead Independent Director</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may, in its discretion, elect a lead independent director from among its members that are</w:t>
      </w:r>
      <w:r>
        <w:rPr>
          <w:rFonts w:ascii="Arial" w:cs="Arial" w:eastAsia="Arial" w:hAnsi="Arial"/>
          <w:sz w:val="17"/>
          <w:szCs w:val="17"/>
          <w:b w:val="1"/>
          <w:bCs w:val="1"/>
          <w:color w:val="auto"/>
        </w:rPr>
        <w:t xml:space="preserve"> </w:t>
      </w:r>
      <w:r>
        <w:rPr>
          <w:rFonts w:ascii="Arial" w:cs="Arial" w:eastAsia="Arial" w:hAnsi="Arial"/>
          <w:sz w:val="17"/>
          <w:szCs w:val="17"/>
          <w:color w:val="auto"/>
        </w:rPr>
        <w:t>Independent Directors (as defined below) (such director, the “</w:t>
      </w:r>
      <w:r>
        <w:rPr>
          <w:rFonts w:ascii="Arial" w:cs="Arial" w:eastAsia="Arial" w:hAnsi="Arial"/>
          <w:sz w:val="17"/>
          <w:szCs w:val="17"/>
          <w:b w:val="1"/>
          <w:bCs w:val="1"/>
          <w:i w:val="1"/>
          <w:iCs w:val="1"/>
          <w:color w:val="auto"/>
        </w:rPr>
        <w:t>Lead Independent Director</w:t>
      </w:r>
      <w:r>
        <w:rPr>
          <w:rFonts w:ascii="Arial" w:cs="Arial" w:eastAsia="Arial" w:hAnsi="Arial"/>
          <w:sz w:val="17"/>
          <w:szCs w:val="17"/>
          <w:color w:val="auto"/>
        </w:rPr>
        <w:t>”). The Lead Independent Director shall preside at all meetings at which the Chairperson of the Board is not present and shall exercise such other powers and duties as may from time to time be assigned to him or her by the Board or as prescribed by these Bylaws. For purposes of these Bylaws, “</w:t>
      </w:r>
      <w:r>
        <w:rPr>
          <w:rFonts w:ascii="Arial" w:cs="Arial" w:eastAsia="Arial" w:hAnsi="Arial"/>
          <w:sz w:val="17"/>
          <w:szCs w:val="17"/>
          <w:b w:val="1"/>
          <w:bCs w:val="1"/>
          <w:i w:val="1"/>
          <w:iCs w:val="1"/>
          <w:color w:val="auto"/>
        </w:rPr>
        <w:t>Independent Director</w:t>
      </w:r>
      <w:r>
        <w:rPr>
          <w:rFonts w:ascii="Arial" w:cs="Arial" w:eastAsia="Arial" w:hAnsi="Arial"/>
          <w:sz w:val="17"/>
          <w:szCs w:val="17"/>
          <w:color w:val="auto"/>
        </w:rPr>
        <w:t>” has the meaning ascribed to such term under the rules of the exchange upon which the Corporation’s Class A Common Stock is primarily traded.</w:t>
      </w:r>
    </w:p>
    <w:p>
      <w:pPr>
        <w:spacing w:after="0" w:line="168"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b w:val="1"/>
          <w:bCs w:val="1"/>
          <w:color w:val="auto"/>
        </w:rPr>
        <w:t xml:space="preserve">Section 4.5 </w:t>
      </w:r>
      <w:r>
        <w:rPr>
          <w:rFonts w:ascii="Arial" w:cs="Arial" w:eastAsia="Arial" w:hAnsi="Arial"/>
          <w:sz w:val="17"/>
          <w:szCs w:val="17"/>
          <w:b w:val="1"/>
          <w:bCs w:val="1"/>
          <w:u w:val="single" w:color="auto"/>
          <w:color w:val="auto"/>
        </w:rPr>
        <w:t>President</w:t>
      </w:r>
      <w:r>
        <w:rPr>
          <w:rFonts w:ascii="Arial" w:cs="Arial" w:eastAsia="Arial" w:hAnsi="Arial"/>
          <w:sz w:val="17"/>
          <w:szCs w:val="17"/>
          <w:b w:val="1"/>
          <w:bCs w:val="1"/>
          <w:color w:val="auto"/>
        </w:rPr>
        <w:t xml:space="preserve">. </w:t>
      </w:r>
      <w:r>
        <w:rPr>
          <w:rFonts w:ascii="Arial" w:cs="Arial" w:eastAsia="Arial" w:hAnsi="Arial"/>
          <w:sz w:val="17"/>
          <w:szCs w:val="17"/>
          <w:color w:val="auto"/>
        </w:rPr>
        <w:t>The person holding the office of Chief Executive Officer shall be the President of the Corporation unless the Board shall</w:t>
      </w:r>
      <w:r>
        <w:rPr>
          <w:rFonts w:ascii="Arial" w:cs="Arial" w:eastAsia="Arial" w:hAnsi="Arial"/>
          <w:sz w:val="17"/>
          <w:szCs w:val="17"/>
          <w:b w:val="1"/>
          <w:bCs w:val="1"/>
          <w:color w:val="auto"/>
        </w:rPr>
        <w:t xml:space="preserve"> </w:t>
      </w:r>
      <w:r>
        <w:rPr>
          <w:rFonts w:ascii="Arial" w:cs="Arial" w:eastAsia="Arial" w:hAnsi="Arial"/>
          <w:sz w:val="17"/>
          <w:szCs w:val="17"/>
          <w:color w:val="auto"/>
        </w:rPr>
        <w:t>have designated one individual as the President and a different individual as the Chief Executive Officer of the Corporation. Subject to the provisions of these Bylaws and to the direction of the Board, and subject to the supervisory powers of the Chief Executive Officer (if the Chief Executive Officer is an officer other than the President), and subject to such supervisory powers and authority as may be given by the Board to the Chairperson of the Board, and/or to any other officer, the President shall have the responsibility for the general management and control of the business and affairs of the Corporation and the general supervision and direction of all of the officers, employees and agents of the Corporation (other than the Chief Executive Officer, if the Chief Executive Officer is an officer other than the President) and shall perform all duties and have all powers that are commonly incident to the office of President or that are delegated to the President by the Board.</w:t>
      </w:r>
    </w:p>
    <w:p>
      <w:pPr>
        <w:spacing w:after="0" w:line="172"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b w:val="1"/>
          <w:bCs w:val="1"/>
          <w:color w:val="auto"/>
        </w:rPr>
        <w:t xml:space="preserve">Section 4.6 </w:t>
      </w:r>
      <w:r>
        <w:rPr>
          <w:rFonts w:ascii="Arial" w:cs="Arial" w:eastAsia="Arial" w:hAnsi="Arial"/>
          <w:sz w:val="18"/>
          <w:szCs w:val="18"/>
          <w:b w:val="1"/>
          <w:bCs w:val="1"/>
          <w:u w:val="single" w:color="auto"/>
          <w:color w:val="auto"/>
        </w:rPr>
        <w:t>Chief Financial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The person holding the office of Chief Financial Officer shall be the Treasurer of the Corporation unless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shall have designated another officer as the Treasurer of the Corporation. Subject to the direction of the Board and the Chief Executive Officer, the Chief Financial Officer shall perform all duties and have all powers that are commonly incident to the office of Chief Financial Officer, or as the Board or the Chief Executive Officer may from time to time prescribe.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34" w:name="page35"/>
    <w:bookmarkEnd w:id="34"/>
    <w:p>
      <w:pPr>
        <w:ind w:right="200" w:firstLine="4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4.7 </w:t>
      </w:r>
      <w:r>
        <w:rPr>
          <w:rFonts w:ascii="Arial" w:cs="Arial" w:eastAsia="Arial" w:hAnsi="Arial"/>
          <w:sz w:val="18"/>
          <w:szCs w:val="18"/>
          <w:b w:val="1"/>
          <w:bCs w:val="1"/>
          <w:u w:val="single" w:color="auto"/>
          <w:color w:val="auto"/>
        </w:rPr>
        <w:t>Treasurer</w:t>
      </w:r>
      <w:r>
        <w:rPr>
          <w:rFonts w:ascii="Arial" w:cs="Arial" w:eastAsia="Arial" w:hAnsi="Arial"/>
          <w:sz w:val="18"/>
          <w:szCs w:val="18"/>
          <w:b w:val="1"/>
          <w:bCs w:val="1"/>
          <w:color w:val="auto"/>
        </w:rPr>
        <w:t xml:space="preserve">. </w:t>
      </w:r>
      <w:r>
        <w:rPr>
          <w:rFonts w:ascii="Arial" w:cs="Arial" w:eastAsia="Arial" w:hAnsi="Arial"/>
          <w:sz w:val="18"/>
          <w:szCs w:val="18"/>
          <w:color w:val="auto"/>
        </w:rPr>
        <w:t>The person holding the office of Treasurer shall have custody of all monies and securities of the Corporation.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Treasurer shall make such disbursements of the funds of the Corporation as are authorized and shall render from time to time an account of all such transactions. The Treasurer shall also perform such other duties and have such other powers as are commonly incident to the office of Treasurer, or as the Board or the Chief Executive Officer may from time to time prescribe.</w:t>
      </w:r>
    </w:p>
    <w:p>
      <w:pPr>
        <w:spacing w:after="0" w:line="180" w:lineRule="exact"/>
        <w:rPr>
          <w:sz w:val="20"/>
          <w:szCs w:val="20"/>
          <w:color w:val="auto"/>
        </w:rPr>
      </w:pPr>
    </w:p>
    <w:p>
      <w:pPr>
        <w:jc w:val="both"/>
        <w:ind w:firstLine="440"/>
        <w:spacing w:after="0" w:line="314" w:lineRule="auto"/>
        <w:rPr>
          <w:sz w:val="20"/>
          <w:szCs w:val="20"/>
          <w:color w:val="auto"/>
        </w:rPr>
      </w:pPr>
      <w:r>
        <w:rPr>
          <w:rFonts w:ascii="Arial" w:cs="Arial" w:eastAsia="Arial" w:hAnsi="Arial"/>
          <w:sz w:val="16"/>
          <w:szCs w:val="16"/>
          <w:b w:val="1"/>
          <w:bCs w:val="1"/>
          <w:color w:val="auto"/>
        </w:rPr>
        <w:t xml:space="preserve">Section 4.8 </w:t>
      </w:r>
      <w:r>
        <w:rPr>
          <w:rFonts w:ascii="Arial" w:cs="Arial" w:eastAsia="Arial" w:hAnsi="Arial"/>
          <w:sz w:val="16"/>
          <w:szCs w:val="16"/>
          <w:b w:val="1"/>
          <w:bCs w:val="1"/>
          <w:u w:val="single" w:color="auto"/>
          <w:color w:val="auto"/>
        </w:rPr>
        <w:t>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Each Vice President shall have all such powers and duties as are commonly incident to the office of Vice President or</w:t>
      </w:r>
      <w:r>
        <w:rPr>
          <w:rFonts w:ascii="Arial" w:cs="Arial" w:eastAsia="Arial" w:hAnsi="Arial"/>
          <w:sz w:val="16"/>
          <w:szCs w:val="16"/>
          <w:b w:val="1"/>
          <w:bCs w:val="1"/>
          <w:color w:val="auto"/>
        </w:rPr>
        <w:t xml:space="preserve"> </w:t>
      </w:r>
      <w:r>
        <w:rPr>
          <w:rFonts w:ascii="Arial" w:cs="Arial" w:eastAsia="Arial" w:hAnsi="Arial"/>
          <w:sz w:val="16"/>
          <w:szCs w:val="16"/>
          <w:color w:val="auto"/>
        </w:rPr>
        <w:t>that are delegated to him or her by the Board or the Chief Executive Officer. A Vice President may be designated by the Board to perform the duties and exercise the powers of the Chief Executive Officer or President in the event of the Chief Executive Officer’s or President’s absence or disability.</w:t>
      </w:r>
    </w:p>
    <w:p>
      <w:pPr>
        <w:spacing w:after="0" w:line="142"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b w:val="1"/>
          <w:bCs w:val="1"/>
          <w:color w:val="auto"/>
        </w:rPr>
        <w:t xml:space="preserve">Section 4.9 </w:t>
      </w:r>
      <w:r>
        <w:rPr>
          <w:rFonts w:ascii="Arial" w:cs="Arial" w:eastAsia="Arial" w:hAnsi="Arial"/>
          <w:sz w:val="18"/>
          <w:szCs w:val="18"/>
          <w:b w:val="1"/>
          <w:bCs w:val="1"/>
          <w:u w:val="single" w:color="auto"/>
          <w:color w:val="auto"/>
        </w:rPr>
        <w:t>Secretary</w:t>
      </w:r>
      <w:r>
        <w:rPr>
          <w:rFonts w:ascii="Arial" w:cs="Arial" w:eastAsia="Arial" w:hAnsi="Arial"/>
          <w:sz w:val="18"/>
          <w:szCs w:val="18"/>
          <w:b w:val="1"/>
          <w:bCs w:val="1"/>
          <w:color w:val="auto"/>
        </w:rPr>
        <w:t xml:space="preserve">. </w:t>
      </w:r>
      <w:r>
        <w:rPr>
          <w:rFonts w:ascii="Arial" w:cs="Arial" w:eastAsia="Arial" w:hAnsi="Arial"/>
          <w:sz w:val="18"/>
          <w:szCs w:val="18"/>
          <w:color w:val="auto"/>
        </w:rPr>
        <w:t>The Secretary shall issue or cause to be issued all authorized notices for, and shall keep, or cause to be kept, minutes of all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meetings of the stockholders and the Board. The Secretary shall have charge of the corporate minute books and similar records and shall perform such other duties and have such other powers as are commonly incident to the office of Secretary, or as the Board or the Chief Executive Officer may from time to time prescribe.</w:t>
      </w:r>
    </w:p>
    <w:p>
      <w:pPr>
        <w:spacing w:after="0" w:line="180"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b w:val="1"/>
          <w:bCs w:val="1"/>
          <w:color w:val="auto"/>
        </w:rPr>
        <w:t xml:space="preserve">Section 4.10 </w:t>
      </w:r>
      <w:r>
        <w:rPr>
          <w:rFonts w:ascii="Arial" w:cs="Arial" w:eastAsia="Arial" w:hAnsi="Arial"/>
          <w:sz w:val="18"/>
          <w:szCs w:val="18"/>
          <w:b w:val="1"/>
          <w:bCs w:val="1"/>
          <w:u w:val="single" w:color="auto"/>
          <w:color w:val="auto"/>
        </w:rPr>
        <w:t>Delegation of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may from time to time delegate the powers or duties of any officer of the Corporation to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officers or agents of the Corporation, notwithstanding any provision hereof.</w:t>
      </w:r>
    </w:p>
    <w:p>
      <w:pPr>
        <w:spacing w:after="0" w:line="162" w:lineRule="exact"/>
        <w:rPr>
          <w:sz w:val="20"/>
          <w:szCs w:val="20"/>
          <w:color w:val="auto"/>
        </w:rPr>
      </w:pPr>
    </w:p>
    <w:p>
      <w:pPr>
        <w:jc w:val="both"/>
        <w:ind w:right="120" w:firstLine="440"/>
        <w:spacing w:after="0" w:line="261" w:lineRule="auto"/>
        <w:rPr>
          <w:sz w:val="20"/>
          <w:szCs w:val="20"/>
          <w:color w:val="auto"/>
        </w:rPr>
      </w:pPr>
      <w:r>
        <w:rPr>
          <w:rFonts w:ascii="Arial" w:cs="Arial" w:eastAsia="Arial" w:hAnsi="Arial"/>
          <w:sz w:val="18"/>
          <w:szCs w:val="18"/>
          <w:b w:val="1"/>
          <w:bCs w:val="1"/>
          <w:color w:val="auto"/>
        </w:rPr>
        <w:t xml:space="preserve">Section 4.11 </w:t>
      </w:r>
      <w:r>
        <w:rPr>
          <w:rFonts w:ascii="Arial" w:cs="Arial" w:eastAsia="Arial" w:hAnsi="Arial"/>
          <w:sz w:val="18"/>
          <w:szCs w:val="18"/>
          <w:b w:val="1"/>
          <w:bCs w:val="1"/>
          <w:u w:val="single" w:color="auto"/>
          <w:color w:val="auto"/>
        </w:rPr>
        <w:t>Removal</w:t>
      </w:r>
      <w:r>
        <w:rPr>
          <w:rFonts w:ascii="Arial" w:cs="Arial" w:eastAsia="Arial" w:hAnsi="Arial"/>
          <w:sz w:val="18"/>
          <w:szCs w:val="18"/>
          <w:b w:val="1"/>
          <w:bCs w:val="1"/>
          <w:color w:val="auto"/>
        </w:rPr>
        <w:t xml:space="preserve">. </w:t>
      </w:r>
      <w:r>
        <w:rPr>
          <w:rFonts w:ascii="Arial" w:cs="Arial" w:eastAsia="Arial" w:hAnsi="Arial"/>
          <w:sz w:val="18"/>
          <w:szCs w:val="18"/>
          <w:color w:val="auto"/>
        </w:rPr>
        <w:t>Any officer of the Corporation shall serve at the pleasure of the Board and may be removed at any time, with or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cause, by the Board;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if the Board has empowered the Chief Executive Officer to appoint any officer of the Corporation, then such officer may also be removed by the Chief Executive Officer. Such removal shall be without prejudice to the contractual rights of such officer, if any, with the Corporation.</w:t>
      </w:r>
    </w:p>
    <w:p>
      <w:pPr>
        <w:spacing w:after="0" w:line="180" w:lineRule="exact"/>
        <w:rPr>
          <w:sz w:val="20"/>
          <w:szCs w:val="20"/>
          <w:color w:val="auto"/>
        </w:rPr>
      </w:pPr>
    </w:p>
    <w:p>
      <w:pPr>
        <w:ind w:right="60" w:firstLine="440"/>
        <w:spacing w:after="0" w:line="298" w:lineRule="auto"/>
        <w:rPr>
          <w:sz w:val="20"/>
          <w:szCs w:val="20"/>
          <w:color w:val="auto"/>
        </w:rPr>
      </w:pPr>
      <w:r>
        <w:rPr>
          <w:rFonts w:ascii="Arial" w:cs="Arial" w:eastAsia="Arial" w:hAnsi="Arial"/>
          <w:sz w:val="16"/>
          <w:szCs w:val="16"/>
          <w:b w:val="1"/>
          <w:bCs w:val="1"/>
          <w:color w:val="auto"/>
        </w:rPr>
        <w:t xml:space="preserve">Section 4.12 </w:t>
      </w:r>
      <w:r>
        <w:rPr>
          <w:rFonts w:ascii="Arial" w:cs="Arial" w:eastAsia="Arial" w:hAnsi="Arial"/>
          <w:sz w:val="16"/>
          <w:szCs w:val="16"/>
          <w:b w:val="1"/>
          <w:bCs w:val="1"/>
          <w:u w:val="single" w:color="auto"/>
          <w:color w:val="auto"/>
        </w:rPr>
        <w:t>Voting Shares in Other Business Entities</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Chairperson, the CEO, the President, if any is appointed, any vice president, the</w:t>
      </w:r>
      <w:r>
        <w:rPr>
          <w:rFonts w:ascii="Arial" w:cs="Arial" w:eastAsia="Arial" w:hAnsi="Arial"/>
          <w:sz w:val="16"/>
          <w:szCs w:val="16"/>
          <w:b w:val="1"/>
          <w:bCs w:val="1"/>
          <w:color w:val="auto"/>
        </w:rPr>
        <w:t xml:space="preserve"> </w:t>
      </w:r>
      <w:r>
        <w:rPr>
          <w:rFonts w:ascii="Arial" w:cs="Arial" w:eastAsia="Arial" w:hAnsi="Arial"/>
          <w:sz w:val="16"/>
          <w:szCs w:val="16"/>
          <w:color w:val="auto"/>
        </w:rPr>
        <w:t>CFO, the Secretary or assistant secretary of the Corporation, or any other person authorized by the Board of Directors may vote, and otherwise exercise on behalf of the Corporation any and all rights and powers incident to the ownership of, any and all shares of stock or other equity interest held by the Corporation in any other corporation or other business entity. The authority granted herein may be exercised either by such person directly or by any other person authorized to do so by proxy or power of attorney duly executed by the person having such authority.</w:t>
      </w:r>
    </w:p>
    <w:p>
      <w:pPr>
        <w:spacing w:after="0" w:line="370" w:lineRule="exact"/>
        <w:rPr>
          <w:sz w:val="20"/>
          <w:szCs w:val="20"/>
          <w:color w:val="auto"/>
        </w:rPr>
      </w:pPr>
    </w:p>
    <w:p>
      <w:pPr>
        <w:ind w:firstLine="440"/>
        <w:spacing w:after="0" w:line="298" w:lineRule="auto"/>
        <w:rPr>
          <w:sz w:val="20"/>
          <w:szCs w:val="20"/>
          <w:color w:val="auto"/>
        </w:rPr>
      </w:pPr>
      <w:r>
        <w:rPr>
          <w:rFonts w:ascii="Arial" w:cs="Arial" w:eastAsia="Arial" w:hAnsi="Arial"/>
          <w:sz w:val="16"/>
          <w:szCs w:val="16"/>
          <w:b w:val="1"/>
          <w:bCs w:val="1"/>
          <w:color w:val="auto"/>
        </w:rPr>
        <w:t xml:space="preserve">Section 4.13 </w:t>
      </w:r>
      <w:r>
        <w:rPr>
          <w:rFonts w:ascii="Arial" w:cs="Arial" w:eastAsia="Arial" w:hAnsi="Arial"/>
          <w:sz w:val="16"/>
          <w:szCs w:val="16"/>
          <w:b w:val="1"/>
          <w:bCs w:val="1"/>
          <w:u w:val="single" w:color="auto"/>
          <w:color w:val="auto"/>
        </w:rPr>
        <w:t>Execution o</w:t>
      </w:r>
      <w:r>
        <w:rPr>
          <w:rFonts w:ascii="Arial" w:cs="Arial" w:eastAsia="Arial" w:hAnsi="Arial"/>
          <w:sz w:val="16"/>
          <w:szCs w:val="16"/>
          <w:u w:val="single" w:color="auto"/>
          <w:color w:val="auto"/>
        </w:rPr>
        <w:t>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Corporate Contracts and Instruments</w:t>
      </w:r>
      <w:r>
        <w:rPr>
          <w:rFonts w:ascii="Arial" w:cs="Arial" w:eastAsia="Arial" w:hAnsi="Arial"/>
          <w:sz w:val="16"/>
          <w:szCs w:val="16"/>
          <w:color w:val="auto"/>
        </w:rPr>
        <w:t>. The Board of Directors, except as otherwise provided in these Bylaws, shall</w:t>
      </w:r>
      <w:r>
        <w:rPr>
          <w:rFonts w:ascii="Arial" w:cs="Arial" w:eastAsia="Arial" w:hAnsi="Arial"/>
          <w:sz w:val="16"/>
          <w:szCs w:val="16"/>
          <w:b w:val="1"/>
          <w:bCs w:val="1"/>
          <w:color w:val="auto"/>
        </w:rPr>
        <w:t xml:space="preserve"> </w:t>
      </w:r>
      <w:r>
        <w:rPr>
          <w:rFonts w:ascii="Arial" w:cs="Arial" w:eastAsia="Arial" w:hAnsi="Arial"/>
          <w:sz w:val="16"/>
          <w:szCs w:val="16"/>
          <w:color w:val="auto"/>
        </w:rPr>
        <w:t>designate the officers, employees and agents of the Corporation who shall have power to enter into any contract or execute any instrument in the name of and on behalf of the Corporation. Such delegation may be by resolution or otherwise and the authority granted shall be general or confined to specific matters, all as the Board of Directors or any such committee may determine. In the absence of such designation referred to in the first sentence of this Section 4.13, the officers of the Corporation shall have such power so referred to, to the extent incident to the normal performance of their duties.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440" w:top="270" w:right="49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w:t>
      </w:r>
    </w:p>
    <w:p>
      <w:pPr>
        <w:spacing w:after="0" w:line="207"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b w:val="1"/>
          <w:bCs w:val="1"/>
          <w:color w:val="auto"/>
        </w:rPr>
        <w:t xml:space="preserve">Section 5.1 </w:t>
      </w:r>
      <w:r>
        <w:rPr>
          <w:rFonts w:ascii="Arial" w:cs="Arial" w:eastAsia="Arial" w:hAnsi="Arial"/>
          <w:sz w:val="17"/>
          <w:szCs w:val="17"/>
          <w:b w:val="1"/>
          <w:bCs w:val="1"/>
          <w:u w:val="single" w:color="auto"/>
          <w:color w:val="auto"/>
        </w:rPr>
        <w:t>Certificates; Uncertificated Shares</w:t>
      </w:r>
      <w:r>
        <w:rPr>
          <w:rFonts w:ascii="Arial" w:cs="Arial" w:eastAsia="Arial" w:hAnsi="Arial"/>
          <w:sz w:val="17"/>
          <w:szCs w:val="17"/>
          <w:b w:val="1"/>
          <w:bCs w:val="1"/>
          <w:color w:val="auto"/>
        </w:rPr>
        <w:t xml:space="preserve">. </w:t>
      </w:r>
      <w:r>
        <w:rPr>
          <w:rFonts w:ascii="Arial" w:cs="Arial" w:eastAsia="Arial" w:hAnsi="Arial"/>
          <w:sz w:val="17"/>
          <w:szCs w:val="17"/>
          <w:color w:val="auto"/>
        </w:rPr>
        <w:t>The shares of capital stock of the Corporation shall be uncertificated shares;</w:t>
      </w:r>
      <w:r>
        <w:rPr>
          <w:rFonts w:ascii="Arial" w:cs="Arial" w:eastAsia="Arial" w:hAnsi="Arial"/>
          <w:sz w:val="17"/>
          <w:szCs w:val="17"/>
          <w:b w:val="1"/>
          <w:bCs w:val="1"/>
          <w:color w:val="auto"/>
        </w:rPr>
        <w:t xml:space="preserv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that the resolution of the Board that the shares of capital stock of the Corporation shall be uncertificated shares shall not apply to shares represented by a certificate until such certificate is surrendered to the Corporation (or the transfer agent or registrar, as the case may be). Notwithstanding the foregoing, the Board may provide by resolution or resolutions that some or all of any or all classes or series of its stock shall be certificated shares. Every holder of stock represented by certificates shall be entitled to have a certificate signed by, or in the name of the Corporation, by any two authorized officers of the Corporation (it being understood that each of the Chairperson of the Board, the Vice-Chairperson of the Board, the Chief Executive Officer, the President, any Vice President, the Treasurer, any Assistant Treasurer, the Secretary, and any Assistant Secretary shall be an authorized officer for such purpose), representing the number of shares registered in certificate form.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an officer, transfer agent or registrar at the date of issue.</w:t>
      </w:r>
    </w:p>
    <w:p>
      <w:pPr>
        <w:spacing w:after="0" w:line="182" w:lineRule="exact"/>
        <w:rPr>
          <w:sz w:val="20"/>
          <w:szCs w:val="20"/>
          <w:color w:val="auto"/>
        </w:rPr>
      </w:pPr>
    </w:p>
    <w:p>
      <w:pPr>
        <w:ind w:firstLine="440"/>
        <w:spacing w:after="0" w:line="274" w:lineRule="auto"/>
        <w:rPr>
          <w:sz w:val="20"/>
          <w:szCs w:val="20"/>
          <w:color w:val="auto"/>
        </w:rPr>
      </w:pPr>
      <w:r>
        <w:rPr>
          <w:rFonts w:ascii="Arial" w:cs="Arial" w:eastAsia="Arial" w:hAnsi="Arial"/>
          <w:sz w:val="17"/>
          <w:szCs w:val="17"/>
          <w:b w:val="1"/>
          <w:bCs w:val="1"/>
          <w:color w:val="auto"/>
        </w:rPr>
        <w:t xml:space="preserve">Section 5.2 </w:t>
      </w:r>
      <w:r>
        <w:rPr>
          <w:rFonts w:ascii="Arial" w:cs="Arial" w:eastAsia="Arial" w:hAnsi="Arial"/>
          <w:sz w:val="17"/>
          <w:szCs w:val="17"/>
          <w:b w:val="1"/>
          <w:bCs w:val="1"/>
          <w:u w:val="single" w:color="auto"/>
          <w:color w:val="auto"/>
        </w:rPr>
        <w:t>Lost, Stolen or Destroyed Stock Certificates; Issuance of New Certificates or Uncertificated Shares</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Corporation may issue</w:t>
      </w:r>
      <w:r>
        <w:rPr>
          <w:rFonts w:ascii="Arial" w:cs="Arial" w:eastAsia="Arial" w:hAnsi="Arial"/>
          <w:sz w:val="17"/>
          <w:szCs w:val="17"/>
          <w:b w:val="1"/>
          <w:bCs w:val="1"/>
          <w:color w:val="auto"/>
        </w:rPr>
        <w:t xml:space="preserve"> </w:t>
      </w:r>
      <w:r>
        <w:rPr>
          <w:rFonts w:ascii="Arial" w:cs="Arial" w:eastAsia="Arial" w:hAnsi="Arial"/>
          <w:sz w:val="17"/>
          <w:szCs w:val="17"/>
          <w:color w:val="auto"/>
        </w:rPr>
        <w:t>a new certificate of stock or uncertificated shares in the place of any certificate previously issued by it, alleged to have been lost, stolen or destroyed, upon the making of an affidavit of that fact by the person claiming the certificate of stock to be lost, stolen or destroyed, and the Corporation may require the owner of the lost, stolen or destroyed certificate, or such owner’s legal representative, to agree to indemnify the Corporation and/or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73" w:lineRule="exact"/>
        <w:rPr>
          <w:sz w:val="20"/>
          <w:szCs w:val="20"/>
          <w:color w:val="auto"/>
        </w:rPr>
      </w:pPr>
    </w:p>
    <w:p>
      <w:pPr>
        <w:ind w:right="220" w:firstLine="440"/>
        <w:spacing w:after="0" w:line="347" w:lineRule="auto"/>
        <w:rPr>
          <w:sz w:val="20"/>
          <w:szCs w:val="20"/>
          <w:color w:val="auto"/>
        </w:rPr>
      </w:pPr>
      <w:r>
        <w:rPr>
          <w:rFonts w:ascii="Arial" w:cs="Arial" w:eastAsia="Arial" w:hAnsi="Arial"/>
          <w:sz w:val="16"/>
          <w:szCs w:val="16"/>
          <w:b w:val="1"/>
          <w:bCs w:val="1"/>
          <w:color w:val="auto"/>
        </w:rPr>
        <w:t xml:space="preserve">Section 5.3 </w:t>
      </w:r>
      <w:r>
        <w:rPr>
          <w:rFonts w:ascii="Arial" w:cs="Arial" w:eastAsia="Arial" w:hAnsi="Arial"/>
          <w:sz w:val="16"/>
          <w:szCs w:val="16"/>
          <w:b w:val="1"/>
          <w:bCs w:val="1"/>
          <w:u w:val="single" w:color="auto"/>
          <w:color w:val="auto"/>
        </w:rPr>
        <w:t>Other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applicable law, the Certificate of Incorporation and these Bylaws, the issue, transfer, conversion and</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of shares represented by certificates and of uncertificated shares shall be governed by such other regulations as the Board may establish.</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b w:val="1"/>
          <w:bCs w:val="1"/>
          <w:color w:val="auto"/>
        </w:rPr>
        <w:t xml:space="preserve">Section 6.1 </w:t>
      </w:r>
      <w:r>
        <w:rPr>
          <w:rFonts w:ascii="Arial" w:cs="Arial" w:eastAsia="Arial" w:hAnsi="Arial"/>
          <w:sz w:val="18"/>
          <w:szCs w:val="18"/>
          <w:b w:val="1"/>
          <w:bCs w:val="1"/>
          <w:u w:val="single" w:color="auto"/>
          <w:color w:val="auto"/>
        </w:rPr>
        <w:t>Indemnification of Officers and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Each person who was or is made a party to, or is threatened to be made a party to, or is</w:t>
      </w:r>
      <w:r>
        <w:rPr>
          <w:rFonts w:ascii="Arial" w:cs="Arial" w:eastAsia="Arial" w:hAnsi="Arial"/>
          <w:sz w:val="18"/>
          <w:szCs w:val="18"/>
          <w:b w:val="1"/>
          <w:bCs w:val="1"/>
          <w:color w:val="auto"/>
        </w:rPr>
        <w:t xml:space="preserve"> </w:t>
      </w:r>
      <w:r>
        <w:rPr>
          <w:rFonts w:ascii="Arial" w:cs="Arial" w:eastAsia="Arial" w:hAnsi="Arial"/>
          <w:sz w:val="18"/>
          <w:szCs w:val="18"/>
          <w:color w:val="auto"/>
        </w:rPr>
        <w:t>involved in any threatened, pending or completed action, suit or proceeding, whether civil, criminal, administrative, legislative or any other type whatsoever (a “</w:t>
      </w:r>
      <w:r>
        <w:rPr>
          <w:rFonts w:ascii="Arial" w:cs="Arial" w:eastAsia="Arial" w:hAnsi="Arial"/>
          <w:sz w:val="18"/>
          <w:szCs w:val="18"/>
          <w:b w:val="1"/>
          <w:bCs w:val="1"/>
          <w:i w:val="1"/>
          <w:iCs w:val="1"/>
          <w:color w:val="auto"/>
        </w:rPr>
        <w:t>Proceeding</w:t>
      </w:r>
      <w:r>
        <w:rPr>
          <w:rFonts w:ascii="Arial" w:cs="Arial" w:eastAsia="Arial" w:hAnsi="Arial"/>
          <w:sz w:val="18"/>
          <w:szCs w:val="18"/>
          <w:color w:val="auto"/>
        </w:rPr>
        <w:t>”), by reason of the fact that such person (or a person of whom such person is the legal representative), is or was a director or officer of the Corporation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0" w:right="459" w:bottom="1440" w:gutter="0" w:footer="0" w:header="0"/>
        </w:sectPr>
      </w:pPr>
    </w:p>
    <w:bookmarkStart w:id="36" w:name="page37"/>
    <w:bookmarkEnd w:id="36"/>
    <w:p>
      <w:pPr>
        <w:ind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while serving as a director or officer of the Corporation, is or was serving at the request of the Corporation as a director, officer, employee, agent or trustee of another corporation, or of a partnership, joint venture, trust or other enterprise, including service with respect to employee benefit plans (for purposes of this Article VI, an “</w:t>
      </w:r>
      <w:r>
        <w:rPr>
          <w:rFonts w:ascii="Arial" w:cs="Arial" w:eastAsia="Arial" w:hAnsi="Arial"/>
          <w:sz w:val="17"/>
          <w:szCs w:val="17"/>
          <w:b w:val="1"/>
          <w:bCs w:val="1"/>
          <w:i w:val="1"/>
          <w:iCs w:val="1"/>
          <w:color w:val="auto"/>
        </w:rPr>
        <w:t>Indemnitee</w:t>
      </w:r>
      <w:r>
        <w:rPr>
          <w:rFonts w:ascii="Arial" w:cs="Arial" w:eastAsia="Arial" w:hAnsi="Arial"/>
          <w:sz w:val="17"/>
          <w:szCs w:val="17"/>
          <w:color w:val="auto"/>
        </w:rPr>
        <w:t>”), shall be indemnified and held harmless by the Corporation to the fullest extent permitted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expenses, liability and loss (including attorneys’ fees, judgments, fines, ERISA excise taxes and penalties and amounts paid or to be paid in settlement) reasonably incurred or suffered by such Indemnitee in connection therewith, provided such Indemnitee acted in good faith and in a manner that the Indemnitee reasonably believed to be in or not opposed to the best interests of the Corporation, and, with respect to any criminal Proceeding, had no reasonable cause to believe the Indemnitee’s conduct was unlawful. Such indemnification shall continue as to an Indemnitee who has ceased to be a director or officer of the Corporation and shall inure to the benefit of such Indemnitees’ heirs, executors and administrators. Notwithstanding the foregoing, subject to Section 6.5 of these Bylaws, the Corporation shall indemnify any such Indemnitee seeking indemnity in connection with a Proceeding (or part thereof) initiated by such Indemnitee only if such Proceeding (or part thereof) was authorized by the Board or such indemnification is authorized by an agreement approved by the Board.</w:t>
      </w:r>
    </w:p>
    <w:p>
      <w:pPr>
        <w:spacing w:after="0" w:line="182"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b w:val="1"/>
          <w:bCs w:val="1"/>
          <w:color w:val="auto"/>
        </w:rPr>
        <w:t xml:space="preserve">Section 6.2 </w:t>
      </w:r>
      <w:r>
        <w:rPr>
          <w:rFonts w:ascii="Arial" w:cs="Arial" w:eastAsia="Arial" w:hAnsi="Arial"/>
          <w:sz w:val="18"/>
          <w:szCs w:val="18"/>
          <w:b w:val="1"/>
          <w:bCs w:val="1"/>
          <w:u w:val="single" w:color="auto"/>
          <w:color w:val="auto"/>
        </w:rPr>
        <w:t>Advance of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shall pay all expenses (including attorneys’ fees) incurred by an Indemnitee in defending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Proceeding in advance of its final disposition;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if the DGCL then so requires, the advancement of such expenses shall be made only upon delivery to the Corporation of an undertaking, by or on behalf of such Indemnitee, to repay such amounts if it shall ultimately be determined that such Indemnitee is not entitled to be indemnified under this Article VI or otherwise.</w:t>
      </w:r>
    </w:p>
    <w:p>
      <w:pPr>
        <w:spacing w:after="0" w:line="180" w:lineRule="exact"/>
        <w:rPr>
          <w:sz w:val="20"/>
          <w:szCs w:val="20"/>
          <w:color w:val="auto"/>
        </w:rPr>
      </w:pPr>
    </w:p>
    <w:p>
      <w:pPr>
        <w:ind w:firstLine="440"/>
        <w:spacing w:after="0" w:line="281" w:lineRule="auto"/>
        <w:rPr>
          <w:sz w:val="20"/>
          <w:szCs w:val="20"/>
          <w:color w:val="auto"/>
        </w:rPr>
      </w:pPr>
      <w:r>
        <w:rPr>
          <w:rFonts w:ascii="Arial" w:cs="Arial" w:eastAsia="Arial" w:hAnsi="Arial"/>
          <w:sz w:val="17"/>
          <w:szCs w:val="17"/>
          <w:b w:val="1"/>
          <w:bCs w:val="1"/>
          <w:color w:val="auto"/>
        </w:rPr>
        <w:t xml:space="preserve">Section 6.3 </w:t>
      </w:r>
      <w:r>
        <w:rPr>
          <w:rFonts w:ascii="Arial" w:cs="Arial" w:eastAsia="Arial" w:hAnsi="Arial"/>
          <w:sz w:val="17"/>
          <w:szCs w:val="17"/>
          <w:b w:val="1"/>
          <w:bCs w:val="1"/>
          <w:u w:val="single" w:color="auto"/>
          <w:color w:val="auto"/>
        </w:rPr>
        <w:t>Non-Exclusivity of Rights</w:t>
      </w:r>
      <w:r>
        <w:rPr>
          <w:rFonts w:ascii="Arial" w:cs="Arial" w:eastAsia="Arial" w:hAnsi="Arial"/>
          <w:sz w:val="17"/>
          <w:szCs w:val="17"/>
          <w:b w:val="1"/>
          <w:bCs w:val="1"/>
          <w:color w:val="auto"/>
        </w:rPr>
        <w:t xml:space="preserve">. </w:t>
      </w:r>
      <w:r>
        <w:rPr>
          <w:rFonts w:ascii="Arial" w:cs="Arial" w:eastAsia="Arial" w:hAnsi="Arial"/>
          <w:sz w:val="17"/>
          <w:szCs w:val="17"/>
          <w:color w:val="auto"/>
        </w:rPr>
        <w:t>The rights conferred on any person in this Article VI shall not be exclusive of any other right that such</w:t>
      </w:r>
      <w:r>
        <w:rPr>
          <w:rFonts w:ascii="Arial" w:cs="Arial" w:eastAsia="Arial" w:hAnsi="Arial"/>
          <w:sz w:val="17"/>
          <w:szCs w:val="17"/>
          <w:b w:val="1"/>
          <w:bCs w:val="1"/>
          <w:color w:val="auto"/>
        </w:rPr>
        <w:t xml:space="preserve"> </w:t>
      </w:r>
      <w:r>
        <w:rPr>
          <w:rFonts w:ascii="Arial" w:cs="Arial" w:eastAsia="Arial" w:hAnsi="Arial"/>
          <w:sz w:val="17"/>
          <w:szCs w:val="17"/>
          <w:color w:val="auto"/>
        </w:rPr>
        <w:t>person may have or hereafter acquire under any statute, provision of the Certificate of Incorporation, Bylaws, agreement, vote or consent of stockholders or disinterested directors, or otherwise. Additionally, nothing in this Article VI shall limit the ability of the Corporation, in its discretion, to indemnify or advance expenses to persons whom the Corporation is not obligated to indemnify or advance expenses pursuant to this Article VI.</w:t>
      </w:r>
    </w:p>
    <w:p>
      <w:pPr>
        <w:spacing w:after="0" w:line="165"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b w:val="1"/>
          <w:bCs w:val="1"/>
          <w:color w:val="auto"/>
        </w:rPr>
        <w:t xml:space="preserve">Section 6.4 </w:t>
      </w:r>
      <w:r>
        <w:rPr>
          <w:rFonts w:ascii="Arial" w:cs="Arial" w:eastAsia="Arial" w:hAnsi="Arial"/>
          <w:sz w:val="18"/>
          <w:szCs w:val="18"/>
          <w:b w:val="1"/>
          <w:bCs w:val="1"/>
          <w:u w:val="single" w:color="auto"/>
          <w:color w:val="auto"/>
        </w:rPr>
        <w:t>Indemnification Contracts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is authorized to cause the Corporation to enter into indemnification contracts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officer, employee or agent of the Corporation, or any person serving at the request of the Corporation as a director, officer, employee, agent or trustee of another corporation, partnership, joint venture, trust or other enterprise, including employee benefit plans, providing indemnification or advancement rights to such person. Such rights may be greater than those provided in this Article VI.</w:t>
      </w:r>
    </w:p>
    <w:p>
      <w:pPr>
        <w:spacing w:after="0" w:line="180"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b w:val="1"/>
          <w:bCs w:val="1"/>
          <w:color w:val="auto"/>
        </w:rPr>
        <w:t xml:space="preserve">Section 6.5 </w:t>
      </w:r>
      <w:r>
        <w:rPr>
          <w:rFonts w:ascii="Arial" w:cs="Arial" w:eastAsia="Arial" w:hAnsi="Arial"/>
          <w:sz w:val="18"/>
          <w:szCs w:val="18"/>
          <w:b w:val="1"/>
          <w:bCs w:val="1"/>
          <w:u w:val="single" w:color="auto"/>
          <w:color w:val="auto"/>
        </w:rPr>
        <w:t>Right of Indemnitee to Bring Suit</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shall apply to the extent not in conflict with any indemnification contract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for in Section 6.4 of these Bylaws.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37" w:name="page38"/>
    <w:bookmarkEnd w:id="37"/>
    <w:p>
      <w:pPr>
        <w:ind w:right="20" w:firstLine="991"/>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6.5.1 </w:t>
      </w:r>
      <w:r>
        <w:rPr>
          <w:rFonts w:ascii="Arial" w:cs="Arial" w:eastAsia="Arial" w:hAnsi="Arial"/>
          <w:sz w:val="16"/>
          <w:szCs w:val="16"/>
          <w:u w:val="single" w:color="auto"/>
          <w:color w:val="auto"/>
        </w:rPr>
        <w:t>Right to Bring Suit</w:t>
      </w:r>
      <w:r>
        <w:rPr>
          <w:rFonts w:ascii="Arial" w:cs="Arial" w:eastAsia="Arial" w:hAnsi="Arial"/>
          <w:sz w:val="16"/>
          <w:szCs w:val="16"/>
          <w:color w:val="auto"/>
        </w:rPr>
        <w:t>. If a claim under Section 6.1 or 6.2 of these Bylaws is not paid in full by the Corporation within sixty (60) days after a written claim has been received by the Corporation, except in the case of a claim for an advancement of expenses, in which case the applicable period shall be twenty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be entitled to be paid, to the fullest extent permitted by law, the expense of prosecuting or defending such suit. In any suit brought by the Indemnitee to enforce a right to indemnification hereunder (but not in a suit brought by the Indemnitee to enforce a right to an advancement of expenses) it shall be a defense that the Indemnitee has not met any applicable standard of conduct which makes it permissible under the DGCL (or other applicable law) for the Corporation to indemnify the Indemnitee for the amount claimed.</w:t>
      </w:r>
    </w:p>
    <w:p>
      <w:pPr>
        <w:spacing w:after="0" w:line="16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6.5.2 </w:t>
      </w:r>
      <w:r>
        <w:rPr>
          <w:rFonts w:ascii="Arial" w:cs="Arial" w:eastAsia="Arial" w:hAnsi="Arial"/>
          <w:sz w:val="18"/>
          <w:szCs w:val="18"/>
          <w:u w:val="single" w:color="auto"/>
          <w:color w:val="auto"/>
        </w:rPr>
        <w:t>Effect of Determination</w:t>
      </w:r>
      <w:r>
        <w:rPr>
          <w:rFonts w:ascii="Arial" w:cs="Arial" w:eastAsia="Arial" w:hAnsi="Arial"/>
          <w:sz w:val="18"/>
          <w:szCs w:val="18"/>
          <w:color w:val="auto"/>
        </w:rPr>
        <w:t>. The absence of a determination prior to the commencement of such suit that indemnification of the Indemnitee is proper in the circumstances because the Indemnitee has met the applicable standard of conduct set forth in applicable law shall not create a presumption that the Indemnitee has not met the applicable standard of conduct or, in the case of such a suit brought by the Indemnitee, be a defense to such suit.</w:t>
      </w:r>
    </w:p>
    <w:p>
      <w:pPr>
        <w:spacing w:after="0" w:line="187" w:lineRule="exact"/>
        <w:rPr>
          <w:sz w:val="20"/>
          <w:szCs w:val="20"/>
          <w:color w:val="auto"/>
        </w:rPr>
      </w:pPr>
    </w:p>
    <w:p>
      <w:pPr>
        <w:ind w:right="60" w:firstLine="991"/>
        <w:spacing w:after="0" w:line="311" w:lineRule="auto"/>
        <w:rPr>
          <w:sz w:val="20"/>
          <w:szCs w:val="20"/>
          <w:color w:val="auto"/>
        </w:rPr>
      </w:pPr>
      <w:r>
        <w:rPr>
          <w:rFonts w:ascii="Arial" w:cs="Arial" w:eastAsia="Arial" w:hAnsi="Arial"/>
          <w:sz w:val="16"/>
          <w:szCs w:val="16"/>
          <w:color w:val="auto"/>
        </w:rPr>
        <w:t xml:space="preserve">6.5.3 </w:t>
      </w:r>
      <w:r>
        <w:rPr>
          <w:rFonts w:ascii="Arial" w:cs="Arial" w:eastAsia="Arial" w:hAnsi="Arial"/>
          <w:sz w:val="16"/>
          <w:szCs w:val="16"/>
          <w:u w:val="single" w:color="auto"/>
          <w:color w:val="auto"/>
        </w:rPr>
        <w:t>Burden of Proof</w:t>
      </w:r>
      <w:r>
        <w:rPr>
          <w:rFonts w:ascii="Arial" w:cs="Arial" w:eastAsia="Arial" w:hAnsi="Arial"/>
          <w:sz w:val="16"/>
          <w:szCs w:val="16"/>
          <w:color w:val="auto"/>
        </w:rPr>
        <w: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 or otherwise, shall be on the Corporation.</w:t>
      </w:r>
    </w:p>
    <w:p>
      <w:pPr>
        <w:spacing w:after="0" w:line="145"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b w:val="1"/>
          <w:bCs w:val="1"/>
          <w:color w:val="auto"/>
        </w:rPr>
        <w:t xml:space="preserve">Section 6.6 </w:t>
      </w:r>
      <w:r>
        <w:rPr>
          <w:rFonts w:ascii="Arial" w:cs="Arial" w:eastAsia="Arial" w:hAnsi="Arial"/>
          <w:sz w:val="16"/>
          <w:szCs w:val="16"/>
          <w:b w:val="1"/>
          <w:bCs w:val="1"/>
          <w:u w:val="single" w:color="auto"/>
          <w:color w:val="auto"/>
        </w:rPr>
        <w:t>Nature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rights conferred upon Indemnitees in this Article VI shall be contract rights and such rights shall continue as to</w:t>
      </w:r>
      <w:r>
        <w:rPr>
          <w:rFonts w:ascii="Arial" w:cs="Arial" w:eastAsia="Arial" w:hAnsi="Arial"/>
          <w:sz w:val="16"/>
          <w:szCs w:val="16"/>
          <w:b w:val="1"/>
          <w:bCs w:val="1"/>
          <w:color w:val="auto"/>
        </w:rPr>
        <w:t xml:space="preserve"> </w:t>
      </w:r>
      <w:r>
        <w:rPr>
          <w:rFonts w:ascii="Arial" w:cs="Arial" w:eastAsia="Arial" w:hAnsi="Arial"/>
          <w:sz w:val="16"/>
          <w:szCs w:val="16"/>
          <w:color w:val="auto"/>
        </w:rPr>
        <w:t>an Indemnitee who has ceased to be a director, officer or trustee and shall inure to the benefit of the Indemnitee’s heirs, executors and administrators. Any amendment, repeal or modification of any provision of this Article VI that adversely affects any right of an Indemnitee or an Indemnitee’s successors shall be prospective only, and shall not adversely affect any right or protection conferred on a person pursuant to this Article VI with respect to any Proceeding involving any occurrence or alleged occurrence of any action or omission to act that took place prior to such amendment, repeal or modification. Any reference to an officer of the Corporation in this Article VI shall be deemed to refer exclusively to the Chief Executive Officer, President, Treasurer, Chief Financial Officer, and Secretary of the Corporation appointed pursuant to Article IV of these Bylaws, and to any Vice President, Assistant Secretary, Assistant Treasurer or other officer of the Corporation appointed by the Board of Directors or by the Chief Executive Officer pursuant to Article IV of these Bylaws,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but not an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38" w:name="page39"/>
    <w:bookmarkEnd w:id="38"/>
    <w:p>
      <w:pPr>
        <w:ind w:right="1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officer thereof as described in the preceding sentence, has been given or has used the title of “Vice President” or any other title that could be construed to suggest or imply that such person is or may be such an officer of the Corporation or of such other corporation, partnership, joint venture, trust, employee benefit plan or other enterprise shall not result in such person being constituted as, or being deemed to be, such an officer of the Corporation or of such other corporation, partnership, joint venture, trust, employee benefit plan or other enterprise for purposes of this Article VI.</w:t>
      </w:r>
    </w:p>
    <w:p>
      <w:pPr>
        <w:spacing w:after="0" w:line="153" w:lineRule="exact"/>
        <w:rPr>
          <w:sz w:val="20"/>
          <w:szCs w:val="20"/>
          <w:color w:val="auto"/>
        </w:rPr>
      </w:pPr>
    </w:p>
    <w:p>
      <w:pPr>
        <w:ind w:right="20" w:firstLine="440"/>
        <w:spacing w:after="0" w:line="289" w:lineRule="auto"/>
        <w:rPr>
          <w:sz w:val="20"/>
          <w:szCs w:val="20"/>
          <w:color w:val="auto"/>
        </w:rPr>
      </w:pPr>
      <w:r>
        <w:rPr>
          <w:rFonts w:ascii="Arial" w:cs="Arial" w:eastAsia="Arial" w:hAnsi="Arial"/>
          <w:sz w:val="17"/>
          <w:szCs w:val="17"/>
          <w:b w:val="1"/>
          <w:bCs w:val="1"/>
          <w:color w:val="auto"/>
        </w:rPr>
        <w:t xml:space="preserve">Section 6.7 </w:t>
      </w:r>
      <w:r>
        <w:rPr>
          <w:rFonts w:ascii="Arial" w:cs="Arial" w:eastAsia="Arial" w:hAnsi="Arial"/>
          <w:sz w:val="17"/>
          <w:szCs w:val="17"/>
          <w:b w:val="1"/>
          <w:bCs w:val="1"/>
          <w:u w:val="single" w:color="auto"/>
          <w:color w:val="auto"/>
        </w:rPr>
        <w:t>Insurance</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Corporation may purchase and maintain insurance, at its expense, to protect itself and any director, officer, employee</w:t>
      </w:r>
      <w:r>
        <w:rPr>
          <w:rFonts w:ascii="Arial" w:cs="Arial" w:eastAsia="Arial" w:hAnsi="Arial"/>
          <w:sz w:val="17"/>
          <w:szCs w:val="17"/>
          <w:b w:val="1"/>
          <w:bCs w:val="1"/>
          <w:color w:val="auto"/>
        </w:rPr>
        <w:t xml:space="preserve"> </w:t>
      </w:r>
      <w:r>
        <w:rPr>
          <w:rFonts w:ascii="Arial" w:cs="Arial" w:eastAsia="Arial" w:hAnsi="Arial"/>
          <w:sz w:val="17"/>
          <w:szCs w:val="17"/>
          <w:color w:val="auto"/>
        </w:rPr>
        <w:t>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7.1 </w:t>
      </w: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w:t>
      </w:r>
    </w:p>
    <w:p>
      <w:pPr>
        <w:spacing w:after="0" w:line="229"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 xml:space="preserve">7.1.1 </w:t>
      </w:r>
      <w:r>
        <w:rPr>
          <w:rFonts w:ascii="Arial" w:cs="Arial" w:eastAsia="Arial" w:hAnsi="Arial"/>
          <w:sz w:val="16"/>
          <w:szCs w:val="16"/>
          <w:u w:val="single" w:color="auto"/>
          <w:color w:val="auto"/>
        </w:rPr>
        <w:t>Form and Delivery</w:t>
      </w:r>
      <w:r>
        <w:rPr>
          <w:rFonts w:ascii="Arial" w:cs="Arial" w:eastAsia="Arial" w:hAnsi="Arial"/>
          <w:sz w:val="16"/>
          <w:szCs w:val="16"/>
          <w:color w:val="auto"/>
        </w:rPr>
        <w:t>. Except as otherwise specifically required in these Bylaws (including, without limitation, Section 7.1.2 of these Bylaws) or by applicable law, all notices required to be given pursuant to these Bylaws may (a) in every instance in connection with any delivery to a member of the Board, be effectively given by hand delivery (including use of a delivery service), by depositing such notice in the mail, postage prepaid, or by sending such notice by overnight express courier, facsimile, electronic mail or other form of electronic transmission and (b) be effectively delivered to a stockholder when given by hand delivery, by depositing such notice in the mail, postage prepaid, or by courier service or electronic mail in the manner provided in Section 232 of the DGCL or, if specifically consented to by the stockholder as described in Section 7.1.2 of these Bylaws, by sending such notice by a form of electronic transmission other than electronic mail in the manner prescribed by Section 232 of the DGCL. Any such notice shall be addressed to the person to whom notice is to be given at such person’s address as it appears on the records of the Corporation. The notice shall be deemed given (a) in the case of hand delivery, when received by the person to whom notice is to be given or by any person accepting such notice on behalf of such person, (b) in the case of delivery by mail, upon deposit in the mail, (c) in (i) the case of delivery by overnight express courier to a director, when dispatched or (ii) the case of delivery by courier service to a stockholder, the earlier of when the notice is received or left at such stockholder’s address, and (d) in (i) the case of delivery by electronic mail, when directed to the director’s or stockholder’s electronic mail address unless, in the case of a stockholder, the stockholder has notified the corporation in writing or by electronic transmission of an objection to receiving notice by electronic mail or such notice is prohibited by the last sentence of Section 7.1.2 of these Bylaws or (ii) the case of delivery via facsimile or other form of electronic transmission (other than electronic mail) at the time provided in Section 7.1.2 of these Bylaws.</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40"/>
          </w:cols>
          <w:pgMar w:left="440" w:top="274" w:right="519" w:bottom="1440" w:gutter="0" w:footer="0" w:header="0"/>
        </w:sectPr>
      </w:pPr>
    </w:p>
    <w:bookmarkStart w:id="39" w:name="page40"/>
    <w:bookmarkEnd w:id="39"/>
    <w:p>
      <w:pPr>
        <w:ind w:right="20" w:firstLine="991"/>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7.1.2 </w:t>
      </w:r>
      <w:r>
        <w:rPr>
          <w:rFonts w:ascii="Arial" w:cs="Arial" w:eastAsia="Arial" w:hAnsi="Arial"/>
          <w:sz w:val="16"/>
          <w:szCs w:val="16"/>
          <w:u w:val="single" w:color="auto"/>
          <w:color w:val="auto"/>
        </w:rPr>
        <w:t>Electronic Transmission</w:t>
      </w:r>
      <w:r>
        <w:rPr>
          <w:rFonts w:ascii="Arial" w:cs="Arial" w:eastAsia="Arial" w:hAnsi="Arial"/>
          <w:sz w:val="16"/>
          <w:szCs w:val="16"/>
          <w:color w:val="auto"/>
        </w:rPr>
        <w:t>. 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(other than electronic mail) consented to by the stockholder to whom the notice is given in accordance with Section 232 of the DGCL. Notice given pursuant to this Section 7.1.2 shall be deemed given: (i) if by facsimile telecommunication, when directed to a number at which the stockholder has consented to receive notice; (ii) if by a posting on an electronic network together with separate notice to the stockholder of such specific posting, upon the later of such posting and the giving of such separate notice; and (iii) if by any other form of electronic transmission (other than electronic mail), when directed to the stockholder. Notwithstanding the foregoing, a notice may not be given to stockholders by an electronic transmission from and after the time that (a) the Corporation is unable to deliver by such electronic transmission two (2) consecutive notices given by the Corporation, (b) such inability becomes known to the Secretary or an Assistant Secretary or to the transfer agent, or other person responsible for the giving of notice; provided, however, the inadvertent failure to discover such inability shall not invalidate any meeting or other action.</w:t>
      </w:r>
    </w:p>
    <w:p>
      <w:pPr>
        <w:spacing w:after="0" w:line="168" w:lineRule="exact"/>
        <w:rPr>
          <w:sz w:val="20"/>
          <w:szCs w:val="20"/>
          <w:color w:val="auto"/>
        </w:rPr>
      </w:pPr>
    </w:p>
    <w:p>
      <w:pPr>
        <w:ind w:right="260" w:firstLine="991"/>
        <w:spacing w:after="0" w:line="263" w:lineRule="auto"/>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u w:val="single" w:color="auto"/>
          <w:color w:val="auto"/>
        </w:rPr>
        <w:t>Affidavit of Giving Notice</w:t>
      </w:r>
      <w:r>
        <w:rPr>
          <w:rFonts w:ascii="Arial" w:cs="Arial" w:eastAsia="Arial" w:hAnsi="Arial"/>
          <w:sz w:val="18"/>
          <w:szCs w:val="18"/>
          <w:color w:val="auto"/>
        </w:rPr>
        <w:t>. An affidavit of the Secretary or an Assistant Secretary or of the transfer agent or other agent of the Corporation that the notice has been given in writing or by a form of electronic transmission shall, in the absence of fraud, be prima facie evidence of the facts stated therein.</w:t>
      </w:r>
    </w:p>
    <w:p>
      <w:pPr>
        <w:spacing w:after="0" w:line="180" w:lineRule="exact"/>
        <w:rPr>
          <w:sz w:val="20"/>
          <w:szCs w:val="20"/>
          <w:color w:val="auto"/>
        </w:rPr>
      </w:pPr>
    </w:p>
    <w:p>
      <w:pPr>
        <w:ind w:right="20" w:firstLine="440"/>
        <w:spacing w:after="0" w:line="274" w:lineRule="auto"/>
        <w:rPr>
          <w:sz w:val="20"/>
          <w:szCs w:val="20"/>
          <w:color w:val="auto"/>
        </w:rPr>
      </w:pPr>
      <w:r>
        <w:rPr>
          <w:rFonts w:ascii="Arial" w:cs="Arial" w:eastAsia="Arial" w:hAnsi="Arial"/>
          <w:sz w:val="17"/>
          <w:szCs w:val="17"/>
          <w:b w:val="1"/>
          <w:bCs w:val="1"/>
          <w:color w:val="auto"/>
        </w:rPr>
        <w:t xml:space="preserve">Section 7.2 </w:t>
      </w:r>
      <w:r>
        <w:rPr>
          <w:rFonts w:ascii="Arial" w:cs="Arial" w:eastAsia="Arial" w:hAnsi="Arial"/>
          <w:sz w:val="17"/>
          <w:szCs w:val="17"/>
          <w:b w:val="1"/>
          <w:bCs w:val="1"/>
          <w:u w:val="single" w:color="auto"/>
          <w:color w:val="auto"/>
        </w:rPr>
        <w:t>Waiver of Notice</w:t>
      </w:r>
      <w:r>
        <w:rPr>
          <w:rFonts w:ascii="Arial" w:cs="Arial" w:eastAsia="Arial" w:hAnsi="Arial"/>
          <w:sz w:val="17"/>
          <w:szCs w:val="17"/>
          <w:b w:val="1"/>
          <w:bCs w:val="1"/>
          <w:color w:val="auto"/>
        </w:rPr>
        <w:t xml:space="preserve">. </w:t>
      </w:r>
      <w:r>
        <w:rPr>
          <w:rFonts w:ascii="Arial" w:cs="Arial" w:eastAsia="Arial" w:hAnsi="Arial"/>
          <w:sz w:val="17"/>
          <w:szCs w:val="17"/>
          <w:color w:val="auto"/>
        </w:rPr>
        <w:t>Whenever notice is required to be given under any provision of the DGCL, the Certificate of Incorporation or these</w:t>
      </w:r>
      <w:r>
        <w:rPr>
          <w:rFonts w:ascii="Arial" w:cs="Arial" w:eastAsia="Arial" w:hAnsi="Arial"/>
          <w:sz w:val="17"/>
          <w:szCs w:val="17"/>
          <w:b w:val="1"/>
          <w:bCs w:val="1"/>
          <w:color w:val="auto"/>
        </w:rPr>
        <w:t xml:space="preserve"> </w:t>
      </w:r>
      <w:r>
        <w:rPr>
          <w:rFonts w:ascii="Arial" w:cs="Arial" w:eastAsia="Arial" w:hAnsi="Arial"/>
          <w:sz w:val="17"/>
          <w:szCs w:val="17"/>
          <w:color w:val="auto"/>
        </w:rPr>
        <w:t>Bylaws, a written waiver of notice, signed by the person entitled to notice, or waiver by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waiver of notice.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INTERESTED DIRECTORS</w:t>
      </w:r>
    </w:p>
    <w:p>
      <w:pPr>
        <w:spacing w:after="0" w:line="207"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b w:val="1"/>
          <w:bCs w:val="1"/>
          <w:color w:val="auto"/>
        </w:rPr>
        <w:t xml:space="preserve">Section 8.1 </w:t>
      </w:r>
      <w:r>
        <w:rPr>
          <w:rFonts w:ascii="Arial" w:cs="Arial" w:eastAsia="Arial" w:hAnsi="Arial"/>
          <w:sz w:val="16"/>
          <w:szCs w:val="16"/>
          <w:b w:val="1"/>
          <w:bCs w:val="1"/>
          <w:u w:val="single" w:color="auto"/>
          <w:color w:val="auto"/>
        </w:rPr>
        <w:t>Interested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No contract or transaction between the Corporation and one or more of its members of the Board or officers, or</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the Corporation and any other corporation, partnership, association or other organization in which one or more of its directors or officers are members of the board of directors or officers, or have a financial interest, shall be void or voidable solely for this reason, or solely because the director or officer is present at or participates in the meeting of the Board or committee thereof that authorizes the contract or transaction, or solely because his, her or their votes are counted for such purpose, if: (a) the material facts as to his, her or their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(b) the material facts as to his, her or their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40" w:name="page41"/>
    <w:bookmarkEnd w:id="40"/>
    <w:p>
      <w:pPr>
        <w:ind w:right="22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8.2 </w:t>
      </w:r>
      <w:r>
        <w:rPr>
          <w:rFonts w:ascii="Arial" w:cs="Arial" w:eastAsia="Arial" w:hAnsi="Arial"/>
          <w:sz w:val="18"/>
          <w:szCs w:val="18"/>
          <w:b w:val="1"/>
          <w:bCs w:val="1"/>
          <w:u w:val="single" w:color="auto"/>
          <w:color w:val="auto"/>
        </w:rPr>
        <w:t>Quorum</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Interested directors may be counted in determining the presence of a quorum at a meeting of the Board or of a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which authorizes the contract or transaction.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9.1 </w:t>
      </w:r>
      <w:r>
        <w:rPr>
          <w:rFonts w:ascii="Arial" w:cs="Arial" w:eastAsia="Arial" w:hAnsi="Arial"/>
          <w:sz w:val="18"/>
          <w:szCs w:val="18"/>
          <w:b w:val="1"/>
          <w:bCs w:val="1"/>
          <w:u w:val="single" w:color="auto"/>
          <w:color w:val="auto"/>
        </w:rPr>
        <w:t>Fiscal Year</w:t>
      </w:r>
      <w:r>
        <w:rPr>
          <w:rFonts w:ascii="Arial" w:cs="Arial" w:eastAsia="Arial" w:hAnsi="Arial"/>
          <w:sz w:val="18"/>
          <w:szCs w:val="18"/>
          <w:b w:val="1"/>
          <w:bCs w:val="1"/>
          <w:color w:val="auto"/>
        </w:rPr>
        <w:t xml:space="preserve">. </w:t>
      </w:r>
      <w:r>
        <w:rPr>
          <w:rFonts w:ascii="Arial" w:cs="Arial" w:eastAsia="Arial" w:hAnsi="Arial"/>
          <w:sz w:val="18"/>
          <w:szCs w:val="18"/>
          <w:color w:val="auto"/>
        </w:rPr>
        <w:t>The fiscal year of the Corporation shall be determined by resolution of the Board.</w:t>
      </w:r>
    </w:p>
    <w:p>
      <w:pPr>
        <w:spacing w:after="0" w:line="225"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b w:val="1"/>
          <w:bCs w:val="1"/>
          <w:color w:val="auto"/>
        </w:rPr>
        <w:t xml:space="preserve">Section 9.2 </w:t>
      </w:r>
      <w:r>
        <w:rPr>
          <w:rFonts w:ascii="Arial" w:cs="Arial" w:eastAsia="Arial" w:hAnsi="Arial"/>
          <w:sz w:val="18"/>
          <w:szCs w:val="18"/>
          <w:b w:val="1"/>
          <w:bCs w:val="1"/>
          <w:u w:val="single" w:color="auto"/>
          <w:color w:val="auto"/>
        </w:rPr>
        <w:t>Seal</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may provide for a corporate seal, which may have the name of the Corporation inscribed thereon and shall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be in such form as may be approved from time to time by the Board.</w:t>
      </w:r>
    </w:p>
    <w:p>
      <w:pPr>
        <w:spacing w:after="0" w:line="162" w:lineRule="exact"/>
        <w:rPr>
          <w:sz w:val="20"/>
          <w:szCs w:val="20"/>
          <w:color w:val="auto"/>
        </w:rPr>
      </w:pPr>
    </w:p>
    <w:p>
      <w:pPr>
        <w:ind w:firstLine="440"/>
        <w:spacing w:after="0" w:line="298" w:lineRule="auto"/>
        <w:rPr>
          <w:sz w:val="20"/>
          <w:szCs w:val="20"/>
          <w:color w:val="auto"/>
        </w:rPr>
      </w:pPr>
      <w:r>
        <w:rPr>
          <w:rFonts w:ascii="Arial" w:cs="Arial" w:eastAsia="Arial" w:hAnsi="Arial"/>
          <w:sz w:val="16"/>
          <w:szCs w:val="16"/>
          <w:b w:val="1"/>
          <w:bCs w:val="1"/>
          <w:color w:val="auto"/>
        </w:rPr>
        <w:t xml:space="preserve">Section 9.3 </w:t>
      </w:r>
      <w:r>
        <w:rPr>
          <w:rFonts w:ascii="Arial" w:cs="Arial" w:eastAsia="Arial" w:hAnsi="Arial"/>
          <w:sz w:val="16"/>
          <w:szCs w:val="16"/>
          <w:b w:val="1"/>
          <w:bCs w:val="1"/>
          <w:u w:val="single" w:color="auto"/>
          <w:color w:val="auto"/>
        </w:rPr>
        <w:t>Form of Records</w:t>
      </w:r>
      <w:r>
        <w:rPr>
          <w:rFonts w:ascii="Arial" w:cs="Arial" w:eastAsia="Arial" w:hAnsi="Arial"/>
          <w:sz w:val="16"/>
          <w:szCs w:val="16"/>
          <w:b w:val="1"/>
          <w:bCs w:val="1"/>
          <w:color w:val="auto"/>
        </w:rPr>
        <w:t xml:space="preserve">. </w:t>
      </w:r>
      <w:r>
        <w:rPr>
          <w:rFonts w:ascii="Arial" w:cs="Arial" w:eastAsia="Arial" w:hAnsi="Arial"/>
          <w:sz w:val="16"/>
          <w:szCs w:val="16"/>
          <w:color w:val="auto"/>
        </w:rPr>
        <w:t>Any records administered by or on behalf of the Corporation in the regular course of its business, including 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stock ledger, books of account and minute books, may be kept on or by means of, or be in the form of any other information storage device, method or one or more electronic networks or databases (including one or more distributed electronic networks or databases), electronic or otherwise,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the records so kept can be converted into clearly legible paper form within a reasonable time and otherwise comply with the DGCL. The Corporation shall so convert any records so kept upon the request of any person entitled to inspect such records pursuant to any provision of the DGCL.</w:t>
      </w:r>
    </w:p>
    <w:p>
      <w:pPr>
        <w:spacing w:after="0" w:line="154"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b w:val="1"/>
          <w:bCs w:val="1"/>
          <w:color w:val="auto"/>
        </w:rPr>
        <w:t xml:space="preserve">Section 9.4 </w:t>
      </w:r>
      <w:r>
        <w:rPr>
          <w:rFonts w:ascii="Arial" w:cs="Arial" w:eastAsia="Arial" w:hAnsi="Arial"/>
          <w:sz w:val="18"/>
          <w:szCs w:val="18"/>
          <w:b w:val="1"/>
          <w:bCs w:val="1"/>
          <w:u w:val="single" w:color="auto"/>
          <w:color w:val="auto"/>
        </w:rPr>
        <w:t>Reliance Upon Books and Records</w:t>
      </w:r>
      <w:r>
        <w:rPr>
          <w:rFonts w:ascii="Arial" w:cs="Arial" w:eastAsia="Arial" w:hAnsi="Arial"/>
          <w:sz w:val="18"/>
          <w:szCs w:val="18"/>
          <w:b w:val="1"/>
          <w:bCs w:val="1"/>
          <w:color w:val="auto"/>
        </w:rPr>
        <w:t xml:space="preserve">. </w:t>
      </w:r>
      <w:r>
        <w:rPr>
          <w:rFonts w:ascii="Arial" w:cs="Arial" w:eastAsia="Arial" w:hAnsi="Arial"/>
          <w:sz w:val="18"/>
          <w:szCs w:val="18"/>
          <w:color w:val="auto"/>
        </w:rPr>
        <w:t>A member of the Board, or a member of any committee designated by the Board shall,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such person’s duties, be fully protected in relying in good faith upon the books and records of the Corporation and upon such information, opinions, reports or statements presented to the Corporation by any of the Corporation’s officers or employees, or committees of the Board, or by any other person as to matters the member reasonably believes are within such other person’s professional or expert competence and who has been selected with reasonable care by or on behalf of the Corporation.</w:t>
      </w:r>
    </w:p>
    <w:p>
      <w:pPr>
        <w:spacing w:after="0" w:line="183"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b w:val="1"/>
          <w:bCs w:val="1"/>
          <w:color w:val="auto"/>
        </w:rPr>
        <w:t xml:space="preserve">Section 9.5 </w:t>
      </w:r>
      <w:r>
        <w:rPr>
          <w:rFonts w:ascii="Arial" w:cs="Arial" w:eastAsia="Arial" w:hAnsi="Arial"/>
          <w:sz w:val="18"/>
          <w:szCs w:val="18"/>
          <w:b w:val="1"/>
          <w:bCs w:val="1"/>
          <w:u w:val="single" w:color="auto"/>
          <w:color w:val="auto"/>
        </w:rPr>
        <w:t>Certificate of Incorporation Governs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any conflict between the provisions of the Certificate of Incorporation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Bylaws, the provisions of the Certificate of Incorporation shall govern.</w:t>
      </w:r>
    </w:p>
    <w:p>
      <w:pPr>
        <w:spacing w:after="0" w:line="162" w:lineRule="exact"/>
        <w:rPr>
          <w:sz w:val="20"/>
          <w:szCs w:val="20"/>
          <w:color w:val="auto"/>
        </w:rPr>
      </w:pPr>
    </w:p>
    <w:p>
      <w:pPr>
        <w:ind w:right="40" w:firstLine="440"/>
        <w:spacing w:after="0" w:line="258" w:lineRule="auto"/>
        <w:rPr>
          <w:sz w:val="20"/>
          <w:szCs w:val="20"/>
          <w:color w:val="auto"/>
        </w:rPr>
      </w:pPr>
      <w:r>
        <w:rPr>
          <w:rFonts w:ascii="Arial" w:cs="Arial" w:eastAsia="Arial" w:hAnsi="Arial"/>
          <w:sz w:val="18"/>
          <w:szCs w:val="18"/>
          <w:b w:val="1"/>
          <w:bCs w:val="1"/>
          <w:color w:val="auto"/>
        </w:rPr>
        <w:t xml:space="preserve">Section 9.6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provision of these Bylaws shall be held to be invalid, illegal, unenforceable or in conflict with the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Certificate of Incorporation, then such provision shall nonetheless be enforced to the maximum extent possible consistent with such holding and the remaining provisions of these Bylaws (including without limitation, all portions of any section of these Bylaws containing any such provision held to be invalid, illegal, unenforceable or in conflict with the Certificate of Incorporation, that are not themselves invalid, illegal, unenforceable or in conflict with the Certificate of Incorporation) shall remain in full force and effect.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0" w:right="459" w:bottom="1440" w:gutter="0" w:footer="0" w:header="0"/>
        </w:sectPr>
      </w:pPr>
    </w:p>
    <w:bookmarkStart w:id="41" w:name="page42"/>
    <w:bookmarkEnd w:id="41"/>
    <w:p>
      <w:pPr>
        <w:ind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9.7 </w:t>
      </w:r>
      <w:r>
        <w:rPr>
          <w:rFonts w:ascii="Arial" w:cs="Arial" w:eastAsia="Arial" w:hAnsi="Arial"/>
          <w:sz w:val="18"/>
          <w:szCs w:val="18"/>
          <w:b w:val="1"/>
          <w:bCs w:val="1"/>
          <w:u w:val="single" w:color="auto"/>
          <w:color w:val="auto"/>
        </w:rPr>
        <w:t>Time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In applying any provision of these Bylaws which requires that an act be done or not be done a specified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days prior to an event or that an act be done during a period of a specified number of days prior to an event, calendar days shall be used, the day of the doing of the act shall be excluded, and the day of the event shall be included.</w:t>
      </w:r>
    </w:p>
    <w:p>
      <w:pPr>
        <w:spacing w:after="0" w:line="39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AMENDMENT</w:t>
      </w:r>
    </w:p>
    <w:p>
      <w:pPr>
        <w:spacing w:after="0" w:line="21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Notwithstanding any other provision of these Bylaws, any alteration, amendment or repeal of these Bylaws, and any adoption of new Bylaws, shall require the approval of the Board or the stockholders of the Corporation as expressly provided in the Certificate of Incorporation.</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820"/>
          </w:cols>
          <w:pgMar w:left="440" w:top="270" w:right="639" w:bottom="1440" w:gutter="0" w:footer="0" w:header="0"/>
        </w:sectPr>
      </w:pPr>
    </w:p>
    <w:bookmarkStart w:id="42" w:name="page43"/>
    <w:bookmarkEnd w:id="4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CERTIFICATION OF AMENDED AND RESTATED BYLAWS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 Delaware corporation)</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 Peter Butterfield certify that I am Secretary of Flywire Corporation, a Delaware corporation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that I am duly authorized to make and deliver this certification, that the attached Bylaws are a true and complete copy of the Restated Bylaws of the Corporation in effect as of the date of this certificate.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May 28,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Peter Butterfield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Peter Butterfield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Secretary</w:t>
      </w:r>
    </w:p>
    <w:sectPr>
      <w:pgSz w:w="11900" w:h="16838" w:orient="portrait"/>
      <w:cols w:equalWidth="0" w:num="1">
        <w:col w:w="10900"/>
      </w:cols>
      <w:pgMar w:left="4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lowerRoman"/>
      <w:start w:val="4"/>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lvl w:ilvl="1">
      <w:lvlJc w:val="left"/>
      <w:lvlText w:val="(%2)"/>
      <w:numFmt w:val="lowerLetter"/>
      <w:start w:val="1"/>
    </w:lvl>
  </w:abstractNum>
  <w:abstractNum w:abstractNumId="4">
    <w:nsid w:val="1BEFD79F"/>
    <w:multiLevelType w:val="hybridMultilevel"/>
    <w:lvl w:ilvl="0">
      <w:lvlJc w:val="left"/>
      <w:lvlText w:val="(%1)"/>
      <w:numFmt w:val="lowerLetter"/>
      <w:start w:val="2"/>
    </w:lvl>
  </w:abstractNum>
  <w:abstractNum w:abstractNumId="5">
    <w:nsid w:val="41A7C4C9"/>
    <w:multiLevelType w:val="hybridMultilevel"/>
    <w:lvl w:ilvl="0">
      <w:lvlJc w:val="left"/>
      <w:lvlText w:val="%1."/>
      <w:numFmt w:val="decimal"/>
      <w:start w:val="6"/>
    </w:lvl>
  </w:abstractNum>
  <w:abstractNum w:abstractNumId="6">
    <w:nsid w:val="6B68079A"/>
    <w:multiLevelType w:val="hybridMultilevel"/>
    <w:lvl w:ilvl="0">
      <w:lvlJc w:val="left"/>
      <w:lvlText w:val="(%1)"/>
      <w:numFmt w:val="lowerLetter"/>
      <w:start w:val="1"/>
    </w:lvl>
  </w:abstractNum>
  <w:abstractNum w:abstractNumId="7">
    <w:nsid w:val="4E6AFB66"/>
    <w:multiLevelType w:val="hybridMultilevel"/>
    <w:lvl w:ilvl="0">
      <w:lvlJc w:val="left"/>
      <w:lvlText w:val="(%1)"/>
      <w:numFmt w:val="lowerLetter"/>
      <w:start w:val="7"/>
    </w:lvl>
  </w:abstractNum>
  <w:abstractNum w:abstractNumId="8">
    <w:nsid w:val="25E45D32"/>
    <w:multiLevelType w:val="hybridMultilevel"/>
    <w:lvl w:ilvl="0">
      <w:lvlJc w:val="left"/>
      <w:lvlText w:val="%1"/>
      <w:numFmt w:val="upperLetter"/>
      <w:start w:val="1"/>
    </w:lvl>
    <w:lvl w:ilvl="1">
      <w:lvlJc w:val="left"/>
      <w:lvlText w:val="(%2)"/>
      <w:numFmt w:val="lowerLetter"/>
      <w:start w:val="1"/>
    </w:lvl>
  </w:abstractNum>
  <w:abstractNum w:abstractNumId="9">
    <w:nsid w:val="519B500D"/>
    <w:multiLevelType w:val="hybridMultilevel"/>
    <w:lvl w:ilvl="0">
      <w:lvlJc w:val="left"/>
      <w:lvlText w:val="%1."/>
      <w:numFmt w:val="upperLetter"/>
      <w:start w:val="2"/>
    </w:lvl>
    <w:lvl w:ilvl="1">
      <w:lvlJc w:val="left"/>
      <w:lvlText w:val="%2"/>
      <w:numFmt w:val="lowerLetter"/>
      <w:start w:val="1"/>
    </w:lvl>
  </w:abstractNum>
  <w:abstractNum w:abstractNumId="10">
    <w:nsid w:val="431BD7B7"/>
    <w:multiLevelType w:val="hybridMultilevel"/>
    <w:lvl w:ilvl="0">
      <w:lvlJc w:val="left"/>
      <w:lvlText w:val="(%1)"/>
      <w:numFmt w:val="decimal"/>
      <w:start w:val="10"/>
    </w:lvl>
  </w:abstractNum>
  <w:abstractNum w:abstractNumId="11">
    <w:nsid w:val="3F2DBA31"/>
    <w:multiLevelType w:val="hybridMultilevel"/>
    <w:lvl w:ilvl="0">
      <w:lvlJc w:val="left"/>
      <w:lvlText w:val="(%1)"/>
      <w:numFmt w:val="lowerRoman"/>
      <w:start w:val="6"/>
    </w:lvl>
  </w:abstractNum>
  <w:abstractNum w:abstractNumId="12">
    <w:nsid w:val="7C83E458"/>
    <w:multiLevelType w:val="hybridMultilevel"/>
    <w:lvl w:ilvl="0">
      <w:lvlJc w:val="left"/>
      <w:lvlText w:val="(%1)"/>
      <w:numFmt w:val="lowerLetter"/>
      <w:start w:val="1"/>
    </w:lvl>
  </w:abstractNum>
  <w:abstractNum w:abstractNumId="13">
    <w:nsid w:val="257130A3"/>
    <w:multiLevelType w:val="hybridMultilevel"/>
    <w:lvl w:ilvl="0">
      <w:lvlJc w:val="left"/>
      <w:lvlText w:val="(%1)"/>
      <w:numFmt w:val="lowerLetter"/>
      <w:start w:val="2"/>
    </w:lvl>
    <w:lvl w:ilvl="1">
      <w:lvlJc w:val="left"/>
      <w:lvlText w:val="(%2)"/>
      <w:numFmt w:val="lowerRoman"/>
      <w:start w:val="1"/>
    </w:lvl>
  </w:abstractNum>
  <w:abstractNum w:abstractNumId="14">
    <w:nsid w:val="62BBD95A"/>
    <w:multiLevelType w:val="hybridMultilevel"/>
    <w:lvl w:ilvl="0">
      <w:lvlJc w:val="left"/>
      <w:lvlText w:val="(%1)"/>
      <w:numFmt w:val="lowerLetter"/>
      <w:start w:val="3"/>
    </w:lvl>
    <w:lvl w:ilvl="1">
      <w:lvlJc w:val="left"/>
      <w:lvlText w:val="(%2)"/>
      <w:numFmt w:val="lowerRoman"/>
      <w:start w:val="1"/>
    </w:lvl>
  </w:abstractNum>
  <w:abstractNum w:abstractNumId="15">
    <w:nsid w:val="436C6125"/>
    <w:multiLevelType w:val="hybridMultilevel"/>
    <w:lvl w:ilvl="0">
      <w:lvlJc w:val="left"/>
      <w:lvlText w:val="(%1)"/>
      <w:numFmt w:val="lowerLetter"/>
      <w:start w:val="4"/>
    </w:lvl>
    <w:lvl w:ilvl="1">
      <w:lvlJc w:val="left"/>
      <w:lvlText w:val="(%2)"/>
      <w:numFmt w:val="lowerRoman"/>
      <w:start w:val="1"/>
    </w:lvl>
  </w:abstractNum>
  <w:abstractNum w:abstractNumId="16">
    <w:nsid w:val="628C895D"/>
    <w:multiLevelType w:val="hybridMultilevel"/>
    <w:lvl w:ilvl="0">
      <w:lvlJc w:val="left"/>
      <w:lvlText w:val="(%1)"/>
      <w:numFmt w:val="lowerRoman"/>
      <w:start w:val="4"/>
    </w:lvl>
  </w:abstractNum>
  <w:abstractNum w:abstractNumId="17">
    <w:nsid w:val="333AB105"/>
    <w:multiLevelType w:val="hybridMultilevel"/>
    <w:lvl w:ilvl="0">
      <w:lvlJc w:val="left"/>
      <w:lvlText w:val="(%1)"/>
      <w:numFmt w:val="lowerRoman"/>
      <w:start w:val="14"/>
    </w:lvl>
  </w:abstractNum>
  <w:abstractNum w:abstractNumId="18">
    <w:nsid w:val="721DA317"/>
    <w:multiLevelType w:val="hybridMultilevel"/>
    <w:lvl w:ilvl="0">
      <w:lvlJc w:val="left"/>
      <w:lvlText w:val="(%1)"/>
      <w:numFmt w:val="lowerLetter"/>
      <w:start w:val="6"/>
    </w:lvl>
  </w:abstractNum>
  <w:abstractNum w:abstractNumId="19">
    <w:nsid w:val="2443A858"/>
    <w:multiLevelType w:val="hybridMultilevel"/>
    <w:lvl w:ilvl="0">
      <w:lvlJc w:val="left"/>
      <w:lvlText w:val="(%1)"/>
      <w:numFmt w:val="lowerLetter"/>
      <w:start w:val="6"/>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upperLetter"/>
      <w:start w:val="1"/>
    </w:lvl>
  </w:abstractNum>
  <w:abstractNum w:abstractNumId="22">
    <w:nsid w:val="75A2A8D4"/>
    <w:multiLevelType w:val="hybridMultilevel"/>
    <w:lvl w:ilvl="0">
      <w:lvlJc w:val="left"/>
      <w:lvlText w:val="(%1)"/>
      <w:numFmt w:val="upperLetter"/>
      <w:start w:val="3"/>
    </w:lvl>
  </w:abstractNum>
  <w:abstractNum w:abstractNumId="23">
    <w:nsid w:val="8EDBDAB"/>
    <w:multiLevelType w:val="hybridMultilevel"/>
    <w:lvl w:ilvl="0">
      <w:lvlJc w:val="left"/>
      <w:lvlText w:val="(%1)"/>
      <w:numFmt w:val="lowerLetter"/>
      <w:start w:val="1"/>
    </w:lvl>
  </w:abstractNum>
  <w:abstractNum w:abstractNumId="24">
    <w:nsid w:val="79838CB2"/>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2021-06-01T16:15:41Z</dcterms:created>
  <dcterms:modified xsi:type="dcterms:W3CDTF">2021-06-01T16:15:41Z</dcterms:modified>
</cp:coreProperties>
</file>