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29, 2022</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FLYWIRE CORPORATION</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280" w:type="dxa"/>
        <w:tblCellMar>
          <w:top w:w="0" w:type="dxa"/>
          <w:left w:w="0" w:type="dxa"/>
          <w:bottom w:w="0" w:type="dxa"/>
          <w:right w:w="0" w:type="dxa"/>
        </w:tblCellMar>
      </w:tblPr>
      <w:tr>
        <w:trPr>
          <w:trHeight w:val="214"/>
        </w:trPr>
        <w:tc>
          <w:tcPr>
            <w:tcW w:w="608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27-0690799</w:t>
            </w:r>
          </w:p>
        </w:tc>
      </w:tr>
      <w:tr>
        <w:trPr>
          <w:trHeight w:val="148"/>
        </w:trPr>
        <w:tc>
          <w:tcPr>
            <w:tcW w:w="6080" w:type="dxa"/>
            <w:vAlign w:val="bottom"/>
            <w:gridSpan w:val="3"/>
          </w:tcPr>
          <w:p>
            <w:pPr>
              <w:jc w:val="center"/>
              <w:ind w:right="30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80" w:type="dxa"/>
            <w:vAlign w:val="bottom"/>
            <w:gridSpan w:val="3"/>
          </w:tcPr>
          <w:p>
            <w:pPr>
              <w:jc w:val="center"/>
              <w:ind w:right="30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6080" w:type="dxa"/>
            <w:vAlign w:val="bottom"/>
            <w:gridSpan w:val="3"/>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8"/>
              </w:rPr>
              <w:t>141 Tremont St #10</w:t>
            </w:r>
          </w:p>
        </w:tc>
        <w:tc>
          <w:tcPr>
            <w:tcW w:w="1960" w:type="dxa"/>
            <w:vAlign w:val="bottom"/>
          </w:tcPr>
          <w:p>
            <w:pPr>
              <w:spacing w:after="0"/>
              <w:rPr>
                <w:sz w:val="24"/>
                <w:szCs w:val="24"/>
                <w:color w:val="auto"/>
              </w:rPr>
            </w:pPr>
          </w:p>
        </w:tc>
      </w:tr>
      <w:tr>
        <w:trPr>
          <w:trHeight w:val="227"/>
        </w:trPr>
        <w:tc>
          <w:tcPr>
            <w:tcW w:w="608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02111</w:t>
            </w:r>
          </w:p>
        </w:tc>
      </w:tr>
      <w:tr>
        <w:trPr>
          <w:trHeight w:val="190"/>
        </w:trPr>
        <w:tc>
          <w:tcPr>
            <w:tcW w:w="6080" w:type="dxa"/>
            <w:vAlign w:val="bottom"/>
            <w:gridSpan w:val="3"/>
          </w:tcPr>
          <w:p>
            <w:pPr>
              <w:jc w:val="center"/>
              <w:ind w:right="31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6080" w:type="dxa"/>
            <w:vAlign w:val="bottom"/>
            <w:gridSpan w:val="3"/>
          </w:tcPr>
          <w:p>
            <w:pPr>
              <w:jc w:val="center"/>
              <w:ind w:left="2275"/>
              <w:spacing w:after="0"/>
              <w:rPr>
                <w:sz w:val="20"/>
                <w:szCs w:val="20"/>
                <w:color w:val="auto"/>
              </w:rPr>
            </w:pPr>
            <w:r>
              <w:rPr>
                <w:rFonts w:ascii="Times New Roman" w:cs="Times New Roman" w:eastAsia="Times New Roman" w:hAnsi="Times New Roman"/>
                <w:sz w:val="18"/>
                <w:szCs w:val="18"/>
                <w:b w:val="1"/>
                <w:bCs w:val="1"/>
                <w:color w:val="auto"/>
              </w:rPr>
              <w:t>Flywire Corporation 2021 Equity Incentive Plan</w:t>
            </w:r>
          </w:p>
        </w:tc>
        <w:tc>
          <w:tcPr>
            <w:tcW w:w="1960" w:type="dxa"/>
            <w:vAlign w:val="bottom"/>
          </w:tcPr>
          <w:p>
            <w:pPr>
              <w:spacing w:after="0"/>
              <w:rPr>
                <w:sz w:val="24"/>
                <w:szCs w:val="24"/>
                <w:color w:val="auto"/>
              </w:rPr>
            </w:pPr>
          </w:p>
        </w:tc>
      </w:tr>
      <w:tr>
        <w:trPr>
          <w:trHeight w:val="214"/>
        </w:trPr>
        <w:tc>
          <w:tcPr>
            <w:tcW w:w="8040" w:type="dxa"/>
            <w:vAlign w:val="bottom"/>
            <w:gridSpan w:val="4"/>
          </w:tcPr>
          <w:p>
            <w:pPr>
              <w:jc w:val="center"/>
              <w:ind w:left="335"/>
              <w:spacing w:after="0"/>
              <w:rPr>
                <w:sz w:val="20"/>
                <w:szCs w:val="20"/>
                <w:color w:val="auto"/>
              </w:rPr>
            </w:pPr>
            <w:r>
              <w:rPr>
                <w:rFonts w:ascii="Times New Roman" w:cs="Times New Roman" w:eastAsia="Times New Roman" w:hAnsi="Times New Roman"/>
                <w:sz w:val="18"/>
                <w:szCs w:val="18"/>
                <w:b w:val="1"/>
                <w:bCs w:val="1"/>
                <w:color w:val="auto"/>
                <w:w w:val="99"/>
              </w:rPr>
              <w:t>Flywire Corporation 2021 Employee Stock Purchase Plan</w:t>
            </w:r>
          </w:p>
        </w:tc>
      </w:tr>
      <w:tr>
        <w:trPr>
          <w:trHeight w:val="190"/>
        </w:trPr>
        <w:tc>
          <w:tcPr>
            <w:tcW w:w="3060" w:type="dxa"/>
            <w:vAlign w:val="bottom"/>
          </w:tcPr>
          <w:p>
            <w:pPr>
              <w:spacing w:after="0"/>
              <w:rPr>
                <w:sz w:val="16"/>
                <w:szCs w:val="16"/>
                <w:color w:val="auto"/>
              </w:rPr>
            </w:pPr>
          </w:p>
        </w:tc>
        <w:tc>
          <w:tcPr>
            <w:tcW w:w="30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(Full title of Plan)</w:t>
            </w:r>
          </w:p>
        </w:tc>
        <w:tc>
          <w:tcPr>
            <w:tcW w:w="1960" w:type="dxa"/>
            <w:vAlign w:val="bottom"/>
          </w:tcPr>
          <w:p>
            <w:pPr>
              <w:spacing w:after="0"/>
              <w:rPr>
                <w:sz w:val="16"/>
                <w:szCs w:val="16"/>
                <w:color w:val="auto"/>
              </w:rPr>
            </w:pPr>
          </w:p>
        </w:tc>
      </w:tr>
      <w:tr>
        <w:trPr>
          <w:trHeight w:val="393"/>
        </w:trPr>
        <w:tc>
          <w:tcPr>
            <w:tcW w:w="3060" w:type="dxa"/>
            <w:vAlign w:val="bottom"/>
          </w:tcPr>
          <w:p>
            <w:pPr>
              <w:spacing w:after="0"/>
              <w:rPr>
                <w:sz w:val="24"/>
                <w:szCs w:val="24"/>
                <w:color w:val="auto"/>
              </w:rPr>
            </w:pPr>
          </w:p>
        </w:tc>
        <w:tc>
          <w:tcPr>
            <w:tcW w:w="30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Michael Massaro</w:t>
            </w:r>
          </w:p>
        </w:tc>
        <w:tc>
          <w:tcPr>
            <w:tcW w:w="19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30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c>
          <w:tcPr>
            <w:tcW w:w="196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30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Flywire Corporation</w:t>
            </w:r>
          </w:p>
        </w:tc>
        <w:tc>
          <w:tcPr>
            <w:tcW w:w="196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30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141 Tremont St #10</w:t>
            </w:r>
          </w:p>
        </w:tc>
        <w:tc>
          <w:tcPr>
            <w:tcW w:w="1960" w:type="dxa"/>
            <w:vAlign w:val="bottom"/>
          </w:tcPr>
          <w:p>
            <w:pPr>
              <w:spacing w:after="0"/>
              <w:rPr>
                <w:sz w:val="18"/>
                <w:szCs w:val="18"/>
                <w:color w:val="auto"/>
              </w:rPr>
            </w:pPr>
          </w:p>
        </w:tc>
      </w:tr>
      <w:tr>
        <w:trPr>
          <w:trHeight w:val="214"/>
        </w:trPr>
        <w:tc>
          <w:tcPr>
            <w:tcW w:w="3060" w:type="dxa"/>
            <w:vAlign w:val="bottom"/>
          </w:tcPr>
          <w:p>
            <w:pPr>
              <w:spacing w:after="0"/>
              <w:rPr>
                <w:sz w:val="18"/>
                <w:szCs w:val="18"/>
                <w:color w:val="auto"/>
              </w:rPr>
            </w:pPr>
          </w:p>
        </w:tc>
        <w:tc>
          <w:tcPr>
            <w:tcW w:w="30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Boston, MA 02111</w:t>
            </w:r>
          </w:p>
        </w:tc>
        <w:tc>
          <w:tcPr>
            <w:tcW w:w="1960" w:type="dxa"/>
            <w:vAlign w:val="bottom"/>
          </w:tcPr>
          <w:p>
            <w:pPr>
              <w:spacing w:after="0"/>
              <w:rPr>
                <w:sz w:val="18"/>
                <w:szCs w:val="18"/>
                <w:color w:val="auto"/>
              </w:rPr>
            </w:pPr>
          </w:p>
        </w:tc>
      </w:tr>
      <w:tr>
        <w:trPr>
          <w:trHeight w:val="190"/>
        </w:trPr>
        <w:tc>
          <w:tcPr>
            <w:tcW w:w="6080" w:type="dxa"/>
            <w:vAlign w:val="bottom"/>
            <w:gridSpan w:val="3"/>
          </w:tcPr>
          <w:p>
            <w:pPr>
              <w:jc w:val="center"/>
              <w:ind w:left="2275"/>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c>
          <w:tcPr>
            <w:tcW w:w="1960" w:type="dxa"/>
            <w:vAlign w:val="bottom"/>
          </w:tcPr>
          <w:p>
            <w:pPr>
              <w:spacing w:after="0"/>
              <w:rPr>
                <w:sz w:val="16"/>
                <w:szCs w:val="16"/>
                <w:color w:val="auto"/>
              </w:rPr>
            </w:pPr>
          </w:p>
        </w:tc>
      </w:tr>
      <w:tr>
        <w:trPr>
          <w:trHeight w:val="390"/>
        </w:trPr>
        <w:tc>
          <w:tcPr>
            <w:tcW w:w="5380" w:type="dxa"/>
            <w:vAlign w:val="bottom"/>
            <w:gridSpan w:val="2"/>
          </w:tcPr>
          <w:p>
            <w:pPr>
              <w:jc w:val="center"/>
              <w:ind w:left="2975"/>
              <w:spacing w:after="0"/>
              <w:rPr>
                <w:sz w:val="20"/>
                <w:szCs w:val="20"/>
                <w:color w:val="auto"/>
              </w:rPr>
            </w:pPr>
            <w:r>
              <w:rPr>
                <w:rFonts w:ascii="Times New Roman" w:cs="Times New Roman" w:eastAsia="Times New Roman" w:hAnsi="Times New Roman"/>
                <w:sz w:val="18"/>
                <w:szCs w:val="18"/>
                <w:b w:val="1"/>
                <w:bCs w:val="1"/>
                <w:color w:val="auto"/>
                <w:w w:val="99"/>
              </w:rPr>
              <w:t>(617) 329-4524</w:t>
            </w:r>
          </w:p>
        </w:tc>
        <w:tc>
          <w:tcPr>
            <w:tcW w:w="7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90"/>
        </w:trPr>
        <w:tc>
          <w:tcPr>
            <w:tcW w:w="8040" w:type="dxa"/>
            <w:vAlign w:val="bottom"/>
            <w:gridSpan w:val="4"/>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tc>
      </w:tr>
      <w:tr>
        <w:trPr>
          <w:trHeight w:val="334"/>
        </w:trPr>
        <w:tc>
          <w:tcPr>
            <w:tcW w:w="30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26"/>
        </w:trPr>
        <w:tc>
          <w:tcPr>
            <w:tcW w:w="3060" w:type="dxa"/>
            <w:vAlign w:val="bottom"/>
          </w:tcPr>
          <w:p>
            <w:pPr>
              <w:spacing w:after="0"/>
              <w:rPr>
                <w:sz w:val="24"/>
                <w:szCs w:val="24"/>
                <w:color w:val="auto"/>
              </w:rPr>
            </w:pPr>
          </w:p>
        </w:tc>
        <w:tc>
          <w:tcPr>
            <w:tcW w:w="30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1960" w:type="dxa"/>
            <w:vAlign w:val="bottom"/>
          </w:tcPr>
          <w:p>
            <w:pPr>
              <w:spacing w:after="0"/>
              <w:rPr>
                <w:sz w:val="24"/>
                <w:szCs w:val="24"/>
                <w:color w:val="auto"/>
              </w:rPr>
            </w:pPr>
          </w:p>
        </w:tc>
      </w:tr>
      <w:tr>
        <w:trPr>
          <w:trHeight w:val="437"/>
        </w:trPr>
        <w:tc>
          <w:tcPr>
            <w:tcW w:w="608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rPr>
              <w:t>David D. Gammell</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Peter Butterfield</w:t>
            </w:r>
          </w:p>
        </w:tc>
      </w:tr>
      <w:tr>
        <w:trPr>
          <w:trHeight w:val="216"/>
        </w:trPr>
        <w:tc>
          <w:tcPr>
            <w:tcW w:w="608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Keith J. Scherer</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&amp; Chief</w:t>
            </w:r>
          </w:p>
        </w:tc>
      </w:tr>
      <w:tr>
        <w:trPr>
          <w:trHeight w:val="216"/>
        </w:trPr>
        <w:tc>
          <w:tcPr>
            <w:tcW w:w="6080" w:type="dxa"/>
            <w:vAlign w:val="bottom"/>
            <w:gridSpan w:val="3"/>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Gunderson Dettmer Stough Villeneuve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Compliance Officer</w:t>
            </w:r>
          </w:p>
        </w:tc>
      </w:tr>
      <w:tr>
        <w:trPr>
          <w:trHeight w:val="216"/>
        </w:trPr>
        <w:tc>
          <w:tcPr>
            <w:tcW w:w="608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rPr>
              <w:t>Franklin &amp; Hachigian, LLP</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Flywire Corporation</w:t>
            </w:r>
          </w:p>
        </w:tc>
      </w:tr>
      <w:tr>
        <w:trPr>
          <w:trHeight w:val="216"/>
        </w:trPr>
        <w:tc>
          <w:tcPr>
            <w:tcW w:w="608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One Marina Park Drive, Suite 900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141 Tremont St #10</w:t>
            </w:r>
          </w:p>
        </w:tc>
      </w:tr>
      <w:tr>
        <w:trPr>
          <w:trHeight w:val="216"/>
        </w:trPr>
        <w:tc>
          <w:tcPr>
            <w:tcW w:w="6080" w:type="dxa"/>
            <w:vAlign w:val="bottom"/>
            <w:gridSpan w:val="3"/>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rPr>
              <w:t>Boston, MA 02210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Boston, MA 02111</w:t>
            </w:r>
          </w:p>
        </w:tc>
      </w:tr>
      <w:tr>
        <w:trPr>
          <w:trHeight w:val="238"/>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(617) 648-9100</w:t>
            </w:r>
          </w:p>
        </w:tc>
        <w:tc>
          <w:tcPr>
            <w:tcW w:w="2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(617) 329-4524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65405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941" w:gutter="0" w:footer="0" w:header="0"/>
        </w:sectPr>
      </w:pPr>
    </w:p>
    <w:bookmarkStart w:id="1" w:name="page2"/>
    <w:bookmarkEnd w:id="1"/>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1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registers additional shares of voting common stock to be issued pursuant to the Registrant’s 2021 Equity Incentive Plan and 2021 Employee Stock Purchase Plan. The information contained in the Registrant’s registration statement on Form S-8 (SEC File No. 333-256695), together with all exhibits filed therewith or incorporated therein by reference, are hereby incorporated by reference pursuant to General Instruction E to Form S-8.</w:t>
      </w:r>
    </w:p>
    <w:p>
      <w:pPr>
        <w:sectPr>
          <w:pgSz w:w="11900" w:h="16838" w:orient="portrait"/>
          <w:cols w:equalWidth="0" w:num="1">
            <w:col w:w="10700"/>
          </w:cols>
          <w:pgMar w:left="440" w:top="266" w:right="7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760" w:type="dxa"/>
            <w:vAlign w:val="bottom"/>
            <w:gridSpan w:val="5"/>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60" w:type="dxa"/>
            <w:vAlign w:val="bottom"/>
            <w:gridSpan w:val="5"/>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INFORMATION REQUIRED IN THE REGISTRATION STATEMENT</w:t>
            </w:r>
          </w:p>
        </w:tc>
        <w:tc>
          <w:tcPr>
            <w:tcW w:w="0" w:type="dxa"/>
            <w:vAlign w:val="bottom"/>
          </w:tcPr>
          <w:p>
            <w:pPr>
              <w:spacing w:after="0"/>
              <w:rPr>
                <w:sz w:val="1"/>
                <w:szCs w:val="1"/>
                <w:color w:val="auto"/>
              </w:rPr>
            </w:pPr>
          </w:p>
        </w:tc>
      </w:tr>
      <w:tr>
        <w:trPr>
          <w:trHeight w:val="283"/>
        </w:trPr>
        <w:tc>
          <w:tcPr>
            <w:tcW w:w="110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0" w:type="dxa"/>
            <w:vAlign w:val="bottom"/>
          </w:tcPr>
          <w:p>
            <w:pPr>
              <w:spacing w:after="0"/>
              <w:rPr>
                <w:sz w:val="1"/>
                <w:szCs w:val="1"/>
                <w:color w:val="auto"/>
              </w:rPr>
            </w:pPr>
          </w:p>
        </w:tc>
      </w:tr>
      <w:tr>
        <w:trPr>
          <w:trHeight w:val="453"/>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8760" w:type="dxa"/>
            <w:vAlign w:val="bottom"/>
            <w:gridSpan w:val="5"/>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60" w:type="dxa"/>
            <w:vAlign w:val="bottom"/>
            <w:gridSpan w:val="5"/>
            <w:vMerge w:val="restart"/>
          </w:tcPr>
          <w:p>
            <w:pPr>
              <w:ind w:left="30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76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980" w:type="dxa"/>
            <w:vAlign w:val="bottom"/>
            <w:gridSpan w:val="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Opinion of Gunderson Dettmer Stough Villeneuve Franklin &amp; Hachigian, LLP.</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93"/>
              </w:rPr>
              <w:t>23.1*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Consent of PricewaterhouseCoopers LLP, independent registered public accounting firm.</w:t>
              </w:r>
            </w:hyperlink>
          </w:p>
        </w:tc>
        <w:tc>
          <w:tcPr>
            <w:tcW w:w="35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93"/>
              </w:rPr>
              <w:t>23.2*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80" w:type="dxa"/>
            <w:vAlign w:val="bottom"/>
            <w:gridSpan w:val="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Consent of Gunderson Dettmer Stough Villeneuve Franklin &amp; Hachigian, LLP (included in Exhibit 5.1).</w:t>
              </w:r>
            </w:hyperlink>
          </w:p>
        </w:tc>
        <w:tc>
          <w:tcPr>
            <w:tcW w:w="0" w:type="dxa"/>
            <w:vAlign w:val="bottom"/>
          </w:tcPr>
          <w:p>
            <w:pPr>
              <w:spacing w:after="0"/>
              <w:rPr>
                <w:sz w:val="1"/>
                <w:szCs w:val="1"/>
                <w:color w:val="auto"/>
              </w:rPr>
            </w:pPr>
          </w:p>
        </w:tc>
      </w:tr>
      <w:tr>
        <w:trPr>
          <w:trHeight w:val="304"/>
        </w:trPr>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93"/>
              </w:rPr>
              <w:t>24.1*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Power of Attorney (included in the signature page to the registration statement).</w:t>
              </w:r>
            </w:hyperlink>
          </w:p>
        </w:tc>
        <w:tc>
          <w:tcPr>
            <w:tcW w:w="1760" w:type="dxa"/>
            <w:vAlign w:val="bottom"/>
            <w:tcBorders>
              <w:top w:val="single" w:sz="8" w:color="0000EE"/>
            </w:tcBorders>
            <w:gridSpan w:val="2"/>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Filing Fee Table.</w:t>
              </w:r>
            </w:hyperlink>
          </w:p>
        </w:tc>
        <w:tc>
          <w:tcPr>
            <w:tcW w:w="87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0"/>
          </w:cols>
          <w:pgMar w:left="440" w:top="266"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this 29th day of March, 2022.</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FLYWIRE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Massaro</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460"/>
          </w:cols>
          <w:pgMar w:left="440" w:top="266" w:right="9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Michael Massaro and Michael Ellis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Power of Attorney as of the date indicated.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on behalf the Registrant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420" w:type="dxa"/>
            <w:vAlign w:val="bottom"/>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5"/>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Massaro</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4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Michael Massaro</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4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Ellis</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4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Michael Ellis</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14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Phillip Riese</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4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Phillip Riese</w:t>
            </w:r>
          </w:p>
        </w:tc>
        <w:tc>
          <w:tcPr>
            <w:tcW w:w="5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 Natauri</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Jo Natauri</w:t>
            </w:r>
          </w:p>
        </w:tc>
        <w:tc>
          <w:tcPr>
            <w:tcW w:w="5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Finkelstein</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Alex Finkelstein</w:t>
            </w:r>
          </w:p>
        </w:tc>
        <w:tc>
          <w:tcPr>
            <w:tcW w:w="5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Harris</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Matt Harris</w:t>
            </w:r>
          </w:p>
        </w:tc>
        <w:tc>
          <w:tcPr>
            <w:tcW w:w="5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Edwin Santos</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Edwin Santos</w:t>
            </w:r>
          </w:p>
        </w:tc>
        <w:tc>
          <w:tcPr>
            <w:tcW w:w="5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Yvonne Hao</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42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March 29, 2022</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Yvonne Hao</w:t>
            </w:r>
          </w:p>
        </w:tc>
        <w:tc>
          <w:tcPr>
            <w:tcW w:w="510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ectPr>
          <w:pgSz w:w="11900" w:h="16838" w:orient="portrait"/>
          <w:cols w:equalWidth="0" w:num="1">
            <w:col w:w="11000"/>
          </w:cols>
          <w:pgMar w:left="440" w:top="266" w:right="4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March 29, 2022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Flywire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141 Tremont St #10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Boston, MA 02111</w:t>
      </w:r>
    </w:p>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 Flywire Corporation Registration Statement on Form S-8</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40"/>
        <w:spacing w:after="0" w:line="270" w:lineRule="auto"/>
        <w:rPr>
          <w:sz w:val="20"/>
          <w:szCs w:val="20"/>
          <w:color w:val="auto"/>
        </w:rPr>
      </w:pPr>
      <w:r>
        <w:rPr>
          <w:rFonts w:ascii="Times New Roman" w:cs="Times New Roman" w:eastAsia="Times New Roman" w:hAnsi="Times New Roman"/>
          <w:sz w:val="17"/>
          <w:szCs w:val="17"/>
          <w:color w:val="auto"/>
        </w:rPr>
        <w:t>We refer to the registration statement on Form S-8 (the “Registration Statement”) to be filed by Flywire Corporation, a Delaware corporation (the “Company”), with the Securities and Exchange Commission (the “Commission”) in connection with the registration under the Securities Act of 1933, as amended (the “Act”), of an aggregate of 6,386,554 shares of the Company’s voting common stock, $0.0001 par value per share (the “Shares”), that are issuable by the Company (i) upon the exercise or settlement of awards granted or to be granted under the Company’s 2021 Equity Incentive Plan and</w:t>
      </w:r>
    </w:p>
    <w:p>
      <w:pPr>
        <w:spacing w:after="0" w:line="3" w:lineRule="exact"/>
        <w:rPr>
          <w:sz w:val="20"/>
          <w:szCs w:val="20"/>
          <w:color w:val="auto"/>
        </w:rPr>
      </w:pPr>
    </w:p>
    <w:p>
      <w:pPr>
        <w:ind w:left="4" w:right="80" w:hanging="4"/>
        <w:spacing w:after="0" w:line="260" w:lineRule="auto"/>
        <w:tabs>
          <w:tab w:leader="none" w:pos="2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of purchase rights to acquire shares of voting common stock pursuant to the Company’s 2021 Employee Stock Purchase Plan. The Company’s 2021 Equity Incentive Plan and 2021 Employee Stock Purchase Plan are collectively referred to in this letter as the “Plans.”</w:t>
      </w:r>
    </w:p>
    <w:p>
      <w:pPr>
        <w:spacing w:after="0" w:line="181" w:lineRule="exact"/>
        <w:rPr>
          <w:sz w:val="20"/>
          <w:szCs w:val="20"/>
          <w:color w:val="auto"/>
        </w:rPr>
      </w:pPr>
    </w:p>
    <w:p>
      <w:pPr>
        <w:ind w:left="4" w:right="280"/>
        <w:spacing w:after="0" w:line="261" w:lineRule="auto"/>
        <w:rPr>
          <w:sz w:val="20"/>
          <w:szCs w:val="20"/>
          <w:color w:val="auto"/>
        </w:rPr>
      </w:pPr>
      <w:r>
        <w:rPr>
          <w:rFonts w:ascii="Times New Roman" w:cs="Times New Roman" w:eastAsia="Times New Roman" w:hAnsi="Times New Roman"/>
          <w:sz w:val="18"/>
          <w:szCs w:val="18"/>
          <w:color w:val="auto"/>
        </w:rPr>
        <w:t>As your counsel, we have examined such matters of fact and questions of law as we have deemed necessary in order to render the opinion set forth herein. In connection with our opinion expressed below, we have relied as to certain factual matters on information obtained from public officials, officers of the Company and other sources believed by us to be responsible. We express no opinion as to matters governed by any laws other than the laws of the Delaware General Corporation Law and the federal laws of the United States.</w:t>
      </w:r>
    </w:p>
    <w:p>
      <w:pPr>
        <w:spacing w:after="0" w:line="180"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we advise you that, in our opinion, when the Shares have been issued and sold pursuant to the applicable provisions of the Plans, and in accordance with the Registration Statement, such Shares will be validly issued, fully paid and nonassessable shares of the Company’s voting common stock.</w:t>
      </w:r>
    </w:p>
    <w:p>
      <w:pPr>
        <w:spacing w:after="0" w:line="176"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Gunderson Dettmer Stough Villeneuve</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Franklin &amp; Hachigian, LLP</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GUNDERSON DETTMER STOUGH VILLENEUVE</w:t>
      </w:r>
    </w:p>
    <w:p>
      <w:pPr>
        <w:spacing w:after="0" w:line="23" w:lineRule="exact"/>
        <w:rPr>
          <w:sz w:val="20"/>
          <w:szCs w:val="20"/>
          <w:color w:val="auto"/>
        </w:rPr>
      </w:pPr>
    </w:p>
    <w:p>
      <w:pPr>
        <w:ind w:left="6804"/>
        <w:spacing w:after="0"/>
        <w:rPr>
          <w:sz w:val="20"/>
          <w:szCs w:val="20"/>
          <w:color w:val="auto"/>
        </w:rPr>
      </w:pPr>
      <w:r>
        <w:rPr>
          <w:rFonts w:ascii="Times New Roman" w:cs="Times New Roman" w:eastAsia="Times New Roman" w:hAnsi="Times New Roman"/>
          <w:sz w:val="18"/>
          <w:szCs w:val="18"/>
          <w:color w:val="auto"/>
        </w:rPr>
        <w:t>FRANKLIN &amp; HACHIGIAN, LLP</w:t>
      </w:r>
    </w:p>
    <w:p>
      <w:pPr>
        <w:sectPr>
          <w:pgSz w:w="11900" w:h="16838" w:orient="portrait"/>
          <w:cols w:equalWidth="0" w:num="1">
            <w:col w:w="11024"/>
          </w:cols>
          <w:pgMar w:left="436"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Flywire Corporation of our report dated March 29, 2022, relating to the financial statements, appearing in the Company’s Annual Report on Form 10-K for the year ended December 31, 2021.</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2022</w:t>
      </w:r>
    </w:p>
    <w:p>
      <w:pPr>
        <w:sectPr>
          <w:pgSz w:w="11900" w:h="16838" w:orient="portrait"/>
          <w:cols w:equalWidth="0" w:num="1">
            <w:col w:w="11020"/>
          </w:cols>
          <w:pgMar w:left="440" w:top="11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(Form Type)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Flywire Corporation</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1040" w:type="dxa"/>
            <w:vAlign w:val="bottom"/>
            <w:tcBorders>
              <w:top w:val="single" w:sz="8" w:color="auto"/>
              <w:left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42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1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9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160" w:type="dxa"/>
            <w:vAlign w:val="bottom"/>
            <w:tcBorders>
              <w:right w:val="single" w:sz="8" w:color="auto"/>
            </w:tcBorders>
          </w:tcPr>
          <w:p>
            <w:pPr>
              <w:ind w:left="380"/>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Offering Price Per</w:t>
            </w: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65"/>
        </w:trPr>
        <w:tc>
          <w:tcPr>
            <w:tcW w:w="104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Times New Roman" w:cs="Times New Roman" w:eastAsia="Times New Roman" w:hAnsi="Times New Roman"/>
                <w:sz w:val="13"/>
                <w:szCs w:val="13"/>
                <w:color w:val="auto"/>
                <w:w w:val="95"/>
              </w:rPr>
              <w:t>Security Type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Rule(4)</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Registered(1)</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Fee(5)</w:t>
            </w:r>
          </w:p>
        </w:tc>
        <w:tc>
          <w:tcPr>
            <w:tcW w:w="0" w:type="dxa"/>
            <w:vAlign w:val="bottom"/>
          </w:tcPr>
          <w:p>
            <w:pPr>
              <w:spacing w:after="0"/>
              <w:rPr>
                <w:sz w:val="1"/>
                <w:szCs w:val="1"/>
                <w:color w:val="auto"/>
              </w:rPr>
            </w:pPr>
          </w:p>
        </w:tc>
      </w:tr>
      <w:tr>
        <w:trPr>
          <w:trHeight w:val="206"/>
        </w:trPr>
        <w:tc>
          <w:tcPr>
            <w:tcW w:w="1040" w:type="dxa"/>
            <w:vAlign w:val="bottom"/>
            <w:tcBorders>
              <w:left w:val="single" w:sz="8" w:color="auto"/>
              <w:right w:val="single" w:sz="8" w:color="auto"/>
            </w:tcBorders>
          </w:tcPr>
          <w:p>
            <w:pPr>
              <w:jc w:val="center"/>
              <w:ind w:left="39"/>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7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5"/>
              </w:rPr>
              <w:t>Voting</w:t>
            </w:r>
          </w:p>
        </w:tc>
        <w:tc>
          <w:tcPr>
            <w:tcW w:w="102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10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w:t>
            </w:r>
          </w:p>
        </w:tc>
        <w:tc>
          <w:tcPr>
            <w:tcW w:w="10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Rule 457(h)</w:t>
            </w: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$0.0001</w:t>
            </w:r>
          </w:p>
        </w:tc>
        <w:tc>
          <w:tcPr>
            <w:tcW w:w="1020" w:type="dxa"/>
            <w:vAlign w:val="bottom"/>
            <w:tcBorders>
              <w:right w:val="single" w:sz="8" w:color="auto"/>
            </w:tcBorders>
            <w:vMerge w:val="continue"/>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0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5,322,128 (2)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$27.3750 (4)</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$145,693,254.00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0.0000927</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$13,505.76</w:t>
            </w:r>
          </w:p>
        </w:tc>
        <w:tc>
          <w:tcPr>
            <w:tcW w:w="0" w:type="dxa"/>
            <w:vAlign w:val="bottom"/>
          </w:tcPr>
          <w:p>
            <w:pPr>
              <w:spacing w:after="0"/>
              <w:rPr>
                <w:sz w:val="1"/>
                <w:szCs w:val="1"/>
                <w:color w:val="auto"/>
              </w:rPr>
            </w:pPr>
          </w:p>
        </w:tc>
      </w:tr>
      <w:tr>
        <w:trPr>
          <w:trHeight w:val="211"/>
        </w:trPr>
        <w:tc>
          <w:tcPr>
            <w:tcW w:w="1040" w:type="dxa"/>
            <w:vAlign w:val="bottom"/>
            <w:tcBorders>
              <w:left w:val="single" w:sz="8" w:color="auto"/>
              <w:right w:val="single" w:sz="8" w:color="auto"/>
            </w:tcBorders>
          </w:tcPr>
          <w:p>
            <w:pPr>
              <w:jc w:val="center"/>
              <w:ind w:left="39"/>
              <w:spacing w:after="0"/>
              <w:rPr>
                <w:sz w:val="20"/>
                <w:szCs w:val="20"/>
                <w:color w:val="auto"/>
              </w:rPr>
            </w:pPr>
            <w:r>
              <w:rPr>
                <w:rFonts w:ascii="Times New Roman" w:cs="Times New Roman" w:eastAsia="Times New Roman" w:hAnsi="Times New Roman"/>
                <w:sz w:val="18"/>
                <w:szCs w:val="18"/>
                <w:color w:val="auto"/>
                <w:w w:val="99"/>
              </w:rPr>
              <w:t>Equity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Voting</w:t>
            </w:r>
          </w:p>
        </w:tc>
        <w:tc>
          <w:tcPr>
            <w:tcW w:w="10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10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stock,</w:t>
            </w:r>
          </w:p>
        </w:tc>
        <w:tc>
          <w:tcPr>
            <w:tcW w:w="10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Rule 457(h)</w:t>
            </w:r>
          </w:p>
        </w:tc>
        <w:tc>
          <w:tcPr>
            <w:tcW w:w="11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$0.0001</w:t>
            </w:r>
          </w:p>
        </w:tc>
        <w:tc>
          <w:tcPr>
            <w:tcW w:w="1020" w:type="dxa"/>
            <w:vAlign w:val="bottom"/>
            <w:tcBorders>
              <w:right w:val="single" w:sz="8" w:color="auto"/>
            </w:tcBorders>
            <w:vMerge w:val="continue"/>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040" w:type="dxa"/>
            <w:vAlign w:val="bottom"/>
            <w:tcBorders>
              <w:left w:val="single" w:sz="8" w:color="auto"/>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1,064,426 (3)</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$23.2688 (4)</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$24,767,862.49</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0.0000927</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$2,295.98</w:t>
            </w:r>
          </w:p>
        </w:tc>
        <w:tc>
          <w:tcPr>
            <w:tcW w:w="0" w:type="dxa"/>
            <w:vAlign w:val="bottom"/>
          </w:tcPr>
          <w:p>
            <w:pPr>
              <w:spacing w:after="0"/>
              <w:rPr>
                <w:sz w:val="1"/>
                <w:szCs w:val="1"/>
                <w:color w:val="auto"/>
              </w:rPr>
            </w:pPr>
          </w:p>
        </w:tc>
      </w:tr>
      <w:tr>
        <w:trPr>
          <w:trHeight w:val="241"/>
        </w:trPr>
        <w:tc>
          <w:tcPr>
            <w:tcW w:w="1040" w:type="dxa"/>
            <w:vAlign w:val="bottom"/>
            <w:tcBorders>
              <w:left w:val="single" w:sz="8" w:color="auto"/>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gridSpan w:val="3"/>
          </w:tcPr>
          <w:p>
            <w:pPr>
              <w:jc w:val="center"/>
              <w:ind w:right="824"/>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0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$170,461,116.49</w:t>
            </w: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$15,801.75</w:t>
            </w: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1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1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$15,801.75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80" w:hanging="424"/>
        <w:spacing w:after="0" w:line="253"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Registrant’s voting common stock, par value $0.0001 per share (the “Common Stock”), that become issuable under (a) the Registrant’s 2021 Equity Incentive Plan (the “2021 EIP”) and (b) the Registrant’s 2021 Employee Stock Purchase Plan (the “2021 ESPP”), as a result of any stock dividend, stock split, recapitalization, or other similar transaction effected without the receipt of consideration that results in an increase to the number of outstanding shares of Registrant’s Common Stock, as applicable. Common Stock issuable under the 2021 EIP and 2021 ESPP were previously registered on a Registration Statement on June 2, 2021 (File No. 333-256695).</w:t>
      </w:r>
    </w:p>
    <w:p>
      <w:pPr>
        <w:spacing w:after="0" w:line="5"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5,322,128 shares of Common Stock that were automatically added to the shares reserved for issuance under the 2021 EIP on January 1, 2022 pursuant to an “evergreen” provision contained in the 2021 EIP (the “2021 EIP Evergreen Shares”). The number of shares of Common Stock available for issuance under the 2021 EIP is subject to an automatic annual increase on the first day of each fiscal year of the Registrant equal to the least of (i) 5% of the total number of Common Stock actually issued and outstanding on the last day of the preceding fiscal year, or (ii) a number of shares of Common Stock determined by the Registrant’s board of directors.</w:t>
      </w:r>
    </w:p>
    <w:p>
      <w:pPr>
        <w:spacing w:after="0" w:line="1"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1,064,426 shares of Common Stock that were automatically added to the shares reserved for issuance under the 2021 ESPP on January 1, 2022 pursuant to an “evergreen” provision contained in the 2021 ESPP (the “2021 ESPP Evergreen Shares”). The number of shares of Common Stock available for issuance under the 2021 ESPP is subject to an automatic annual increase on the first day of each fiscal year of the Registrant equal to the least of (i) one percent (1%) of the total number of shares of Common Stock actually issued and outstanding on the last day of the preceding fiscal year, (ii) 2,000,000 shares of Common Stock, or (iii) a number of shares of Common Stock determined by the Registrant’s board of directors.</w:t>
      </w:r>
    </w:p>
    <w:p>
      <w:pPr>
        <w:spacing w:after="0" w:line="2"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estimate is made pursuant to Rule 457(h)(1) and Rule 457(c) of the Securities Act solely for purposes of calculating the registration fee. The price per share and aggregate offering price of the 2021 EIP Evergreen Shares are based upon the average of the high and low prices of the Common Stock on March 23, 2022, as reported on the Nasdaq Global Select Market, which date is within five business days prior to the filing of this Registration Statement. The price per share and aggregate offering price of the 2021 ESPP Evergreen Shares are based upon the average of the high and low prices of the Common Stock on March 23, 2022, as reported on the Nasdaq Global Select Market, which date is within five</w:t>
      </w:r>
    </w:p>
    <w:p>
      <w:pPr>
        <w:spacing w:after="0" w:line="1" w:lineRule="exact"/>
        <w:rPr>
          <w:rFonts w:ascii="Times New Roman" w:cs="Times New Roman" w:eastAsia="Times New Roman" w:hAnsi="Times New Roman"/>
          <w:sz w:val="18"/>
          <w:szCs w:val="18"/>
          <w:color w:val="auto"/>
        </w:rPr>
      </w:pPr>
    </w:p>
    <w:p>
      <w:pPr>
        <w:ind w:left="424"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days prior to the filing of this Registration Statement, multiplied by 85%, which is the percentage of the price per share applicable to purchasers under the 2021 ESPP.</w:t>
      </w: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2"/>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2022-03-29T16:39:58Z</dcterms:created>
  <dcterms:modified xsi:type="dcterms:W3CDTF">2022-03-29T16:39:58Z</dcterms:modified>
</cp:coreProperties>
</file>