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8653d8k.htm"/>
      <w:bookmarkStart w:id="1" w:name="ksd24865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141 Tremont St #10</w:t>
            </w:r>
          </w:p>
        </w:tc>
      </w:tr>
      <w:tr>
        <w:trPr/>
        <w:tc>
          <w:tcPr>
            <w:tcW w:w="5285" w:type="dxa"/>
            <w:tcBorders/>
            <w:vAlign w:val="center"/>
          </w:tcPr>
          <w:p>
            <w:pPr>
              <w:pStyle w:val="TableContents"/>
              <w:bidi w:val="0"/>
              <w:spacing w:before="0" w:after="283"/>
              <w:jc w:val="center"/>
              <w:rPr>
                <w:b/>
              </w:rPr>
            </w:pPr>
            <w:r>
              <w:rPr>
                <w:b/>
              </w:rPr>
              <w:t>Boston, MA 02111</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4985"/>
        <w:gridCol w:w="60"/>
        <w:gridCol w:w="740"/>
        <w:gridCol w:w="60"/>
        <w:gridCol w:w="255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2025, Flywire Corporation (“Flywire” or the “Company”) issued a press release (the “Press Release”) and is holding a conference call regarding its preliminary and unaudited financial results for the quarter ended June 30, 2025.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continuing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and Quarterly Report on Form 10-Q for the quarter ended March 31, 2025 which are on file with the Securities and Exchange Commission (SEC) and available on the SEC’s website at https://www.sec.gov/. Additional factors may be described in those sections of Flywire’s Quarterly Report on Form 10-Q for the quarter ended June 30, 2025, expected to be filed in the third quarter of 2025.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2025,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48653dex991.htm">
              <w:r>
                <w:rPr>
                  <w:rStyle w:val="InternetLink"/>
                </w:rPr>
                <w:t xml:space="preserve">Flywire Corporation Press Release dated August 5, 2025.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48653dex992.htm">
              <w:r>
                <w:rPr>
                  <w:rStyle w:val="InternetLink"/>
                </w:rPr>
                <w:t xml:space="preserve">Flywire Corporation Investor Presentation dated August 5, 2025.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Cosmin Pitigoi</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Cosmin Pitigoi</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5, 2025 </w:t>
      </w:r>
    </w:p>
    <w:p>
      <w:pPr>
        <w:pStyle w:val="TextBody"/>
        <w:bidi w:val="0"/>
        <w:spacing w:before="0" w:after="0"/>
        <w:jc w:val="right"/>
        <w:rPr>
          <w:rFonts w:ascii="Times New Roman" w:hAnsi="Times New Roman"/>
          <w:b/>
          <w:sz w:val="20"/>
        </w:rPr>
      </w:pPr>
      <w:bookmarkStart w:id="2" w:name="d248653dex991.htm"/>
      <w:bookmarkStart w:id="3" w:name="ksd248653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Flywire Reports Second Quarter 2025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Revenue Increased 27.2%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Revenue Less Ancillary Services Increased 27.7%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Previous Fiscal Year 2025 revenue guidance reaffirmed, aEBITDA margin guidance raised by 75 bps at midpoint </w:t>
      </w:r>
    </w:p>
    <w:p>
      <w:pPr>
        <w:pStyle w:val="TextBody"/>
        <w:bidi w:val="0"/>
        <w:spacing w:before="240" w:after="0"/>
        <w:jc w:val="left"/>
        <w:rPr>
          <w:rFonts w:ascii="Times New Roman" w:hAnsi="Times New Roman"/>
          <w:sz w:val="20"/>
        </w:rPr>
      </w:pPr>
      <w:r>
        <w:rPr>
          <w:rFonts w:ascii="Times New Roman" w:hAnsi="Times New Roman"/>
          <w:b/>
          <w:sz w:val="20"/>
        </w:rPr>
        <w:t>Boston, MA  August</w:t>
      </w:r>
      <w:r>
        <w:rPr>
          <w:rFonts w:ascii="Times New Roman" w:hAnsi="Times New Roman"/>
          <w:sz w:val="20"/>
        </w:rPr>
        <w:t> </w:t>
      </w:r>
      <w:r>
        <w:rPr>
          <w:rFonts w:ascii="Times New Roman" w:hAnsi="Times New Roman"/>
          <w:b/>
          <w:sz w:val="20"/>
        </w:rPr>
        <w:t>5, 2025:</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second quarter ended June 30, 2025. </w:t>
      </w:r>
    </w:p>
    <w:p>
      <w:pPr>
        <w:pStyle w:val="TextBody"/>
        <w:bidi w:val="0"/>
        <w:spacing w:before="360" w:after="0"/>
        <w:jc w:val="left"/>
        <w:rPr>
          <w:rFonts w:ascii="Times New Roman" w:hAnsi="Times New Roman"/>
          <w:i/>
          <w:sz w:val="20"/>
        </w:rPr>
      </w:pPr>
      <w:r>
        <w:rPr>
          <w:rFonts w:ascii="Times New Roman" w:hAnsi="Times New Roman"/>
          <w:i/>
          <w:sz w:val="20"/>
        </w:rPr>
        <w:t xml:space="preserve">Our strong Q2 results and double-digit FX-Neutral revenue growth are a testament to the high-performance culture weve built at Flywire and the value we provide our clients, said Mike Massaro, CEO of Flywire. Im incredibly proud of our team for their skill, creativity, and unwavering commitment to client success, which has enabled us to win new business and increase our market share. We have proven that our solutions are the right fit for the verticals we serve, and we continue to expand our engagement with clients through our land and expand strategy. This success, even amidst global uncertainty and headwinds our clients face, reflects the true character of our FlyMates. Looking ahead, I am excited about the strength of our competitive moat and the pace of innovation in our product roadmap. This can be seen clearly in our results, and the momentum is just beginning.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2025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27.2% to $131.9 million in the Second quarter of 2025, compared to $103.7 million in the Second quarter of 2024. Sertifi positively impacted revenue by $12.3 million in the Second quarter of 2025 adding 12 points of revenue growth year over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$75.1 million, resulting in Gross Margin of 57.0%, for the Second quarter of 2025, compared to Gross Profit of $61.9 million and Gross Margin of 59.7% in the Second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($12.0) million in the Second quarter of 2025, compared to net loss of ($13.9) million in the Second quarter of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Key Business Performance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nearly 200 new clients across all verticals, excluding the added Sertifi properties and Invoiced software accounts signed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Recognized by luxury travel network Virtuoso as a Technology Partner, gaining access to 2,300 preferred suppliers across 100 countries and $35 billion in annual luxury travel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Scaled the fast-growing Travel vertical, expanding Flywires client roster globally and growing Sertifis revenue by +35% year-over-year on a pro-forma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Deepened award-winning education partnership with Ellucian, deploying new integrations into Banner via Ellucian Ethos to streamline implementations for institutions in the U.S., U.K., and globally.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Collected more than $320 million in past-due tuition at U.S. institutions, preserving enrollment for 161,000+ students through its Student Financial Software (SFS).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Named to the PCI Security Standards Council 2025-2027 Board of Advisors to help shape global payment security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product and payment innovation in the UK Higher Education market, unveiling an enhanced solution for financial aid disbursements.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Named one of the Best Companies to Work for 2025-2026 by US News &amp; World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a partnership with a leading provider of stablecoin-native payment infrastructure, to integrate stablecoin payment capabilities into Flywires global payment network.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22% to $5.9 billion in the Second quarter of 2025, compared to $4.9 billion in the Second quarter of 2024. Excluding Sertifi, Total Payment Volume increased 17% to $5.7 billion in the Second quarter of 2025, compared to $4.9 billion in the Second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27.7% to $127.5 million in the Second quarter of 2025, compared to $99.9 million in the Second quarter of 2024. On an FX-neutral basis, Revenue Less Ancillary Services increased 25% year-over-year. Excluding Sertifi, Revenue Less Ancillary Services increased 15.4% year over year to $115.2 million or 12.7% year over year on an FX-Neutral basis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$77.9 million, up 22.7% compared to $63.4 million in the Second quarter of 2024. Adjusted Gross Margin was 61.1% in the Second quarter of 2025 compared to 63.5% in the Second quarter of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$16.6 million in the Second quarter of 2025, compared to $5.8 million in the Second quarter of 2024. Our adjusted EBITDA margins increased over 700 bps year-over-year to 13%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0.6 million shares of our common stock for approximately $5.0 million (including commissions), with approximately $52 million remaining in the share repurchase program as of the end of the Second quarter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Revolving Credit Facility from $125 million to $300 million with improved terms, expanded banking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repurchase program has been increased by $150 million from the approximately $50 million that was remaining as of the end of the Second quarter 2025, bringing total authorization for future share repurchases to approximately $200 million.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Guidance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Second</w:t>
      </w:r>
      <w:r>
        <w:rPr>
          <w:rFonts w:ascii="Times New Roman" w:hAnsi="Times New Roman"/>
          <w:sz w:val="20"/>
        </w:rPr>
        <w:t xml:space="preserve"> </w:t>
      </w:r>
      <w:r>
        <w:rPr>
          <w:rFonts w:ascii="Times New Roman" w:hAnsi="Times New Roman"/>
          <w:i/>
          <w:sz w:val="20"/>
        </w:rPr>
        <w:t>quarter 2025 performance significantly exceeded expectations for both FX Neutral Revenue and Adjusted EBITDA, as we delivered on go-to-market execution, strategic investments and operational efficiency,</w:t>
      </w:r>
      <w:r>
        <w:rPr>
          <w:rFonts w:ascii="Times New Roman" w:hAnsi="Times New Roman"/>
          <w:sz w:val="20"/>
        </w:rPr>
        <w:t> said Flywires CFO, Cosmin Pitigoi. </w:t>
      </w:r>
      <w:r>
        <w:rPr>
          <w:rFonts w:ascii="Times New Roman" w:hAnsi="Times New Roman"/>
          <w:i/>
          <w:sz w:val="20"/>
        </w:rPr>
        <w:t>Acknowledging student visa headwinds in the US, we are maintaining our revenue guidance and raising our adjusted EBITDA margin outlook for the full-year 2025. With ample liquidity supported by an expanded credit line and an increased buyback authorization, we are well-positioned to remain agile in our capital allocation  focusing on disciplined investments that drive long-term shareholder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August 5, 2025, Flywire anticipates the following results for the third quarter and fiscal year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75"/>
        <w:gridCol w:w="538"/>
        <w:gridCol w:w="1726"/>
      </w:tblGrid>
      <w:tr>
        <w:trPr/>
        <w:tc>
          <w:tcPr>
            <w:tcW w:w="46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46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726" w:type="dxa"/>
            <w:tcBorders>
              <w:bottom w:val="single" w:sz="8" w:space="0" w:color="000000"/>
            </w:tcBorders>
            <w:tcMar>
              <w:bottom w:w="28" w:type="dxa"/>
            </w:tcMar>
            <w:vAlign w:val="bottom"/>
          </w:tcPr>
          <w:p>
            <w:pPr>
              <w:pStyle w:val="TableContents"/>
              <w:bidi w:val="0"/>
              <w:spacing w:before="0" w:after="283"/>
              <w:jc w:val="center"/>
              <w:rPr>
                <w:b/>
              </w:rPr>
            </w:pPr>
            <w:r>
              <w:rPr>
                <w:b/>
              </w:rPr>
              <w:t>Fiscal Year 2025</w:t>
            </w:r>
          </w:p>
        </w:tc>
      </w:tr>
      <w:tr>
        <w:trPr/>
        <w:tc>
          <w:tcPr>
            <w:tcW w:w="4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w:t>
            </w:r>
          </w:p>
        </w:tc>
        <w:tc>
          <w:tcPr>
            <w:tcW w:w="538"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center"/>
              <w:rPr/>
            </w:pPr>
            <w:r>
              <w:rPr/>
              <w:t>17-23% YoY</w:t>
            </w:r>
          </w:p>
        </w:tc>
      </w:tr>
      <w:tr>
        <w:trPr/>
        <w:tc>
          <w:tcPr>
            <w:tcW w:w="4675" w:type="dxa"/>
            <w:tcBorders/>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 (excluding Sertifi)</w:t>
            </w:r>
          </w:p>
        </w:tc>
        <w:tc>
          <w:tcPr>
            <w:tcW w:w="538"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center"/>
              <w:rPr/>
            </w:pPr>
            <w:r>
              <w:rPr/>
              <w:t>10-14% YoY</w:t>
            </w:r>
          </w:p>
        </w:tc>
      </w:tr>
      <w:tr>
        <w:trPr/>
        <w:tc>
          <w:tcPr>
            <w:tcW w:w="4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Sertifi Revenue contribution1 of</w:t>
            </w:r>
          </w:p>
        </w:tc>
        <w:tc>
          <w:tcPr>
            <w:tcW w:w="538" w:type="dxa"/>
            <w:tcBorders/>
            <w:shd w:fill="CCEEFF" w:val="clear"/>
            <w:vAlign w:val="bottom"/>
          </w:tcPr>
          <w:p>
            <w:pPr>
              <w:pStyle w:val="TableContents"/>
              <w:bidi w:val="0"/>
              <w:spacing w:before="0" w:after="283"/>
              <w:jc w:val="left"/>
              <w:rPr/>
            </w:pPr>
            <w:r>
              <w:rPr/>
              <w:t>  </w:t>
            </w:r>
          </w:p>
        </w:tc>
        <w:tc>
          <w:tcPr>
            <w:tcW w:w="1726" w:type="dxa"/>
            <w:tcBorders/>
            <w:shd w:fill="CCEEFF" w:val="clear"/>
            <w:vAlign w:val="bottom"/>
          </w:tcPr>
          <w:p>
            <w:pPr>
              <w:pStyle w:val="TableContents"/>
              <w:bidi w:val="0"/>
              <w:spacing w:before="0" w:after="283"/>
              <w:jc w:val="center"/>
              <w:rPr/>
            </w:pPr>
            <w:r>
              <w:rPr/>
              <w:t>$35-40M</w:t>
            </w:r>
          </w:p>
        </w:tc>
      </w:tr>
      <w:tr>
        <w:trPr/>
        <w:tc>
          <w:tcPr>
            <w:tcW w:w="46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 Margin Growth</w:t>
            </w:r>
          </w:p>
        </w:tc>
        <w:tc>
          <w:tcPr>
            <w:tcW w:w="538"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center"/>
              <w:rPr/>
            </w:pPr>
            <w:r>
              <w:rPr/>
              <w:t>+200-350 bps YoY</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acquisition closed on 02/24/2025.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443"/>
        <w:gridCol w:w="614"/>
        <w:gridCol w:w="60"/>
        <w:gridCol w:w="1760"/>
        <w:gridCol w:w="62"/>
      </w:tblGrid>
      <w:tr>
        <w:trPr/>
        <w:tc>
          <w:tcPr>
            <w:tcW w:w="4443"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43"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 2025</w:t>
            </w:r>
          </w:p>
        </w:tc>
        <w:tc>
          <w:tcPr>
            <w:tcW w:w="62"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w:t>
            </w:r>
          </w:p>
        </w:tc>
        <w:tc>
          <w:tcPr>
            <w:tcW w:w="6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center"/>
              <w:rPr/>
            </w:pPr>
            <w:r>
              <w:rPr/>
              <w:t>13-21% YoY</w:t>
            </w:r>
          </w:p>
        </w:tc>
        <w:tc>
          <w:tcPr>
            <w:tcW w:w="62"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Times New Roman" w:hAnsi="Times New Roman"/>
                <w:sz w:val="20"/>
              </w:rPr>
            </w:pPr>
            <w:r>
              <w:rPr>
                <w:rFonts w:ascii="Times New Roman" w:hAnsi="Times New Roman"/>
                <w:sz w:val="20"/>
              </w:rPr>
              <w:t>FX-Neutral Revenue Less Ancillary Services Growth (excluding Sertifi)</w:t>
            </w:r>
          </w:p>
        </w:tc>
        <w:tc>
          <w:tcPr>
            <w:tcW w:w="6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center"/>
              <w:rPr/>
            </w:pPr>
            <w:r>
              <w:rPr/>
              <w:t>7-13% YoY</w:t>
            </w:r>
          </w:p>
        </w:tc>
        <w:tc>
          <w:tcPr>
            <w:tcW w:w="62"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Sertifi Revenue contribution</w:t>
            </w:r>
          </w:p>
        </w:tc>
        <w:tc>
          <w:tcPr>
            <w:tcW w:w="6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center"/>
              <w:rPr/>
            </w:pPr>
            <w:r>
              <w:rPr/>
              <w:t>$9-12M</w:t>
            </w:r>
          </w:p>
        </w:tc>
        <w:tc>
          <w:tcPr>
            <w:tcW w:w="62"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Growth</w:t>
            </w:r>
          </w:p>
        </w:tc>
        <w:tc>
          <w:tcPr>
            <w:tcW w:w="6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+50-150 bps YoY</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Second quarter financial results today at 5:00 pm ET. Hosting the call will be Mike Massaro, CEO, Rob Orgel, President and COO, and Cosmin Pitigoi,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Regarding 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less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EBITDA represents our consolidated net income (loss) in accordance with GAAP adjusted to include (i) interest expense, (ii) interest income, (iii) (benefit from) provision for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and (g) restructuring costs. Management believes that the exclusion of these amounts to calculate Adjusted EBITDA provides useful measures for period-to-period comparisons of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 - Adjusted EBITDA Margin represents Adjusted EBITDA divided by Revenue Less Ancillary Services. Management believes this presentation supplements the GAAP presentation of gross margin with a useful measure of the gross margin of the Companys payment-related services, which are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FX Neutral Revenue Less Ancillary Services and Adjusted EBITDA, excluding Sertifi - FX Neutral Revenue Less Ancillary Services and Adjusted EBITDA, excluding Sertifi, represents FX Neutral Revenue Less Ancillary Services and Adjusted EBITDA, respectively, adjusted by excluding the contributions from Sertifi. Flywire believes these measures are useful in understanding the ongoing results of our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w:t>
      </w:r>
    </w:p>
    <w:p>
      <w:pPr>
        <w:pStyle w:val="TextBody"/>
        <w:bidi w:val="0"/>
        <w:spacing w:before="240" w:after="0"/>
        <w:jc w:val="left"/>
        <w:rPr>
          <w:rFonts w:ascii="Times New Roman" w:hAnsi="Times New Roman"/>
          <w:sz w:val="20"/>
        </w:rPr>
      </w:pPr>
      <w:r>
        <w:rPr>
          <w:rFonts w:ascii="Times New Roman" w:hAnsi="Times New Roman"/>
          <w:sz w:val="20"/>
        </w:rPr>
        <w:t xml:space="preserve">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For figures in this press release reported on an FX-Neutral basis, Flywire calculates the year-over-year impact of foreign currency movements using prior period weighted average foreign currency exchange rates. </w:t>
      </w:r>
    </w:p>
    <w:p>
      <w:pPr>
        <w:pStyle w:val="TextBody"/>
        <w:bidi w:val="0"/>
        <w:spacing w:before="36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We combine our proprietary global payments network, next-gen payments platform and vertical-specific software to deliver the most important and complex payments for our clients and their customers.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 </w:t>
      </w:r>
    </w:p>
    <w:p>
      <w:pPr>
        <w:pStyle w:val="TextBody"/>
        <w:bidi w:val="0"/>
        <w:spacing w:before="240" w:after="0"/>
        <w:jc w:val="left"/>
        <w:rPr>
          <w:rFonts w:ascii="Times New Roman" w:hAnsi="Times New Roman"/>
          <w:sz w:val="20"/>
        </w:rPr>
      </w:pPr>
      <w:r>
        <w:rPr>
          <w:rFonts w:ascii="Times New Roman" w:hAnsi="Times New Roman"/>
          <w:sz w:val="20"/>
        </w:rPr>
        <w:t xml:space="preserve">Flywire supports over 4,800** clients with diverse payment methods in more than 140 currencies across more than 240 countries and territories around the world. Flywire is headquartered in Boston, MA, USA, with global offices. For more information, visit </w:t>
      </w:r>
      <w:r>
        <w:rPr>
          <w:rFonts w:ascii="Times New Roman" w:hAnsi="Times New Roman"/>
          <w:sz w:val="20"/>
          <w:u w:val="single"/>
        </w:rPr>
        <w:t>www.flywire.com</w:t>
      </w:r>
      <w:r>
        <w:rPr>
          <w:rFonts w:ascii="Times New Roman" w:hAnsi="Times New Roman"/>
          <w:sz w:val="20"/>
        </w:rPr>
        <w:t xml:space="preserve">. Follow Flywire on </w:t>
      </w:r>
      <w:r>
        <w:rPr>
          <w:rFonts w:ascii="Times New Roman" w:hAnsi="Times New Roman"/>
          <w:sz w:val="20"/>
          <w:u w:val="single"/>
        </w:rPr>
        <w:t>X</w:t>
      </w:r>
      <w:r>
        <w:rPr>
          <w:rFonts w:ascii="Times New Roman" w:hAnsi="Times New Roman"/>
          <w:sz w:val="20"/>
        </w:rPr>
        <w:t xml:space="preserve"> (formerly known as Twitter),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Facebook</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**Excludes clients from Flywires Invoiced and Sertifi acquisitions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and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continuing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and Quarterly Report on Form 10-Q for the quarter ended March 31, 2025 which are on file with the Securities and Exchange Commission (SEC) and available on the SECs website at https://www.sec.gov/. Additional factors may be described in those sections of Flywires Quarterly Report on Form 10-Q for the quarter ended June 30, 2025, expected to be filed in the third quarter of 2025. The information in this release is provided only as of the date of this release, and Flywire undertakes no obligation to update any forward-looking statements contained in this release on account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Masha Kahn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ir@Flywire.com </w:t>
      </w:r>
    </w:p>
    <w:p>
      <w:pPr>
        <w:pStyle w:val="TextBody"/>
        <w:bidi w:val="0"/>
        <w:spacing w:before="24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Media@Flywire.com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77"/>
        <w:gridCol w:w="267"/>
        <w:gridCol w:w="146"/>
        <w:gridCol w:w="1278"/>
        <w:gridCol w:w="161"/>
        <w:gridCol w:w="215"/>
        <w:gridCol w:w="146"/>
        <w:gridCol w:w="1280"/>
        <w:gridCol w:w="155"/>
        <w:gridCol w:w="213"/>
        <w:gridCol w:w="140"/>
        <w:gridCol w:w="1228"/>
        <w:gridCol w:w="155"/>
        <w:gridCol w:w="213"/>
        <w:gridCol w:w="140"/>
        <w:gridCol w:w="1229"/>
        <w:gridCol w:w="162"/>
      </w:tblGrid>
      <w:tr>
        <w:trPr/>
        <w:tc>
          <w:tcPr>
            <w:tcW w:w="307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32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131,891</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103,676</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265,343</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217,779</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53,887</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39,899</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104,450</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81,549</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17,106</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15,834</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34,017</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32,571</w:t>
            </w:r>
          </w:p>
        </w:tc>
        <w:tc>
          <w:tcPr>
            <w:tcW w:w="162" w:type="dxa"/>
            <w:tcBorders/>
            <w:vAlign w:val="bottom"/>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38,377</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31,771</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74,946</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61,854</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30,175</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31,959</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63,233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63,555</w:t>
            </w:r>
          </w:p>
        </w:tc>
        <w:tc>
          <w:tcPr>
            <w:tcW w:w="162" w:type="dxa"/>
            <w:tcBorders/>
            <w:vAlign w:val="bottom"/>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1,351</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8,690</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140,896</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119,463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285,336</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239,529</w:t>
            </w:r>
          </w:p>
        </w:tc>
        <w:tc>
          <w:tcPr>
            <w:tcW w:w="162" w:type="dxa"/>
            <w:tcBorders/>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(9,005</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(15,787</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(19,993</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(21,750</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(1,065</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(1,789</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(275</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1,089</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5,719</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4,023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11,598</w:t>
            </w:r>
          </w:p>
        </w:tc>
        <w:tc>
          <w:tcPr>
            <w:tcW w:w="162" w:type="dxa"/>
            <w:tcBorders/>
            <w:vAlign w:val="bottom"/>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3,947</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998</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7,523</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(3,378</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Gain on available-for-sale debt securities</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8</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3,979</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6,584</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9,923</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7,945</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(5,026</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(9,203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(10,070</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(13,805</w:t>
            </w:r>
          </w:p>
        </w:tc>
        <w:tc>
          <w:tcPr>
            <w:tcW w:w="162" w:type="dxa"/>
            <w:tcBorders/>
            <w:vAlign w:val="bottom"/>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6,981</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4,677</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6,097</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6,292</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(12,007</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(13,880</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(16,167</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(20,097</w:t>
            </w:r>
          </w:p>
        </w:tc>
        <w:tc>
          <w:tcPr>
            <w:tcW w:w="162" w:type="dxa"/>
            <w:tcBorders/>
            <w:vAlign w:val="bottom"/>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6,655</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9,332</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(1,168</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losses on available-for-sale debt securities, net</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(36</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(165</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(53</w:t>
            </w:r>
          </w:p>
        </w:tc>
        <w:tc>
          <w:tcPr>
            <w:tcW w:w="162" w:type="dxa"/>
            <w:tcBorders/>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6,619</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9,167</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(1,221</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(5,388</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(13,740</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(7,000</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(21,318</w:t>
            </w:r>
          </w:p>
        </w:tc>
        <w:tc>
          <w:tcPr>
            <w:tcW w:w="162" w:type="dxa"/>
            <w:tcBorders/>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 basic and diluted</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(12,007</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(13,880</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8" w:type="dxa"/>
            <w:tcBorders/>
            <w:shd w:fill="CCEEFF" w:val="clear"/>
            <w:vAlign w:val="bottom"/>
          </w:tcPr>
          <w:p>
            <w:pPr>
              <w:pStyle w:val="TableContents"/>
              <w:bidi w:val="0"/>
              <w:spacing w:before="0" w:after="283"/>
              <w:jc w:val="right"/>
              <w:rPr/>
            </w:pPr>
            <w:r>
              <w:rPr/>
              <w:t>(16,167</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(20,097</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 and diluted</w:t>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(0.10</w:t>
            </w:r>
          </w:p>
        </w:tc>
        <w:tc>
          <w:tcPr>
            <w:tcW w:w="16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(0.11</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(0.13</w:t>
            </w:r>
          </w:p>
        </w:tc>
        <w:tc>
          <w:tcPr>
            <w:tcW w:w="1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(0.16</w:t>
            </w:r>
          </w:p>
        </w:tc>
        <w:tc>
          <w:tcPr>
            <w:tcW w:w="162" w:type="dxa"/>
            <w:tcBorders/>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 and diluted</w:t>
            </w:r>
          </w:p>
        </w:tc>
        <w:tc>
          <w:tcPr>
            <w:tcW w:w="2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121,812,062</w:t>
            </w:r>
          </w:p>
        </w:tc>
        <w:tc>
          <w:tcPr>
            <w:tcW w:w="16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124,562,015</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122,519,731</w:t>
            </w:r>
          </w:p>
        </w:tc>
        <w:tc>
          <w:tcPr>
            <w:tcW w:w="1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123,859,762</w:t>
            </w:r>
          </w:p>
        </w:tc>
        <w:tc>
          <w:tcPr>
            <w:tcW w:w="162" w:type="dxa"/>
            <w:tcBorders/>
            <w:shd w:fill="CCEEFF" w:val="clear"/>
            <w:vAlign w:val="bottom"/>
          </w:tcPr>
          <w:p>
            <w:pPr>
              <w:pStyle w:val="TableContents"/>
              <w:bidi w:val="0"/>
              <w:spacing w:before="0" w:after="283"/>
              <w:jc w:val="left"/>
              <w:rPr/>
            </w:pPr>
            <w:r>
              <w:rPr/>
              <w:t> </w:t>
            </w:r>
          </w:p>
        </w:tc>
      </w:tr>
      <w:tr>
        <w:trPr/>
        <w:tc>
          <w:tcPr>
            <w:tcW w:w="3077"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par value per share and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7"/>
        <w:gridCol w:w="150"/>
        <w:gridCol w:w="140"/>
        <w:gridCol w:w="988"/>
        <w:gridCol w:w="155"/>
        <w:gridCol w:w="114"/>
        <w:gridCol w:w="169"/>
        <w:gridCol w:w="1192"/>
        <w:gridCol w:w="160"/>
      </w:tblGrid>
      <w:tr>
        <w:trPr/>
        <w:tc>
          <w:tcPr>
            <w:tcW w:w="7137"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249,686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495,242</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24,545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115,848</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29,700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23,703</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17,732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15,453</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88,236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90,110</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38,857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22,528</w:t>
            </w:r>
          </w:p>
        </w:tc>
        <w:tc>
          <w:tcPr>
            <w:tcW w:w="160" w:type="dxa"/>
            <w:tcBorders/>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448,756</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762,884</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14,885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50,125</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18,884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17,160</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199,587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118,684</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406,439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149,558</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25,796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24,035</w:t>
            </w:r>
          </w:p>
        </w:tc>
        <w:tc>
          <w:tcPr>
            <w:tcW w:w="160" w:type="dxa"/>
            <w:tcBorders/>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1,114,347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1,122,446</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17,484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15,353</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154,029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217,788</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49,507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49,297</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19,220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7,337</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240,240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289,775</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14,504</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12,643</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60,000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7,180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5,261</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321,924</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307,679</w:t>
            </w:r>
          </w:p>
        </w:tc>
        <w:tc>
          <w:tcPr>
            <w:tcW w:w="160" w:type="dxa"/>
            <w:tcBorders/>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Stockholders equity:</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June 30, 2025 and December 31, 2024; and no shares issued and outstanding as of June 30, 2025 and December 31 , 2024</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June 30, 2025 and December 31, 2024; 129,076,628 shares issued and 120,307,481 shares outstanding as of June 30, 2025; 126,853,852 shares issued and 122,182,878 shares outstanding as of December 31, 2024</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13</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June 30, 2025 and December 31, 2024; 1,873,320 shares issued and outstanding as of June 30, 2025 and December 31, 2024</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voting common stock, 8,769,147 and 4,670,974 shares as of June 30, 2025 and December 31, 2024, respectively, held at cost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(98,739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(46,268</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1,071,085</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1,033,958</w:t>
            </w:r>
          </w:p>
        </w:tc>
        <w:tc>
          <w:tcPr>
            <w:tcW w:w="160" w:type="dxa"/>
            <w:tcBorders/>
            <w:vAlign w:val="bottom"/>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7,101</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(2,066</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(187,037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(170,870</w:t>
            </w:r>
          </w:p>
        </w:tc>
        <w:tc>
          <w:tcPr>
            <w:tcW w:w="160" w:type="dxa"/>
            <w:tcBorders/>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792,423</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814,767</w:t>
            </w:r>
          </w:p>
        </w:tc>
        <w:tc>
          <w:tcPr>
            <w:tcW w:w="160" w:type="dxa"/>
            <w:tcBorders/>
            <w:shd w:fill="CCEEFF" w:val="clear"/>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13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1,114,347</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1,122,446</w:t>
            </w:r>
          </w:p>
        </w:tc>
        <w:tc>
          <w:tcPr>
            <w:tcW w:w="160" w:type="dxa"/>
            <w:tcBorders/>
            <w:vAlign w:val="bottom"/>
          </w:tcPr>
          <w:p>
            <w:pPr>
              <w:pStyle w:val="TableContents"/>
              <w:bidi w:val="0"/>
              <w:spacing w:before="0" w:after="283"/>
              <w:jc w:val="left"/>
              <w:rPr/>
            </w:pPr>
            <w:r>
              <w:rPr/>
              <w:t> </w:t>
            </w:r>
          </w:p>
        </w:tc>
      </w:tr>
      <w:tr>
        <w:trPr/>
        <w:tc>
          <w:tcPr>
            <w:tcW w:w="7137"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millions, except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42"/>
        <w:gridCol w:w="301"/>
        <w:gridCol w:w="140"/>
        <w:gridCol w:w="1043"/>
        <w:gridCol w:w="275"/>
        <w:gridCol w:w="245"/>
        <w:gridCol w:w="140"/>
        <w:gridCol w:w="1043"/>
        <w:gridCol w:w="275"/>
        <w:gridCol w:w="245"/>
        <w:gridCol w:w="140"/>
        <w:gridCol w:w="1043"/>
        <w:gridCol w:w="275"/>
        <w:gridCol w:w="245"/>
        <w:gridCol w:w="140"/>
        <w:gridCol w:w="930"/>
        <w:gridCol w:w="283"/>
      </w:tblGrid>
      <w:tr>
        <w:trPr/>
        <w:tc>
          <w:tcPr>
            <w:tcW w:w="3442"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44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8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83" w:type="dxa"/>
            <w:tcBorders/>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3"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131.9</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103.7</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265.3</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217.8</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3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(7.2</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(0.5</w:t>
            </w:r>
          </w:p>
        </w:tc>
        <w:tc>
          <w:tcPr>
            <w:tcW w:w="283" w:type="dxa"/>
            <w:tcBorders/>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127.5</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256.2</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210.1</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r>
              <w:rPr/>
              <w:t>53.9</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r>
              <w:rPr/>
              <w:t>39.9</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r>
              <w:rPr/>
              <w:t>104.5</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  </w:t>
            </w:r>
            <w:r>
              <w:rPr/>
              <w:t>81.5</w:t>
            </w:r>
          </w:p>
        </w:tc>
        <w:tc>
          <w:tcPr>
            <w:tcW w:w="283"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3.9</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56.7</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41.8</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109.8</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85.4</w:t>
            </w:r>
          </w:p>
        </w:tc>
        <w:tc>
          <w:tcPr>
            <w:tcW w:w="283" w:type="dxa"/>
            <w:tcBorders/>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(8.7</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(7.2</w:t>
            </w:r>
          </w:p>
        </w:tc>
        <w:tc>
          <w:tcPr>
            <w:tcW w:w="283"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(0.5</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(2.7</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(3.0</w:t>
            </w:r>
          </w:p>
        </w:tc>
        <w:tc>
          <w:tcPr>
            <w:tcW w:w="283" w:type="dxa"/>
            <w:tcBorders/>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49.7</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36.5</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95.8</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283"/>
              <w:jc w:val="right"/>
              <w:rPr/>
            </w:pPr>
            <w:r>
              <w:rPr/>
              <w:t>74.7</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75.1</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61.9</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155.6</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132.4</w:t>
            </w:r>
          </w:p>
        </w:tc>
        <w:tc>
          <w:tcPr>
            <w:tcW w:w="283"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57.0</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59.7</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58.7</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60.8</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77.9</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63.4</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3" w:type="dxa"/>
            <w:tcBorders/>
            <w:vAlign w:val="bottom"/>
          </w:tcPr>
          <w:p>
            <w:pPr>
              <w:pStyle w:val="TableContents"/>
              <w:bidi w:val="0"/>
              <w:spacing w:before="0" w:after="283"/>
              <w:jc w:val="right"/>
              <w:rPr/>
            </w:pPr>
            <w:r>
              <w:rPr/>
              <w:t>160.4</w:t>
            </w:r>
          </w:p>
        </w:tc>
        <w:tc>
          <w:tcPr>
            <w:tcW w:w="27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0" w:type="dxa"/>
            <w:tcBorders/>
            <w:vAlign w:val="bottom"/>
          </w:tcPr>
          <w:p>
            <w:pPr>
              <w:pStyle w:val="TableContents"/>
              <w:bidi w:val="0"/>
              <w:spacing w:before="0" w:after="283"/>
              <w:jc w:val="right"/>
              <w:rPr/>
            </w:pPr>
            <w:r>
              <w:rPr/>
              <w:t>135.4</w:t>
            </w:r>
          </w:p>
        </w:tc>
        <w:tc>
          <w:tcPr>
            <w:tcW w:w="283"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61.1</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63.5</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64.4</w:t>
            </w:r>
          </w:p>
        </w:tc>
        <w:tc>
          <w:tcPr>
            <w:tcW w:w="283" w:type="dxa"/>
            <w:tcBorders/>
            <w:shd w:fill="CCEEFF" w:val="clear"/>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760" w:type="dxa"/>
        <w:jc w:val="center"/>
        <w:tblInd w:w="0" w:type="dxa"/>
        <w:tblLayout w:type="fixed"/>
        <w:tblCellMar>
          <w:top w:w="0" w:type="dxa"/>
          <w:left w:w="0" w:type="dxa"/>
          <w:bottom w:w="0" w:type="dxa"/>
          <w:right w:w="0" w:type="dxa"/>
        </w:tblCellMar>
      </w:tblPr>
      <w:tblGrid>
        <w:gridCol w:w="1070"/>
        <w:gridCol w:w="120"/>
        <w:gridCol w:w="250"/>
        <w:gridCol w:w="1000"/>
        <w:gridCol w:w="275"/>
        <w:gridCol w:w="60"/>
        <w:gridCol w:w="399"/>
        <w:gridCol w:w="1256"/>
        <w:gridCol w:w="275"/>
        <w:gridCol w:w="60"/>
        <w:gridCol w:w="181"/>
        <w:gridCol w:w="724"/>
        <w:gridCol w:w="275"/>
        <w:gridCol w:w="60"/>
        <w:gridCol w:w="250"/>
        <w:gridCol w:w="1000"/>
        <w:gridCol w:w="275"/>
        <w:gridCol w:w="60"/>
        <w:gridCol w:w="399"/>
        <w:gridCol w:w="1256"/>
        <w:gridCol w:w="275"/>
        <w:gridCol w:w="60"/>
        <w:gridCol w:w="181"/>
        <w:gridCol w:w="724"/>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 2024</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100.6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31.3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131.9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85.3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103.7</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100.5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127.5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85.1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99.9</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23.7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78.8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4875" w:type="dxa"/>
            <w:gridSpan w:val="12"/>
            <w:tcBorders/>
            <w:vAlign w:val="center"/>
          </w:tcPr>
          <w:p>
            <w:pPr>
              <w:pStyle w:val="TableContents"/>
              <w:bidi w:val="0"/>
              <w:spacing w:before="0" w:after="283"/>
              <w:jc w:val="left"/>
              <w:rPr>
                <w:sz w:val="4"/>
                <w:szCs w:val="4"/>
              </w:rPr>
            </w:pPr>
            <w:r>
              <w:rPr>
                <w:sz w:val="4"/>
                <w:szCs w:val="4"/>
              </w:rPr>
            </w:r>
          </w:p>
        </w:tc>
        <w:tc>
          <w:tcPr>
            <w:tcW w:w="4815" w:type="dxa"/>
            <w:gridSpan w:val="12"/>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 2024</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Other Revenues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56.3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265.3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180.5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37.3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217.8</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(7.2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47.6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256.2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180.0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30.1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210.1</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82.9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FX Neutral Revenue Less Ancillary Services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2"/>
        <w:gridCol w:w="155"/>
        <w:gridCol w:w="191"/>
        <w:gridCol w:w="767"/>
        <w:gridCol w:w="212"/>
        <w:gridCol w:w="119"/>
        <w:gridCol w:w="191"/>
        <w:gridCol w:w="769"/>
        <w:gridCol w:w="155"/>
        <w:gridCol w:w="98"/>
        <w:gridCol w:w="254"/>
        <w:gridCol w:w="1126"/>
        <w:gridCol w:w="281"/>
        <w:gridCol w:w="98"/>
        <w:gridCol w:w="140"/>
        <w:gridCol w:w="572"/>
        <w:gridCol w:w="155"/>
        <w:gridCol w:w="98"/>
        <w:gridCol w:w="140"/>
        <w:gridCol w:w="571"/>
        <w:gridCol w:w="155"/>
        <w:gridCol w:w="98"/>
        <w:gridCol w:w="254"/>
        <w:gridCol w:w="1126"/>
        <w:gridCol w:w="288"/>
      </w:tblGrid>
      <w:tr>
        <w:trPr/>
        <w:tc>
          <w:tcPr>
            <w:tcW w:w="2192"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1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192"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1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8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88" w:type="dxa"/>
            <w:tcBorders/>
            <w:vAlign w:val="bottom"/>
          </w:tcPr>
          <w:p>
            <w:pPr>
              <w:pStyle w:val="TableContents"/>
              <w:bidi w:val="0"/>
              <w:spacing w:before="0" w:after="283"/>
              <w:jc w:val="left"/>
              <w:rPr/>
            </w:pPr>
            <w:r>
              <w:rPr/>
              <w:t> </w:t>
            </w:r>
          </w:p>
        </w:tc>
      </w:tr>
      <w:tr>
        <w:trPr/>
        <w:tc>
          <w:tcPr>
            <w:tcW w:w="2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131.9</w:t>
            </w:r>
          </w:p>
        </w:tc>
        <w:tc>
          <w:tcPr>
            <w:tcW w:w="212"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103.7</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27</w:t>
            </w:r>
          </w:p>
        </w:tc>
        <w:tc>
          <w:tcPr>
            <w:tcW w:w="28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265.3</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217.8</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22</w:t>
            </w:r>
          </w:p>
        </w:tc>
        <w:tc>
          <w:tcPr>
            <w:tcW w:w="288" w:type="dxa"/>
            <w:tcBorders/>
            <w:shd w:fill="CCEEFF" w:val="clear"/>
            <w:vAlign w:val="bottom"/>
          </w:tcPr>
          <w:p>
            <w:pPr>
              <w:pStyle w:val="TableContents"/>
              <w:bidi w:val="0"/>
              <w:spacing w:before="0" w:after="283"/>
              <w:jc w:val="left"/>
              <w:rPr/>
            </w:pPr>
            <w:r>
              <w:rPr/>
              <w:t>% </w:t>
            </w:r>
          </w:p>
        </w:tc>
      </w:tr>
      <w:tr>
        <w:trPr/>
        <w:tc>
          <w:tcPr>
            <w:tcW w:w="2192"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(4.3</w:t>
            </w:r>
          </w:p>
        </w:tc>
        <w:tc>
          <w:tcPr>
            <w:tcW w:w="21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1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127.5</w:t>
            </w:r>
          </w:p>
        </w:tc>
        <w:tc>
          <w:tcPr>
            <w:tcW w:w="212"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99.9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w:t>
            </w:r>
          </w:p>
        </w:tc>
        <w:tc>
          <w:tcPr>
            <w:tcW w:w="28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256.2</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210.1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22</w:t>
            </w:r>
          </w:p>
        </w:tc>
        <w:tc>
          <w:tcPr>
            <w:tcW w:w="288" w:type="dxa"/>
            <w:tcBorders/>
            <w:shd w:fill="CCEEFF" w:val="clear"/>
            <w:vAlign w:val="bottom"/>
          </w:tcPr>
          <w:p>
            <w:pPr>
              <w:pStyle w:val="TableContents"/>
              <w:bidi w:val="0"/>
              <w:spacing w:before="0" w:after="283"/>
              <w:jc w:val="left"/>
              <w:rPr/>
            </w:pPr>
            <w:r>
              <w:rPr/>
              <w:t>% </w:t>
            </w:r>
          </w:p>
        </w:tc>
      </w:tr>
      <w:tr>
        <w:trPr/>
        <w:tc>
          <w:tcPr>
            <w:tcW w:w="21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192"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(2.6</w:t>
            </w:r>
          </w:p>
        </w:tc>
        <w:tc>
          <w:tcPr>
            <w:tcW w:w="21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1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Neutral Revenue Less Ancillary Services</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124.9</w:t>
            </w:r>
          </w:p>
        </w:tc>
        <w:tc>
          <w:tcPr>
            <w:tcW w:w="212"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99.9</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25</w:t>
            </w:r>
          </w:p>
        </w:tc>
        <w:tc>
          <w:tcPr>
            <w:tcW w:w="28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255.6</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1" w:type="dxa"/>
            <w:tcBorders/>
            <w:shd w:fill="CCEEFF" w:val="clear"/>
            <w:vAlign w:val="bottom"/>
          </w:tcPr>
          <w:p>
            <w:pPr>
              <w:pStyle w:val="TableContents"/>
              <w:bidi w:val="0"/>
              <w:spacing w:before="0" w:after="283"/>
              <w:jc w:val="right"/>
              <w:rPr/>
            </w:pPr>
            <w:r>
              <w:rPr/>
              <w:t>210.1</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22</w:t>
            </w:r>
          </w:p>
        </w:tc>
        <w:tc>
          <w:tcPr>
            <w:tcW w:w="288" w:type="dxa"/>
            <w:tcBorders/>
            <w:shd w:fill="CCEEFF" w:val="clear"/>
            <w:vAlign w:val="bottom"/>
          </w:tcPr>
          <w:p>
            <w:pPr>
              <w:pStyle w:val="TableContents"/>
              <w:bidi w:val="0"/>
              <w:spacing w:before="0" w:after="283"/>
              <w:jc w:val="left"/>
              <w:rPr/>
            </w:pPr>
            <w:r>
              <w:rPr/>
              <w:t>% </w:t>
            </w:r>
          </w:p>
        </w:tc>
      </w:tr>
      <w:tr>
        <w:trPr/>
        <w:tc>
          <w:tcPr>
            <w:tcW w:w="21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192"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127.5</w:t>
            </w:r>
          </w:p>
        </w:tc>
        <w:tc>
          <w:tcPr>
            <w:tcW w:w="21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28</w:t>
            </w:r>
          </w:p>
        </w:tc>
        <w:tc>
          <w:tcPr>
            <w:tcW w:w="28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256.2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210.1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22</w:t>
            </w:r>
          </w:p>
        </w:tc>
        <w:tc>
          <w:tcPr>
            <w:tcW w:w="288" w:type="dxa"/>
            <w:tcBorders/>
            <w:vAlign w:val="bottom"/>
          </w:tcPr>
          <w:p>
            <w:pPr>
              <w:pStyle w:val="TableContents"/>
              <w:bidi w:val="0"/>
              <w:spacing w:before="0" w:after="283"/>
              <w:jc w:val="left"/>
              <w:rPr/>
            </w:pPr>
            <w:r>
              <w:rPr/>
              <w:t>% </w:t>
            </w:r>
          </w:p>
        </w:tc>
      </w:tr>
      <w:tr>
        <w:trPr/>
        <w:tc>
          <w:tcPr>
            <w:tcW w:w="21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Sertifi Revenue</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(12.3</w:t>
            </w:r>
          </w:p>
        </w:tc>
        <w:tc>
          <w:tcPr>
            <w:tcW w:w="212"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(17.0</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21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192"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excluding Sertifi</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115.2</w:t>
            </w:r>
          </w:p>
        </w:tc>
        <w:tc>
          <w:tcPr>
            <w:tcW w:w="212"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99.9</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15</w:t>
            </w:r>
          </w:p>
        </w:tc>
        <w:tc>
          <w:tcPr>
            <w:tcW w:w="28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239.2</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1" w:type="dxa"/>
            <w:tcBorders/>
            <w:vAlign w:val="bottom"/>
          </w:tcPr>
          <w:p>
            <w:pPr>
              <w:pStyle w:val="TableContents"/>
              <w:bidi w:val="0"/>
              <w:spacing w:before="0" w:after="283"/>
              <w:jc w:val="right"/>
              <w:rPr/>
            </w:pPr>
            <w:r>
              <w:rPr/>
              <w:t>210.1</w:t>
            </w:r>
          </w:p>
        </w:tc>
        <w:tc>
          <w:tcPr>
            <w:tcW w:w="15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w:t>
            </w:r>
          </w:p>
        </w:tc>
        <w:tc>
          <w:tcPr>
            <w:tcW w:w="288" w:type="dxa"/>
            <w:tcBorders/>
            <w:vAlign w:val="bottom"/>
          </w:tcPr>
          <w:p>
            <w:pPr>
              <w:pStyle w:val="TableContents"/>
              <w:bidi w:val="0"/>
              <w:spacing w:before="0" w:after="283"/>
              <w:jc w:val="left"/>
              <w:rPr/>
            </w:pPr>
            <w:r>
              <w:rPr/>
              <w:t>% </w:t>
            </w:r>
          </w:p>
        </w:tc>
      </w:tr>
      <w:tr>
        <w:trPr/>
        <w:tc>
          <w:tcPr>
            <w:tcW w:w="21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Non-GAAP Operating Expenses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3"/>
        <w:gridCol w:w="135"/>
        <w:gridCol w:w="140"/>
        <w:gridCol w:w="1442"/>
        <w:gridCol w:w="155"/>
        <w:gridCol w:w="78"/>
        <w:gridCol w:w="140"/>
        <w:gridCol w:w="1442"/>
        <w:gridCol w:w="155"/>
        <w:gridCol w:w="78"/>
        <w:gridCol w:w="140"/>
        <w:gridCol w:w="1442"/>
        <w:gridCol w:w="155"/>
        <w:gridCol w:w="77"/>
        <w:gridCol w:w="140"/>
        <w:gridCol w:w="1442"/>
        <w:gridCol w:w="161"/>
      </w:tblGrid>
      <w:tr>
        <w:trPr/>
        <w:tc>
          <w:tcPr>
            <w:tcW w:w="288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42"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3397" w:type="dxa"/>
            <w:gridSpan w:val="6"/>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396" w:type="dxa"/>
            <w:gridSpan w:val="6"/>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June 30,</w:t>
            </w:r>
          </w:p>
        </w:tc>
        <w:tc>
          <w:tcPr>
            <w:tcW w:w="161"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0"/>
              <w:jc w:val="left"/>
              <w:rPr/>
            </w:pPr>
            <w:r>
              <w:rPr/>
              <w:t> </w:t>
            </w:r>
          </w:p>
        </w:tc>
        <w:tc>
          <w:tcPr>
            <w:tcW w:w="135"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161"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Technology and development</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17.1</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34.0</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32.6</w:t>
            </w:r>
          </w:p>
        </w:tc>
        <w:tc>
          <w:tcPr>
            <w:tcW w:w="161"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(3.2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(2.9</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(6.4</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(5.5</w:t>
            </w:r>
          </w:p>
        </w:tc>
        <w:tc>
          <w:tcPr>
            <w:tcW w:w="161"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(3.3</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(3.6</w:t>
            </w:r>
          </w:p>
        </w:tc>
        <w:tc>
          <w:tcPr>
            <w:tcW w:w="16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Non-GAAP Technology and development</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12.3</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11.2</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24.3</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23.5</w:t>
            </w:r>
          </w:p>
        </w:tc>
        <w:tc>
          <w:tcPr>
            <w:tcW w:w="161"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Selling and marketing</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38.4</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31.8</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74.9</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61.9</w:t>
            </w:r>
          </w:p>
        </w:tc>
        <w:tc>
          <w:tcPr>
            <w:tcW w:w="161"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(4.9</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(4.9</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(9.2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(9.0</w:t>
            </w:r>
          </w:p>
        </w:tc>
        <w:tc>
          <w:tcPr>
            <w:tcW w:w="161"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(4.3</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(7.3</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w:t>
            </w:r>
          </w:p>
        </w:tc>
        <w:tc>
          <w:tcPr>
            <w:tcW w:w="16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Non-GAAP Selling and marketing</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29.2</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24.9</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58.4</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49.0</w:t>
            </w:r>
          </w:p>
        </w:tc>
        <w:tc>
          <w:tcPr>
            <w:tcW w:w="161"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General and administrative</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30.2</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32.0</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63.2</w:t>
            </w:r>
          </w:p>
        </w:tc>
        <w:tc>
          <w:tcPr>
            <w:tcW w:w="155"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63.6</w:t>
            </w:r>
          </w:p>
        </w:tc>
        <w:tc>
          <w:tcPr>
            <w:tcW w:w="161" w:type="dxa"/>
            <w:tcBorders/>
            <w:shd w:fill="CCEEFF" w:val="clear"/>
            <w:vAlign w:val="bottom"/>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 Stock-based compensation expense and related taxes</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(9.3</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(9.7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(17.7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(18.1</w:t>
            </w:r>
          </w:p>
        </w:tc>
        <w:tc>
          <w:tcPr>
            <w:tcW w:w="161"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and amortization</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(0.8</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(0.8</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(1.5</w:t>
            </w:r>
          </w:p>
        </w:tc>
        <w:tc>
          <w:tcPr>
            <w:tcW w:w="16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 Change in fair value of contingent consideration</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0.7</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0.4</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0.5</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0.9</w:t>
            </w:r>
          </w:p>
        </w:tc>
        <w:tc>
          <w:tcPr>
            <w:tcW w:w="161" w:type="dxa"/>
            <w:tcBorders/>
            <w:vAlign w:val="bottom"/>
          </w:tcPr>
          <w:p>
            <w:pPr>
              <w:pStyle w:val="TableContents"/>
              <w:bidi w:val="0"/>
              <w:spacing w:before="0" w:after="283"/>
              <w:jc w:val="left"/>
              <w:rPr/>
            </w:pPr>
            <w:r>
              <w:rPr/>
              <w:t> </w:t>
            </w:r>
          </w:p>
        </w:tc>
      </w:tr>
      <w:tr>
        <w:trPr/>
        <w:tc>
          <w:tcPr>
            <w:tcW w:w="2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Acquisition related transaction costs</w:t>
            </w:r>
          </w:p>
        </w:tc>
        <w:tc>
          <w:tcPr>
            <w:tcW w:w="1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(2.5</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161" w:type="dxa"/>
            <w:tcBorders/>
            <w:shd w:fill="CCEEFF" w:val="clear"/>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4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883" w:type="dxa"/>
            <w:tcBorders/>
          </w:tcPr>
          <w:p>
            <w:pPr>
              <w:pStyle w:val="TableContents"/>
              <w:bidi w:val="0"/>
              <w:spacing w:before="0" w:after="0"/>
              <w:jc w:val="left"/>
              <w:rPr>
                <w:rFonts w:ascii="Times New Roman" w:hAnsi="Times New Roman"/>
                <w:sz w:val="20"/>
              </w:rPr>
            </w:pPr>
            <w:r>
              <w:rPr>
                <w:rFonts w:ascii="Times New Roman" w:hAnsi="Times New Roman"/>
                <w:sz w:val="20"/>
              </w:rPr>
              <w:t>Non-GAAP General and administrative</w:t>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20.7</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21.9</w:t>
            </w:r>
          </w:p>
        </w:tc>
        <w:tc>
          <w:tcPr>
            <w:tcW w:w="15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41.9</w:t>
            </w:r>
          </w:p>
        </w:tc>
        <w:tc>
          <w:tcPr>
            <w:tcW w:w="155"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rFonts w:ascii="Times New Roman" w:hAnsi="Times New Roman"/>
              </w:rPr>
            </w:pPr>
            <w:r>
              <w:rPr>
                <w:rFonts w:ascii="Times New Roman" w:hAnsi="Times New Roman"/>
              </w:rPr>
              <w:t>$</w:t>
            </w:r>
          </w:p>
        </w:tc>
        <w:tc>
          <w:tcPr>
            <w:tcW w:w="1442" w:type="dxa"/>
            <w:tcBorders/>
            <w:vAlign w:val="bottom"/>
          </w:tcPr>
          <w:p>
            <w:pPr>
              <w:pStyle w:val="TableContents"/>
              <w:bidi w:val="0"/>
              <w:spacing w:before="0" w:after="283"/>
              <w:jc w:val="right"/>
              <w:rPr>
                <w:rFonts w:ascii="Times New Roman" w:hAnsi="Times New Roman"/>
              </w:rPr>
            </w:pPr>
            <w:r>
              <w:rPr>
                <w:rFonts w:ascii="Times New Roman" w:hAnsi="Times New Roman"/>
              </w:rPr>
              <w:t>44.9</w:t>
            </w:r>
          </w:p>
        </w:tc>
        <w:tc>
          <w:tcPr>
            <w:tcW w:w="161" w:type="dxa"/>
            <w:tcBorders/>
            <w:vAlign w:val="bottom"/>
          </w:tcPr>
          <w:p>
            <w:pPr>
              <w:pStyle w:val="TableContents"/>
              <w:bidi w:val="0"/>
              <w:spacing w:before="0" w:after="283"/>
              <w:jc w:val="left"/>
              <w:rPr/>
            </w:pPr>
            <w:r>
              <w:rPr/>
              <w:t> </w:t>
            </w:r>
          </w:p>
        </w:tc>
      </w:tr>
      <w:tr>
        <w:trPr/>
        <w:tc>
          <w:tcPr>
            <w:tcW w:w="2883"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4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EBITDA and Adjusted EBITDA </w:t>
      </w:r>
    </w:p>
    <w:p>
      <w:pPr>
        <w:pStyle w:val="TextBody"/>
        <w:bidi w:val="0"/>
        <w:spacing w:before="0" w:after="0"/>
        <w:jc w:val="left"/>
        <w:rPr>
          <w:rFonts w:ascii="Times New Roman" w:hAnsi="Times New Roman"/>
          <w:b/>
          <w:sz w:val="20"/>
        </w:rPr>
      </w:pPr>
      <w:r>
        <w:rPr>
          <w:rFonts w:ascii="Times New Roman" w:hAnsi="Times New Roman"/>
          <w:b/>
          <w:sz w:val="20"/>
        </w:rPr>
        <w:t xml:space="preserve">(Unaudited)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8"/>
        <w:gridCol w:w="131"/>
        <w:gridCol w:w="140"/>
        <w:gridCol w:w="1560"/>
        <w:gridCol w:w="155"/>
        <w:gridCol w:w="73"/>
        <w:gridCol w:w="140"/>
        <w:gridCol w:w="1560"/>
        <w:gridCol w:w="155"/>
        <w:gridCol w:w="73"/>
        <w:gridCol w:w="140"/>
        <w:gridCol w:w="1560"/>
        <w:gridCol w:w="155"/>
        <w:gridCol w:w="73"/>
        <w:gridCol w:w="140"/>
        <w:gridCol w:w="1560"/>
        <w:gridCol w:w="162"/>
      </w:tblGrid>
      <w:tr>
        <w:trPr/>
        <w:tc>
          <w:tcPr>
            <w:tcW w:w="242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42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628" w:type="dxa"/>
            <w:gridSpan w:val="6"/>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Three Months Ended</w:t>
              <w:br/>
              <w:t>June 30,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3628" w:type="dxa"/>
            <w:gridSpan w:val="6"/>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Six Months Ended</w:t>
              <w:br/>
              <w:t>June 30,</w:t>
            </w:r>
          </w:p>
        </w:tc>
        <w:tc>
          <w:tcPr>
            <w:tcW w:w="162" w:type="dxa"/>
            <w:tcBorders/>
            <w:vAlign w:val="bottom"/>
          </w:tcPr>
          <w:p>
            <w:pPr>
              <w:pStyle w:val="TableContents"/>
              <w:bidi w:val="0"/>
              <w:spacing w:before="0" w:after="283"/>
              <w:jc w:val="left"/>
              <w:rPr/>
            </w:pPr>
            <w:r>
              <w:rPr/>
              <w:t> </w:t>
            </w:r>
          </w:p>
        </w:tc>
      </w:tr>
      <w:tr>
        <w:trPr/>
        <w:tc>
          <w:tcPr>
            <w:tcW w:w="2428"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2024</w:t>
            </w:r>
          </w:p>
        </w:tc>
        <w:tc>
          <w:tcPr>
            <w:tcW w:w="162" w:type="dxa"/>
            <w:tcBorders/>
            <w:vAlign w:val="bottom"/>
          </w:tcPr>
          <w:p>
            <w:pPr>
              <w:pStyle w:val="TableContents"/>
              <w:bidi w:val="0"/>
              <w:spacing w:before="0" w:after="283"/>
              <w:jc w:val="left"/>
              <w:rPr/>
            </w:pPr>
            <w:r>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(12.0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(16.2</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(20.1</w:t>
            </w:r>
          </w:p>
        </w:tc>
        <w:tc>
          <w:tcPr>
            <w:tcW w:w="162"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1.0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1.8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0.3</w:t>
            </w:r>
          </w:p>
        </w:tc>
        <w:tc>
          <w:tcPr>
            <w:tcW w:w="162" w:type="dxa"/>
            <w:tcBorders/>
            <w:vAlign w:val="bottom"/>
          </w:tcPr>
          <w:p>
            <w:pPr>
              <w:pStyle w:val="TableContents"/>
              <w:bidi w:val="0"/>
              <w:spacing w:before="0" w:after="283"/>
              <w:jc w:val="left"/>
              <w:rPr/>
            </w:pPr>
            <w:r>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(5.7</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(11.6</w:t>
            </w:r>
          </w:p>
        </w:tc>
        <w:tc>
          <w:tcPr>
            <w:tcW w:w="162"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7.0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4.7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6.1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6.3</w:t>
            </w:r>
          </w:p>
        </w:tc>
        <w:tc>
          <w:tcPr>
            <w:tcW w:w="162" w:type="dxa"/>
            <w:tcBorders/>
            <w:vAlign w:val="bottom"/>
          </w:tcPr>
          <w:p>
            <w:pPr>
              <w:pStyle w:val="TableContents"/>
              <w:bidi w:val="0"/>
              <w:spacing w:before="0" w:after="283"/>
              <w:jc w:val="left"/>
              <w:rPr/>
            </w:pPr>
            <w:r>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7.2</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4.5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9.0</w:t>
            </w:r>
          </w:p>
        </w:tc>
        <w:tc>
          <w:tcPr>
            <w:tcW w:w="162" w:type="dxa"/>
            <w:tcBorders/>
            <w:shd w:fill="CCEEFF" w:val="clear"/>
            <w:vAlign w:val="bottom"/>
          </w:tcPr>
          <w:p>
            <w:pPr>
              <w:pStyle w:val="TableContents"/>
              <w:bidi w:val="0"/>
              <w:spacing w:before="0" w:after="283"/>
              <w:jc w:val="left"/>
              <w:rPr/>
            </w:pPr>
            <w:r>
              <w:rPr/>
              <w:t> </w:t>
            </w:r>
          </w:p>
        </w:tc>
      </w:tr>
      <w:tr>
        <w:trPr/>
        <w:tc>
          <w:tcPr>
            <w:tcW w:w="24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2.1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(10.3</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(16.1</w:t>
            </w:r>
          </w:p>
        </w:tc>
        <w:tc>
          <w:tcPr>
            <w:tcW w:w="162"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33.3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32.6</w:t>
            </w:r>
          </w:p>
        </w:tc>
        <w:tc>
          <w:tcPr>
            <w:tcW w:w="162" w:type="dxa"/>
            <w:tcBorders/>
            <w:shd w:fill="CCEEFF" w:val="clear"/>
            <w:vAlign w:val="bottom"/>
          </w:tcPr>
          <w:p>
            <w:pPr>
              <w:pStyle w:val="TableContents"/>
              <w:bidi w:val="0"/>
              <w:spacing w:before="0" w:after="283"/>
              <w:jc w:val="left"/>
              <w:rPr/>
            </w:pPr>
            <w:r>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(0.7</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(0.4</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(0.5</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(0.9</w:t>
            </w:r>
          </w:p>
        </w:tc>
        <w:tc>
          <w:tcPr>
            <w:tcW w:w="162"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(1.0</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(7.5</w:t>
            </w:r>
          </w:p>
        </w:tc>
        <w:tc>
          <w:tcPr>
            <w:tcW w:w="15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3.4</w:t>
            </w:r>
          </w:p>
        </w:tc>
        <w:tc>
          <w:tcPr>
            <w:tcW w:w="162" w:type="dxa"/>
            <w:tcBorders/>
            <w:shd w:fill="CCEEFF" w:val="clear"/>
            <w:vAlign w:val="bottom"/>
          </w:tcPr>
          <w:p>
            <w:pPr>
              <w:pStyle w:val="TableContents"/>
              <w:bidi w:val="0"/>
              <w:spacing w:before="0" w:after="283"/>
              <w:jc w:val="left"/>
              <w:rPr/>
            </w:pPr>
            <w:r>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Gain on available for sale debt securities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(0.2</w:t>
            </w:r>
          </w:p>
        </w:tc>
        <w:tc>
          <w:tcPr>
            <w:tcW w:w="155" w:type="dxa"/>
            <w:tcBorders/>
            <w:vAlign w:val="bottom"/>
          </w:tcPr>
          <w:p>
            <w:pPr>
              <w:pStyle w:val="TableContents"/>
              <w:bidi w:val="0"/>
              <w:spacing w:before="0" w:after="283"/>
              <w:jc w:val="left"/>
              <w:rPr>
                <w:rFonts w:ascii="Times New Roman" w:hAnsi="Times New Roman"/>
              </w:rPr>
            </w:pPr>
            <w:r>
              <w:rPr>
                <w:rFonts w:ascii="Times New Roman" w:hAnsi="Times New Roman"/>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62" w:type="dxa"/>
            <w:tcBorders/>
            <w:vAlign w:val="bottom"/>
          </w:tcPr>
          <w:p>
            <w:pPr>
              <w:pStyle w:val="TableContents"/>
              <w:bidi w:val="0"/>
              <w:spacing w:before="0" w:after="283"/>
              <w:jc w:val="left"/>
              <w:rPr/>
            </w:pPr>
            <w:r>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0.1</w:t>
            </w:r>
          </w:p>
        </w:tc>
        <w:tc>
          <w:tcPr>
            <w:tcW w:w="162" w:type="dxa"/>
            <w:tcBorders/>
            <w:shd w:fill="CCEEFF" w:val="clear"/>
            <w:vAlign w:val="bottom"/>
          </w:tcPr>
          <w:p>
            <w:pPr>
              <w:pStyle w:val="TableContents"/>
              <w:bidi w:val="0"/>
              <w:spacing w:before="0" w:after="283"/>
              <w:jc w:val="left"/>
              <w:rPr/>
            </w:pPr>
            <w:r>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transaction costs</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2.5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62" w:type="dxa"/>
            <w:tcBorders/>
            <w:vAlign w:val="bottom"/>
          </w:tcPr>
          <w:p>
            <w:pPr>
              <w:pStyle w:val="TableContents"/>
              <w:bidi w:val="0"/>
              <w:spacing w:before="0" w:after="283"/>
              <w:jc w:val="left"/>
              <w:rPr/>
            </w:pPr>
            <w:r>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162" w:type="dxa"/>
            <w:tcBorders/>
            <w:shd w:fill="CCEEFF" w:val="clear"/>
            <w:vAlign w:val="bottom"/>
          </w:tcPr>
          <w:p>
            <w:pPr>
              <w:pStyle w:val="TableContents"/>
              <w:bidi w:val="0"/>
              <w:spacing w:before="0" w:after="283"/>
              <w:jc w:val="left"/>
              <w:rPr/>
            </w:pPr>
            <w:r>
              <w:rPr/>
              <w:t> </w:t>
            </w:r>
          </w:p>
        </w:tc>
      </w:tr>
      <w:tr>
        <w:trPr/>
        <w:tc>
          <w:tcPr>
            <w:tcW w:w="2428"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1.4</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8.7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60" w:type="dxa"/>
            <w:tcBorders/>
            <w:vAlign w:val="bottom"/>
          </w:tcPr>
          <w:p>
            <w:pPr>
              <w:pStyle w:val="TableContents"/>
              <w:bidi w:val="0"/>
              <w:spacing w:before="0" w:after="283"/>
              <w:jc w:val="right"/>
              <w:rPr>
                <w:rFonts w:ascii="Times New Roman" w:hAnsi="Times New Roman"/>
              </w:rPr>
            </w:pPr>
            <w:r>
              <w:rPr>
                <w:rFonts w:ascii="Times New Roman" w:hAnsi="Times New Roman"/>
              </w:rPr>
              <w:t>0.0</w:t>
            </w:r>
          </w:p>
        </w:tc>
        <w:tc>
          <w:tcPr>
            <w:tcW w:w="162" w:type="dxa"/>
            <w:tcBorders/>
            <w:vAlign w:val="bottom"/>
          </w:tcPr>
          <w:p>
            <w:pPr>
              <w:pStyle w:val="TableContents"/>
              <w:bidi w:val="0"/>
              <w:spacing w:before="0" w:after="283"/>
              <w:jc w:val="left"/>
              <w:rPr/>
            </w:pPr>
            <w:r>
              <w:rPr/>
              <w:t> </w:t>
            </w:r>
          </w:p>
        </w:tc>
      </w:tr>
      <w:tr>
        <w:trPr/>
        <w:tc>
          <w:tcPr>
            <w:tcW w:w="24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6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38.0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156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19.1</w:t>
            </w:r>
          </w:p>
        </w:tc>
        <w:tc>
          <w:tcPr>
            <w:tcW w:w="162" w:type="dxa"/>
            <w:tcBorders/>
            <w:shd w:fill="CCEEFF" w:val="clear"/>
            <w:vAlign w:val="bottom"/>
          </w:tcPr>
          <w:p>
            <w:pPr>
              <w:pStyle w:val="TableContents"/>
              <w:bidi w:val="0"/>
              <w:spacing w:before="0" w:after="283"/>
              <w:jc w:val="left"/>
              <w:rPr/>
            </w:pPr>
            <w:r>
              <w:rPr/>
              <w:t> </w:t>
            </w:r>
          </w:p>
        </w:tc>
      </w:tr>
      <w:tr>
        <w:trPr/>
        <w:tc>
          <w:tcPr>
            <w:tcW w:w="2428"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56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jc w:val="center"/>
        <w:rPr/>
      </w:pPr>
      <w:bookmarkStart w:id="4" w:name="d248653dex992.htm"/>
      <w:bookmarkStart w:id="5" w:name="ksd248653dex992"/>
      <w:bookmarkEnd w:id="4"/>
      <w:bookmarkEnd w:id="5"/>
      <w:r>
        <w:rPr/>
        <w:drawing>
          <wp:inline distT="0" distB="0" distL="0" distR="0">
            <wp:extent cx="2334895" cy="1313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31318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2Q 2025 Earnings Supplement August 5,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the outcome of the operational and portfolio reviews, the costs, cash outlays, beneﬁts, timing and ﬁnancial impacts of the actions that may be taken or transactions entered into in connection with the operational and portfolio reviews, expected beneﬁts and synergies of the acquisition of Sertiﬁ LLC, the beneﬁts of Sertiﬁ's platform, ﬁnancial results and margins, Flywire’s ability to successfully implement Flywire’s business plan, future results of operations and ﬁnancial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forward-looking statements largely on Flywire’s current expectations and projections about future events and ﬁnancial trends that Flywire believes may affect Flywire’s ﬁnancial condition, results of operations, business strategy, short-term and long-term business operations and objectives, and ﬁnancial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2024 and Quarterly Report on Form 10-Q for the quarter ended March 31, 2025, which are on ﬁle with the Securities and Exchange Commission (SEC) and available on the SEC’s website at www.sec.gov. Additional factors may be described in those sections of Flywire’s Quarterly Report on Form 10-Q for the quarter ended June 30, 2025, expected to be ﬁled with the SEC in the third quarter of 2025. In light of these risks, uncertainties and assumptions, the forward -looking events and circumstances discussed in this presentation may not occur and actual results could dier ma ff 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ﬁnancial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ﬁgures will be attained. Flywire’s actual future results may dier ma ff terially from Flywire’s projections, and it makes no express or implied representation or warranty as to attainability of the results reﬂected in these projections. Investments in Flywire’s securities involve a high degree of risk and should be regarded as speculative. The information in this presentation is provided only as of August 5, 2025, and Flywire undertakes no obligation to update any forward-looking statements contained in this presentation on account of new information, future events, or otherwise, except as required by law. This presentation contains certain non-GAAP ﬁnancial measures as deﬁned by SEC rules. Flywire has provided a reconciliation of those measures to the most directly comparable GAAP measures, which is available in the Appendix. The company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presentation because Flywire is unable, without making unreasonable eorts, to calcula ff te certain reconciling items with conﬁdence. These items include but are not limited to income taxes which are directly impacted by unpredictable ﬂuctuations in the market price of the company's stock and in foreign exchange rates.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Strategy to Date Vertical Expertise Strong “North Star” Thesis Dieren ff tiated Core Assets 123 in Big Markets Software drives The Flywire Deep vertical value in payments Advantage expertise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2025 Performance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Financial Highlights Q2 2025 $131.9M 57.0 % ($12.0) M* Revenue Gross Margin Net Loss *Q2 2025 includes a $3.9m FX gain and $1.4m restructuring costs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Q2 2025 $5.9B $127.5M $77.9M $16.6M 2 2 1 1 +22.0% +27.7% 61.1% 13.0% Total Revenue Less Adjusted Adjusted EBITDA payment Ancillary Gross Proﬁt volume Services 1. Represents Y-o-Y Growth as compared to Q224 2. Represents Margins as % of RLAS (Revenue Less Ancillary Services) See Appendix for reconciliation to GAAP amounts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Q2 Actual Performance vs Guidance: Strong Beat Across the Board Actual Guide* Beat RLAS variance to Guide Mid-Point: 2Q 2025 2Q 2025 ✔ Beat FXN Revenue by ~500 bps driven primarily by Travel strength and $127.5 $119.8 +$7.7M Total RLAS, $ Ms lower impact from AU risk 27.7% 20.0% +770 bps Y/Y RLAS Spot Growth (%) ✔ Sertiﬁ Revenue of $12.3M, stronger performance by ~$1.3M 25.0% 20.0% +504 bps Y/Y RLAS FxN Growth (%) ✔ Reported $ Spot revenue beat by $12.3 $11.0 +$1.3M Sertiﬁ, $ Ms $7.7M with $1M coming from Sertiﬁ revenue beat, $2.6M from FX tailwind $115.2 $108.8 +$6.4M RLAS - ex Sertiﬁ, $ Ms and $3.8M from operational outperformance including pull 12.7% 9.0% +368 bps Y/Y RLAS FxN Growth ex Sertiﬁ (%) forward Adjusted EBITDA variance $16.6 $9.9 +$6.7M aEBITDA, $ Ms Mid-Point: ✔ Adjusted EBITDA margin was well +723 bps +250 bps +473 bps aEBITDA Margin expansion - YoY ahead of the guide (by 473bps / US$6.7M) * Refers to mid-point of guidance ranges, where applicable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Operational Review” - Interim Update Areas of Focus Actions Taken 1H 2025 ● Completed restructuring removing 10% of headcount Streamlined ● Consolidated Payments &amp; Product under Chief Payments Officer’s leadership organizational structure ● Removed layers of management in administrative areas ● IT/Systems, Data/Analytics and Digital Transformation now under CFO org ● Established centralized procurement function and savings roadmap ● Consolidating IT systems and software, foundational capability investments Cost analysis, ● Drove self service for customer support using AI broadly Automation &amp; AI ● Leveraged ML to improve payment partner / transaction reconciliations ● New structure and team to handle our real estate ● Enhanced alignment of compensation to performance Alignment of hiring and ● Further prioritized 2H hiring plan to reduce new hiring across multiple functions compensation strategies ● Increasing investments in Data, Systems, payment infrastructure and platform ● Geographic Expansion, Product, and Sales alignment ● Deep analysis of R&amp;D resource allocation at product level (ongoing) Product and GTM ● Rigorous review of sales rep productivity leading to personnel changes and process improvements Investments ● Focus on student payer retention by enhancing the account creation user experience to 8 increase the number of accounts and bolster repeat utilization.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Driving productivity/ leverage across all opex lines 1 1 1 Sales &amp; Marketing Technology &amp; Development General &amp; Admin 9.1% 9.3% 1. Measures non-GAAP operating expenses as % of revenue less ancillary services (RLAS) Opportunities to scale ● Coding with AI… Increase feature ● Data architecture investments to drive insights ● Automating/Optimizing digital marketing for Travel velocity and engineering productivity and predictive/ML/AI capabilities ● Efficient upsells through customer education tools ● Continue to scale and streamline the ● Automation of customer service functions ● Faster Relationship Managers (RM) ramp up/ shared platform and vertical software ● Procurement - vendor consolidation of systems knowledge assistants/chatbots for internal use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EDU Strategy &amp; New Products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Powerful Education Flywheel Investment in geo expansion &amp; local payment options Expansive footprint of education clients &amp; agents Network of bank, loan &amp; ﬁntech partners Network effects High volume of students / payers Product innovation &amp; expanding product suite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Signiﬁcant Global Investment in Integrations &amp; Partnerships Global Integrations Preferred Partnerships FY 25’ New Partners Recently Added Global Strategic Relationship ~ 70+ Real Time Integrations across the Edtech Landscape Embedded in partner GTM Integrations &amp; Partnerships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Spotlight: US Collection Management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Example 1 End term with a balance 2 Receive paper letter 3 Call Business Office to make arrangements 4 Manually calculate payment term The old way 5 Manually track in SIS and Excel Very manual process 6 Manually send and apply payment each month Automation with Flywire: Collection Management Modules PreCollect Internal Collections Agency Management • Offers payment terms • Daily work queue • Automatic placement school deﬁnes • Analytics to guide eorts ff • Payment ﬁle feeds back into ERP • Automation drives student self-service • Negotiate and enroll • Increases collectability • School-branded comms and experience • Collector and manager dashboard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Proven impact for U.S. institutions past-due debt collected $328M+ ↑ ↑ 50%40%20% 2 pre-collection savings $65M+ Increase in payment Improvement students saved Reduction 1 1 161K+ from collections plan enrollment in collections 1 in inquiries Flywire was the easiest We are delighted with our Flywire enables us to oer ff The ability to be ﬂexible on implementation. We save time implementation and have students low-cost payment an individual level has really by using digital automation seen a remarkable decrease plans tailored to ﬁt speciﬁc made a lot of our students to contact and help more in student and parent ﬁnancial situations, and very, very happy and also students on a daily basis. contact with our office as a facilitate payment plans that made them able to continue We can now easily pull up a result. Our service staff now allow our students to easily school, and not have to dashboard and set up have more time to spend re-enroll and remain in worry about how they’re payment plans to ﬁt speciﬁc assisting families who really school. going to pay tuition. ﬁnancial circumstances. need our help! 1. Refers to all US institutions that have Collections Management with Flywire 2. Refers to amount that went to pre collections before debt became overdue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Purdue pain point Flywire solution ● Handled past-due account ● Went live in March 2024 to digitize and management manually automate past-due collections ● Staff mailed demand letters ● Purdue liked that solution is “native”; to students with past-due comms are customizable CASE STUDY accounts for tuition 3x/year ● Key features: Collection ○ Receive alerts about students ● Payment plans manually set soon-to-default up in Word and emailed to Management ○ Notify students with past-due $’s students to physically ○ Collect payments and feed return transaction data into Banner ○ Assign students to collectors ● Signiﬁcant issues engaging Automated alerts, ○ Send relevant accounts to collection students through this analog process agencies online payment plans, and Banner integration help 300+ Key results post implementation students get back on ● Payment plan usage skyrocketed from 29 plans to 327 in the ﬁrst year ● Default rate on payment plans declined from 30% to 6.7% track and Purdue ● Reduction in collection agency debt placement, cutting expenses to recover $1M+ in agencies and protecting revenue that would otherwise be discounted; number of ﬁnal demands issued down 48% revenue ● Annual savings of more than $1M in revenue otherwise written off ● 80% reduction in staff time managing past-due accounts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Spotlight: Early Sertiﬁ Synergies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Sertiﬁ Showing Early Signs of Success Net-New Enterprise Logo: International Sales in EMEA: Rapid Growth in Sertiﬁ Pay: Caesars Entertainment 33% more ARR vs. Q1’25 2X+ Properties &amp; Volume YTD Secured this net-new Sales have begun accelerating Team closed twice as many hospitality logo leveraging our in EMEA with ~100 net-new Sertiﬁ Pay clients in H1 2025 leading Authorizations solution property wins; early progress vs. H1 2024 and Sertiﬁ Pay laying the groundwork for volume doubled during that APAC expansion in H2 2025 same time period (YoY)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e-Signatures Payments Quickly send, collaborate on and Avoid payment delays and Sertiﬁ send fully branded agreements - follow-ups by letting customers and receive notiﬁcations every pay at the time of signing step of the way Product Suite Overview Digital Authorizations Travel Authorizations Securely exchange authorizations Electronically send and receive and detect fraud early booking details and virtual/corporate cards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2025 &amp; Q3 Financial Outlook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Guidance Context and Assumptions FY 2025 Guidance Context: Revenue and Margins ● Canada and Australia. Have experienced better performance of Australia in H1 but soft visa caps and higher visa fees expected to impact H2 revenues. Canada demand weakness continues. Overall expect revenues from Canada and Australia to decline approximately 20% YoY on a combined basis for FY 2025. ● US Edu: Expected approximately ﬂat revenues as we watch F-1 visa and other incoming data. This assumes F-1 visas down approximately 20% YoY in FY 2025, predominantly impacting ﬁrst year students, subject to other dynamics such as student and school mix. This is offset by new wins and market share gains, with strength in Domestic business.. ● As a result, expecting a mid-to-high single digit % headwind to total organic revenue growth from visa declines in our Big 4 Education markets (primarily from CA, AU and US, less impactful in UK) ● The Healthcare business: High single digit expected growth YoY, mostly H2 from key client ramp ● Travel &amp; B2B + UK and EMEA EDU: continued strong expected growth above company average, though decelerating from prior year. ● Tougher YoY revenue comps in Q3, easier in 4Q, which are factored into our full year guide ● Adjusted EBITDA margin expansion higher in H1 vs H2 given timing of restructuring and investments, while managing opex and hiring in a data dependent manner.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Q3 2025 Outlook FX-Neutral Revenue 1 Adjusted EBITDA Less Ancillary Services margin expansion (YoY) Growth Total 13-21% YoY FXN 50-150 bps (including Sertiﬁ) Flywire 7-13% $9-12M FXN Sertiﬁ ex Sertiﬁ revenue RLAS contribution 1. Flywire has not provided a quantitative reconciliation of forecasted FX Neutral revenue to GAAP revenue and Adjusted EBITDA margin to forecasted GAAP Net Income margin within this presentation because Flywire is unable, without making unreasonable eorts, to calcula ff te certain reconciling items with conﬁdence. These items include, but are not limited to income taxes which are directly impacted by unpredictable ﬂuctuations in the market price of Flywire's stock and in foreign exchange rates. 22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2025 Outlook 1 FX-Neutral Revenue Less Adjusted EBITDA Ancillary Services Growth margin expansion (YoY) Total 17-23% YoY FXN 200-350 bps 2 (including Sertiﬁ ) (including Sertiﬁ) Flywire Excluding Previous guidance unchanged +75 bps increase at midpoint vs Sertiﬁ previous guidance 2 10-14% YoY $35-40M FXN Sertiﬁ ex Sertiﬁ revenue RLAS contribution 1. Flywire has not provided a quantitative reconciliation of forecasted Adjusted EBITDA margin to forecasted GAAP Net Income margin within this presentation because Flywire is unable, without making unreasonable eorts, to calcula ff te certain reconciling items with conﬁdence. These items include, but are not limited to income taxes which are directly impacted by unpredictable ﬂuctuations in the market price of Flywire's stock and in foreign exchange rates. 2. Sertiﬁ acquisition closed on 02.24.2025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Capital Allocation and Structure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Capital Allocation Strategy Overview 13 2 Organic growth Strategic Share investments acquisitions buybacks Geographic Expansion Accelerate within existing Share Repurchase Program industry and / or geographies enables purchasing when GTM Enhancement projected return exceeds our New product capability for cost of equity Deeper Software Integrations cross-sells &amp; upsells Prudent approach in Ecosystem expansions with Enter new geographies or maintaining operational Strategic Payables &amp; International regions liquidity and ﬁnancial ﬂexibility Agent solutions for organic investments &amp; strategic M&amp;A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1H25 YTD Cash Walk (US$M) 1 ● Cash represents corporate cash, cash equivalents, and investments (i.e. excludes client cash) ● Cash decrease primarily driven by $320M Sertiﬁ acquisition, net of cash acquired ● Other includes proceeds from option exercises, issuance of ESPP stock, and FX 1. SBB - Share Buyback</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Credit Facility Upsize (US$M) 1 ● Credit Facility upsized to $300M from $125M, increasing Flywire’s liquidity and ﬁnancial ﬂexibility ● Net $60M of Credit Facility used to fund the Sertiﬁ acquisition in 1Q25, $65M that remained unfunded and available is now $240M, improving Flywire’s overall liquidity by 60%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Total Buyback Capacity Now at ~$200M (US$M) Share repurchases over the last 4 quarters Authorized $300M (-) Purchases through $(98M) 06/30/25 Remaining $202M ● Flywire began its share repurchase program in Q3’24 ● Approximately $54M of total cash was spent on share repurchases in 1H 2025 ● $150M increase to share repurchase program, bringing total repurchase capacity to approximately $200M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FX Neutral Revenue Less Ancillary Services* *FX Neutral Revenue Less Ancillary Services: FX neutral revenue less ancillary services is adjusted for the impact of foreign currency rate ﬂuctuations. This measure helps provide insight on comparable revenue growth by removing the eect o ff f changes in foreign currency exchange rates year-over-year. Foreign currency exchange impact in the current period is calculated using prior period monthly average exchange rates applied to the current period foreign currency amounts.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Loss to Adjusted EBITDA Reconciliation $USD in Millions (unaudited)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Margin, EBITDA Margin, and Adjusted EBITDA Margin $USD in Millions (unaudited)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9274</Words>
  <Characters>51066</Characters>
  <CharactersWithSpaces>61823</CharactersWithSpaces>
  <Paragraphs>3318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