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-10795</wp:posOffset>
            </wp:positionV>
            <wp:extent cx="144145" cy="194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145" cy="194945"/>
                    </a:xfrm>
                    <a:prstGeom prst="rect">
                      <a:avLst/>
                    </a:prstGeom>
                    <a:noFill/>
                  </pic:spPr>
                </pic:pic>
              </a:graphicData>
            </a:graphic>
          </wp:anchor>
        </w:drawing>
      </w:r>
    </w:p>
    <w:p>
      <w:pPr>
        <w:ind w:left="360" w:right="120" w:hanging="273"/>
        <w:spacing w:after="0" w:line="190" w:lineRule="auto"/>
        <w:tabs>
          <w:tab w:leader="none" w:pos="360" w:val="left"/>
        </w:tabs>
        <w:numPr>
          <w:ilvl w:val="0"/>
          <w:numId w:val="1"/>
        </w:numPr>
        <w:rPr>
          <w:rFonts w:ascii="Arial" w:cs="Arial" w:eastAsia="Arial" w:hAnsi="Arial"/>
          <w:sz w:val="25"/>
          <w:szCs w:val="25"/>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180" w:space="28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19"/>
          <w:szCs w:val="19"/>
          <w:u w:val="single" w:color="auto"/>
          <w:color w:val="0000EE"/>
        </w:rPr>
      </w:pPr>
      <w:hyperlink r:id="rId12">
        <w:r>
          <w:rPr>
            <w:rFonts w:ascii="Arial" w:cs="Arial" w:eastAsia="Arial" w:hAnsi="Arial"/>
            <w:sz w:val="19"/>
            <w:szCs w:val="19"/>
            <w:u w:val="single" w:color="auto"/>
            <w:color w:val="0000EE"/>
          </w:rPr>
          <w:t>Spark Management Partners II, LLC</w:t>
        </w:r>
      </w:hyperlink>
    </w:p>
    <w:p>
      <w:pPr>
        <w:spacing w:after="0" w:line="34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 CLARENDON STREET, FLOOR 59</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Flywire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FLYW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05/12/2022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6" w:lineRule="exact"/>
        <w:rPr>
          <w:sz w:val="24"/>
          <w:szCs w:val="24"/>
          <w:color w:val="auto"/>
        </w:rPr>
      </w:pPr>
    </w:p>
    <w:p>
      <w:pPr>
        <w:sectPr>
          <w:pgSz w:w="11900" w:h="16838" w:orient="portrait"/>
          <w:cols w:equalWidth="0" w:num="3">
            <w:col w:w="3240" w:space="680"/>
            <w:col w:w="3095" w:space="720"/>
            <w:col w:w="3345"/>
          </w:cols>
          <w:pgMar w:left="460" w:top="225" w:right="359" w:bottom="0"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BOSTON</w:t>
            </w:r>
          </w:p>
        </w:tc>
        <w:tc>
          <w:tcPr>
            <w:tcW w:w="1080" w:type="dxa"/>
            <w:vAlign w:val="bottom"/>
          </w:tcPr>
          <w:p>
            <w:pPr>
              <w:ind w:left="26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02116</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53"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4" w:lineRule="exact"/>
        <w:rPr>
          <w:sz w:val="24"/>
          <w:szCs w:val="24"/>
          <w:color w:val="auto"/>
        </w:rPr>
      </w:pPr>
    </w:p>
    <w:p>
      <w:pPr>
        <w:sectPr>
          <w:pgSz w:w="11900" w:h="16838" w:orient="portrait"/>
          <w:cols w:equalWidth="0" w:num="2">
            <w:col w:w="7020" w:space="720"/>
            <w:col w:w="33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5"/>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50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0000FF"/>
              </w:rPr>
              <w:t>05/12/2022</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vMerge w:val="restart"/>
          </w:tcPr>
          <w:p>
            <w:pPr>
              <w:jc w:val="center"/>
              <w:ind w:right="402"/>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(1)</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0000FF"/>
                <w:w w:val="89"/>
              </w:rPr>
              <w:t>5,974,393</w:t>
            </w:r>
          </w:p>
        </w:tc>
        <w:tc>
          <w:tcPr>
            <w:tcW w:w="420" w:type="dxa"/>
            <w:vAlign w:val="bottom"/>
            <w:vMerge w:val="restart"/>
          </w:tcPr>
          <w:p>
            <w:pPr>
              <w:jc w:val="right"/>
              <w:ind w:right="25"/>
              <w:spacing w:after="0"/>
              <w:rPr>
                <w:sz w:val="20"/>
                <w:szCs w:val="20"/>
                <w:color w:val="auto"/>
              </w:rPr>
            </w:pPr>
            <w:r>
              <w:rPr>
                <w:rFonts w:ascii="Arial" w:cs="Arial" w:eastAsia="Arial" w:hAnsi="Arial"/>
                <w:sz w:val="17"/>
                <w:szCs w:val="17"/>
                <w:color w:val="0000FF"/>
              </w:rPr>
              <w:t>D</w:t>
            </w:r>
          </w:p>
        </w:tc>
        <w:tc>
          <w:tcPr>
            <w:tcW w:w="64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5,974,393</w:t>
            </w:r>
          </w:p>
        </w:tc>
        <w:tc>
          <w:tcPr>
            <w:tcW w:w="320" w:type="dxa"/>
            <w:vAlign w:val="bottom"/>
          </w:tcPr>
          <w:p>
            <w:pPr>
              <w:spacing w:after="0"/>
              <w:rPr>
                <w:sz w:val="22"/>
                <w:szCs w:val="22"/>
                <w:color w:val="auto"/>
              </w:rPr>
            </w:pP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320" w:type="dxa"/>
            <w:vAlign w:val="bottom"/>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2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500" w:type="dxa"/>
            <w:vAlign w:val="bottom"/>
            <w:tcBorders>
              <w:top w:val="single" w:sz="8" w:color="2C2C2C"/>
            </w:tcBorders>
            <w:gridSpan w:val="2"/>
            <w:vMerge w:val="restart"/>
          </w:tcPr>
          <w:p>
            <w:pPr>
              <w:jc w:val="right"/>
              <w:ind w:right="160"/>
              <w:spacing w:after="0"/>
              <w:rPr>
                <w:sz w:val="20"/>
                <w:szCs w:val="20"/>
                <w:color w:val="auto"/>
              </w:rPr>
            </w:pPr>
            <w:r>
              <w:rPr>
                <w:rFonts w:ascii="Arial" w:cs="Arial" w:eastAsia="Arial" w:hAnsi="Arial"/>
                <w:sz w:val="17"/>
                <w:szCs w:val="17"/>
                <w:color w:val="0000FF"/>
              </w:rPr>
              <w:t>05/12/2022</w:t>
            </w:r>
          </w:p>
        </w:tc>
        <w:tc>
          <w:tcPr>
            <w:tcW w:w="22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vMerge w:val="restart"/>
          </w:tcPr>
          <w:p>
            <w:pPr>
              <w:jc w:val="center"/>
              <w:ind w:right="402"/>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(3)</w:t>
            </w:r>
          </w:p>
        </w:tc>
        <w:tc>
          <w:tcPr>
            <w:tcW w:w="8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9"/>
              </w:rPr>
              <w:t>1,537,962</w:t>
            </w:r>
          </w:p>
        </w:tc>
        <w:tc>
          <w:tcPr>
            <w:tcW w:w="420" w:type="dxa"/>
            <w:vAlign w:val="bottom"/>
            <w:tcBorders>
              <w:top w:val="single" w:sz="8" w:color="2C2C2C"/>
            </w:tcBorders>
            <w:vMerge w:val="restart"/>
          </w:tcPr>
          <w:p>
            <w:pPr>
              <w:jc w:val="right"/>
              <w:ind w:right="25"/>
              <w:spacing w:after="0"/>
              <w:rPr>
                <w:sz w:val="20"/>
                <w:szCs w:val="20"/>
                <w:color w:val="auto"/>
              </w:rPr>
            </w:pPr>
            <w:r>
              <w:rPr>
                <w:rFonts w:ascii="Arial" w:cs="Arial" w:eastAsia="Arial" w:hAnsi="Arial"/>
                <w:sz w:val="17"/>
                <w:szCs w:val="17"/>
                <w:color w:val="0000FF"/>
              </w:rPr>
              <w:t>A</w:t>
            </w:r>
          </w:p>
        </w:tc>
        <w:tc>
          <w:tcPr>
            <w:tcW w:w="640" w:type="dxa"/>
            <w:vAlign w:val="bottom"/>
            <w:tcBorders>
              <w:top w:val="single" w:sz="8" w:color="2C2C2C"/>
            </w:tcBorders>
            <w:gridSpan w:val="2"/>
            <w:vMerge w:val="restart"/>
          </w:tcPr>
          <w:p>
            <w:pPr>
              <w:jc w:val="right"/>
              <w:ind w:righ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26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0000FF"/>
                <w:w w:val="92"/>
              </w:rPr>
              <w:t>1,537,962</w:t>
            </w:r>
          </w:p>
        </w:tc>
        <w:tc>
          <w:tcPr>
            <w:tcW w:w="3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vMerge w:val="restart"/>
          </w:tcPr>
          <w:p>
            <w:pPr>
              <w:ind w:left="40"/>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2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500" w:type="dxa"/>
            <w:vAlign w:val="bottom"/>
            <w:tcBorders>
              <w:top w:val="single" w:sz="8" w:color="2C2C2C"/>
            </w:tcBorders>
            <w:gridSpan w:val="2"/>
            <w:vMerge w:val="restart"/>
          </w:tcPr>
          <w:p>
            <w:pPr>
              <w:jc w:val="right"/>
              <w:ind w:right="160"/>
              <w:spacing w:after="0"/>
              <w:rPr>
                <w:sz w:val="20"/>
                <w:szCs w:val="20"/>
                <w:color w:val="auto"/>
              </w:rPr>
            </w:pPr>
            <w:r>
              <w:rPr>
                <w:rFonts w:ascii="Arial" w:cs="Arial" w:eastAsia="Arial" w:hAnsi="Arial"/>
                <w:sz w:val="17"/>
                <w:szCs w:val="17"/>
                <w:color w:val="0000FF"/>
              </w:rPr>
              <w:t>05/12/2022</w:t>
            </w:r>
          </w:p>
        </w:tc>
        <w:tc>
          <w:tcPr>
            <w:tcW w:w="22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vMerge w:val="restart"/>
          </w:tcPr>
          <w:p>
            <w:pPr>
              <w:jc w:val="center"/>
              <w:ind w:right="402"/>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(5)</w:t>
            </w:r>
          </w:p>
        </w:tc>
        <w:tc>
          <w:tcPr>
            <w:tcW w:w="8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9"/>
              </w:rPr>
              <w:t>1,537,962</w:t>
            </w:r>
          </w:p>
        </w:tc>
        <w:tc>
          <w:tcPr>
            <w:tcW w:w="420" w:type="dxa"/>
            <w:vAlign w:val="bottom"/>
            <w:tcBorders>
              <w:top w:val="single" w:sz="8" w:color="2C2C2C"/>
            </w:tcBorders>
            <w:vMerge w:val="restart"/>
          </w:tcPr>
          <w:p>
            <w:pPr>
              <w:jc w:val="right"/>
              <w:ind w:right="25"/>
              <w:spacing w:after="0"/>
              <w:rPr>
                <w:sz w:val="20"/>
                <w:szCs w:val="20"/>
                <w:color w:val="auto"/>
              </w:rPr>
            </w:pPr>
            <w:r>
              <w:rPr>
                <w:rFonts w:ascii="Arial" w:cs="Arial" w:eastAsia="Arial" w:hAnsi="Arial"/>
                <w:sz w:val="17"/>
                <w:szCs w:val="17"/>
                <w:color w:val="0000FF"/>
              </w:rPr>
              <w:t>D</w:t>
            </w:r>
          </w:p>
        </w:tc>
        <w:tc>
          <w:tcPr>
            <w:tcW w:w="640" w:type="dxa"/>
            <w:vAlign w:val="bottom"/>
            <w:tcBorders>
              <w:top w:val="single" w:sz="8" w:color="2C2C2C"/>
            </w:tcBorders>
            <w:gridSpan w:val="2"/>
            <w:vMerge w:val="restart"/>
          </w:tcPr>
          <w:p>
            <w:pPr>
              <w:jc w:val="right"/>
              <w:ind w:righ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700" w:type="dxa"/>
            <w:vAlign w:val="bottom"/>
            <w:tcBorders>
              <w:top w:val="single" w:sz="8" w:color="2C2C2C"/>
            </w:tcBorders>
            <w:gridSpan w:val="2"/>
            <w:vMerge w:val="restart"/>
          </w:tcPr>
          <w:p>
            <w:pPr>
              <w:jc w:val="center"/>
              <w:ind w:left="480"/>
              <w:spacing w:after="0"/>
              <w:rPr>
                <w:sz w:val="20"/>
                <w:szCs w:val="20"/>
                <w:color w:val="auto"/>
              </w:rPr>
            </w:pPr>
            <w:r>
              <w:rPr>
                <w:rFonts w:ascii="Arial" w:cs="Arial" w:eastAsia="Arial" w:hAnsi="Arial"/>
                <w:sz w:val="17"/>
                <w:szCs w:val="17"/>
                <w:color w:val="0000FF"/>
              </w:rPr>
              <w:t>0</w:t>
            </w:r>
          </w:p>
        </w:tc>
        <w:tc>
          <w:tcPr>
            <w:tcW w:w="5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vMerge w:val="restart"/>
          </w:tcPr>
          <w:p>
            <w:pPr>
              <w:ind w:left="40"/>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2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500" w:type="dxa"/>
            <w:vAlign w:val="bottom"/>
            <w:tcBorders>
              <w:top w:val="single" w:sz="8" w:color="2C2C2C"/>
            </w:tcBorders>
            <w:gridSpan w:val="2"/>
            <w:vMerge w:val="restart"/>
          </w:tcPr>
          <w:p>
            <w:pPr>
              <w:jc w:val="right"/>
              <w:ind w:right="160"/>
              <w:spacing w:after="0"/>
              <w:rPr>
                <w:sz w:val="20"/>
                <w:szCs w:val="20"/>
                <w:color w:val="auto"/>
              </w:rPr>
            </w:pPr>
            <w:r>
              <w:rPr>
                <w:rFonts w:ascii="Arial" w:cs="Arial" w:eastAsia="Arial" w:hAnsi="Arial"/>
                <w:sz w:val="17"/>
                <w:szCs w:val="17"/>
                <w:color w:val="0000FF"/>
              </w:rPr>
              <w:t>05/12/2022</w:t>
            </w:r>
          </w:p>
        </w:tc>
        <w:tc>
          <w:tcPr>
            <w:tcW w:w="22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26"/>
                <w:szCs w:val="26"/>
                <w:color w:val="0000FF"/>
                <w:w w:val="84"/>
                <w:vertAlign w:val="subscript"/>
              </w:rPr>
              <w:t>J</w:t>
            </w:r>
            <w:r>
              <w:rPr>
                <w:rFonts w:ascii="Arial" w:cs="Arial" w:eastAsia="Arial" w:hAnsi="Arial"/>
                <w:sz w:val="11"/>
                <w:szCs w:val="11"/>
                <w:color w:val="008000"/>
                <w:w w:val="84"/>
              </w:rPr>
              <w:t>(15)</w:t>
            </w:r>
          </w:p>
        </w:tc>
        <w:tc>
          <w:tcPr>
            <w:tcW w:w="8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9,996</w:t>
            </w:r>
          </w:p>
        </w:tc>
        <w:tc>
          <w:tcPr>
            <w:tcW w:w="420" w:type="dxa"/>
            <w:vAlign w:val="bottom"/>
            <w:tcBorders>
              <w:top w:val="single" w:sz="8" w:color="2C2C2C"/>
            </w:tcBorders>
            <w:vMerge w:val="restart"/>
          </w:tcPr>
          <w:p>
            <w:pPr>
              <w:jc w:val="right"/>
              <w:ind w:right="25"/>
              <w:spacing w:after="0"/>
              <w:rPr>
                <w:sz w:val="20"/>
                <w:szCs w:val="20"/>
                <w:color w:val="auto"/>
              </w:rPr>
            </w:pPr>
            <w:r>
              <w:rPr>
                <w:rFonts w:ascii="Arial" w:cs="Arial" w:eastAsia="Arial" w:hAnsi="Arial"/>
                <w:sz w:val="17"/>
                <w:szCs w:val="17"/>
                <w:color w:val="0000FF"/>
              </w:rPr>
              <w:t>A</w:t>
            </w:r>
          </w:p>
        </w:tc>
        <w:tc>
          <w:tcPr>
            <w:tcW w:w="640" w:type="dxa"/>
            <w:vAlign w:val="bottom"/>
            <w:tcBorders>
              <w:top w:val="single" w:sz="8" w:color="2C2C2C"/>
            </w:tcBorders>
            <w:gridSpan w:val="2"/>
            <w:vMerge w:val="restart"/>
          </w:tcPr>
          <w:p>
            <w:pPr>
              <w:jc w:val="right"/>
              <w:ind w:righ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26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0000FF"/>
                <w:w w:val="88"/>
              </w:rPr>
              <w:t>14,934</w:t>
            </w:r>
          </w:p>
        </w:tc>
        <w:tc>
          <w:tcPr>
            <w:tcW w:w="3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vMerge w:val="restart"/>
          </w:tcPr>
          <w:p>
            <w:pPr>
              <w:ind w:left="40"/>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2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500" w:type="dxa"/>
            <w:vAlign w:val="bottom"/>
            <w:tcBorders>
              <w:top w:val="single" w:sz="8" w:color="2C2C2C"/>
            </w:tcBorders>
            <w:gridSpan w:val="2"/>
            <w:vMerge w:val="restart"/>
          </w:tcPr>
          <w:p>
            <w:pPr>
              <w:jc w:val="right"/>
              <w:ind w:right="160"/>
              <w:spacing w:after="0"/>
              <w:rPr>
                <w:sz w:val="20"/>
                <w:szCs w:val="20"/>
                <w:color w:val="auto"/>
              </w:rPr>
            </w:pPr>
            <w:r>
              <w:rPr>
                <w:rFonts w:ascii="Arial" w:cs="Arial" w:eastAsia="Arial" w:hAnsi="Arial"/>
                <w:sz w:val="17"/>
                <w:szCs w:val="17"/>
                <w:color w:val="0000FF"/>
              </w:rPr>
              <w:t>05/12/2022</w:t>
            </w:r>
          </w:p>
        </w:tc>
        <w:tc>
          <w:tcPr>
            <w:tcW w:w="22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vMerge w:val="restart"/>
          </w:tcPr>
          <w:p>
            <w:pPr>
              <w:jc w:val="center"/>
              <w:ind w:right="402"/>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(6)</w:t>
            </w:r>
          </w:p>
        </w:tc>
        <w:tc>
          <w:tcPr>
            <w:tcW w:w="8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39,083</w:t>
            </w:r>
          </w:p>
        </w:tc>
        <w:tc>
          <w:tcPr>
            <w:tcW w:w="420" w:type="dxa"/>
            <w:vAlign w:val="bottom"/>
            <w:tcBorders>
              <w:top w:val="single" w:sz="8" w:color="2C2C2C"/>
            </w:tcBorders>
            <w:vMerge w:val="restart"/>
          </w:tcPr>
          <w:p>
            <w:pPr>
              <w:jc w:val="right"/>
              <w:ind w:right="25"/>
              <w:spacing w:after="0"/>
              <w:rPr>
                <w:sz w:val="20"/>
                <w:szCs w:val="20"/>
                <w:color w:val="auto"/>
              </w:rPr>
            </w:pPr>
            <w:r>
              <w:rPr>
                <w:rFonts w:ascii="Arial" w:cs="Arial" w:eastAsia="Arial" w:hAnsi="Arial"/>
                <w:sz w:val="17"/>
                <w:szCs w:val="17"/>
                <w:color w:val="0000FF"/>
              </w:rPr>
              <w:t>D</w:t>
            </w:r>
          </w:p>
        </w:tc>
        <w:tc>
          <w:tcPr>
            <w:tcW w:w="640" w:type="dxa"/>
            <w:vAlign w:val="bottom"/>
            <w:tcBorders>
              <w:top w:val="single" w:sz="8" w:color="2C2C2C"/>
            </w:tcBorders>
            <w:gridSpan w:val="2"/>
            <w:vMerge w:val="restart"/>
          </w:tcPr>
          <w:p>
            <w:pPr>
              <w:jc w:val="right"/>
              <w:ind w:righ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26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0000FF"/>
                <w:w w:val="88"/>
              </w:rPr>
              <w:t>39,083</w:t>
            </w:r>
          </w:p>
        </w:tc>
        <w:tc>
          <w:tcPr>
            <w:tcW w:w="3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vMerge w:val="restart"/>
          </w:tcPr>
          <w:p>
            <w:pPr>
              <w:ind w:left="40"/>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2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500" w:type="dxa"/>
            <w:vAlign w:val="bottom"/>
            <w:tcBorders>
              <w:top w:val="single" w:sz="8" w:color="2C2C2C"/>
            </w:tcBorders>
            <w:gridSpan w:val="2"/>
            <w:vMerge w:val="restart"/>
          </w:tcPr>
          <w:p>
            <w:pPr>
              <w:jc w:val="right"/>
              <w:ind w:right="160"/>
              <w:spacing w:after="0"/>
              <w:rPr>
                <w:sz w:val="20"/>
                <w:szCs w:val="20"/>
                <w:color w:val="auto"/>
              </w:rPr>
            </w:pPr>
            <w:r>
              <w:rPr>
                <w:rFonts w:ascii="Arial" w:cs="Arial" w:eastAsia="Arial" w:hAnsi="Arial"/>
                <w:sz w:val="17"/>
                <w:szCs w:val="17"/>
                <w:color w:val="0000FF"/>
              </w:rPr>
              <w:t>05/12/2022</w:t>
            </w:r>
          </w:p>
        </w:tc>
        <w:tc>
          <w:tcPr>
            <w:tcW w:w="22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vMerge w:val="restart"/>
          </w:tcPr>
          <w:p>
            <w:pPr>
              <w:jc w:val="center"/>
              <w:ind w:right="402"/>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(8)</w:t>
            </w:r>
          </w:p>
        </w:tc>
        <w:tc>
          <w:tcPr>
            <w:tcW w:w="8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10,257</w:t>
            </w:r>
          </w:p>
        </w:tc>
        <w:tc>
          <w:tcPr>
            <w:tcW w:w="420" w:type="dxa"/>
            <w:vAlign w:val="bottom"/>
            <w:tcBorders>
              <w:top w:val="single" w:sz="8" w:color="2C2C2C"/>
            </w:tcBorders>
            <w:vMerge w:val="restart"/>
          </w:tcPr>
          <w:p>
            <w:pPr>
              <w:jc w:val="right"/>
              <w:ind w:right="25"/>
              <w:spacing w:after="0"/>
              <w:rPr>
                <w:sz w:val="20"/>
                <w:szCs w:val="20"/>
                <w:color w:val="auto"/>
              </w:rPr>
            </w:pPr>
            <w:r>
              <w:rPr>
                <w:rFonts w:ascii="Arial" w:cs="Arial" w:eastAsia="Arial" w:hAnsi="Arial"/>
                <w:sz w:val="17"/>
                <w:szCs w:val="17"/>
                <w:color w:val="0000FF"/>
              </w:rPr>
              <w:t>D</w:t>
            </w:r>
          </w:p>
        </w:tc>
        <w:tc>
          <w:tcPr>
            <w:tcW w:w="640" w:type="dxa"/>
            <w:vAlign w:val="bottom"/>
            <w:tcBorders>
              <w:top w:val="single" w:sz="8" w:color="2C2C2C"/>
            </w:tcBorders>
            <w:gridSpan w:val="2"/>
            <w:vMerge w:val="restart"/>
          </w:tcPr>
          <w:p>
            <w:pPr>
              <w:jc w:val="right"/>
              <w:ind w:righ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700" w:type="dxa"/>
            <w:vAlign w:val="bottom"/>
            <w:tcBorders>
              <w:top w:val="single" w:sz="8" w:color="2C2C2C"/>
            </w:tcBorders>
            <w:gridSpan w:val="2"/>
            <w:vMerge w:val="restart"/>
          </w:tcPr>
          <w:p>
            <w:pPr>
              <w:jc w:val="center"/>
              <w:ind w:left="480"/>
              <w:spacing w:after="0"/>
              <w:rPr>
                <w:sz w:val="20"/>
                <w:szCs w:val="20"/>
                <w:color w:val="auto"/>
              </w:rPr>
            </w:pPr>
            <w:r>
              <w:rPr>
                <w:rFonts w:ascii="Arial" w:cs="Arial" w:eastAsia="Arial" w:hAnsi="Arial"/>
                <w:sz w:val="17"/>
                <w:szCs w:val="17"/>
                <w:color w:val="0000FF"/>
              </w:rPr>
              <w:t>0</w:t>
            </w:r>
          </w:p>
        </w:tc>
        <w:tc>
          <w:tcPr>
            <w:tcW w:w="5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vMerge w:val="restart"/>
          </w:tcPr>
          <w:p>
            <w:pPr>
              <w:ind w:left="40"/>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2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500" w:type="dxa"/>
            <w:vAlign w:val="bottom"/>
            <w:tcBorders>
              <w:top w:val="single" w:sz="8" w:color="2C2C2C"/>
            </w:tcBorders>
            <w:gridSpan w:val="2"/>
            <w:vMerge w:val="restart"/>
          </w:tcPr>
          <w:p>
            <w:pPr>
              <w:jc w:val="right"/>
              <w:ind w:right="160"/>
              <w:spacing w:after="0"/>
              <w:rPr>
                <w:sz w:val="20"/>
                <w:szCs w:val="20"/>
                <w:color w:val="auto"/>
              </w:rPr>
            </w:pPr>
            <w:r>
              <w:rPr>
                <w:rFonts w:ascii="Arial" w:cs="Arial" w:eastAsia="Arial" w:hAnsi="Arial"/>
                <w:sz w:val="17"/>
                <w:szCs w:val="17"/>
                <w:color w:val="0000FF"/>
              </w:rPr>
              <w:t>05/12/2022</w:t>
            </w:r>
          </w:p>
        </w:tc>
        <w:tc>
          <w:tcPr>
            <w:tcW w:w="22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26"/>
                <w:szCs w:val="26"/>
                <w:color w:val="0000FF"/>
                <w:w w:val="84"/>
                <w:vertAlign w:val="subscript"/>
              </w:rPr>
              <w:t>J</w:t>
            </w:r>
            <w:r>
              <w:rPr>
                <w:rFonts w:ascii="Arial" w:cs="Arial" w:eastAsia="Arial" w:hAnsi="Arial"/>
                <w:sz w:val="11"/>
                <w:szCs w:val="11"/>
                <w:color w:val="008000"/>
                <w:w w:val="84"/>
              </w:rPr>
              <w:t>(10)</w:t>
            </w:r>
          </w:p>
        </w:tc>
        <w:tc>
          <w:tcPr>
            <w:tcW w:w="8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9"/>
              </w:rPr>
              <w:t>1,036,509</w:t>
            </w:r>
          </w:p>
        </w:tc>
        <w:tc>
          <w:tcPr>
            <w:tcW w:w="420" w:type="dxa"/>
            <w:vAlign w:val="bottom"/>
            <w:tcBorders>
              <w:top w:val="single" w:sz="8" w:color="2C2C2C"/>
            </w:tcBorders>
            <w:vMerge w:val="restart"/>
          </w:tcPr>
          <w:p>
            <w:pPr>
              <w:jc w:val="right"/>
              <w:ind w:right="25"/>
              <w:spacing w:after="0"/>
              <w:rPr>
                <w:sz w:val="20"/>
                <w:szCs w:val="20"/>
                <w:color w:val="auto"/>
              </w:rPr>
            </w:pPr>
            <w:r>
              <w:rPr>
                <w:rFonts w:ascii="Arial" w:cs="Arial" w:eastAsia="Arial" w:hAnsi="Arial"/>
                <w:sz w:val="17"/>
                <w:szCs w:val="17"/>
                <w:color w:val="0000FF"/>
              </w:rPr>
              <w:t>D</w:t>
            </w:r>
          </w:p>
        </w:tc>
        <w:tc>
          <w:tcPr>
            <w:tcW w:w="640" w:type="dxa"/>
            <w:vAlign w:val="bottom"/>
            <w:tcBorders>
              <w:top w:val="single" w:sz="8" w:color="2C2C2C"/>
            </w:tcBorders>
            <w:gridSpan w:val="2"/>
            <w:vMerge w:val="restart"/>
          </w:tcPr>
          <w:p>
            <w:pPr>
              <w:jc w:val="right"/>
              <w:ind w:righ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700" w:type="dxa"/>
            <w:vAlign w:val="bottom"/>
            <w:tcBorders>
              <w:top w:val="single" w:sz="8" w:color="2C2C2C"/>
            </w:tcBorders>
            <w:gridSpan w:val="2"/>
            <w:vMerge w:val="restart"/>
          </w:tcPr>
          <w:p>
            <w:pPr>
              <w:jc w:val="center"/>
              <w:ind w:left="480"/>
              <w:spacing w:after="0"/>
              <w:rPr>
                <w:sz w:val="20"/>
                <w:szCs w:val="20"/>
                <w:color w:val="auto"/>
              </w:rPr>
            </w:pPr>
            <w:r>
              <w:rPr>
                <w:rFonts w:ascii="Arial" w:cs="Arial" w:eastAsia="Arial" w:hAnsi="Arial"/>
                <w:sz w:val="17"/>
                <w:szCs w:val="17"/>
                <w:color w:val="0000FF"/>
              </w:rPr>
              <w:t>0</w:t>
            </w:r>
          </w:p>
        </w:tc>
        <w:tc>
          <w:tcPr>
            <w:tcW w:w="5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vMerge w:val="restart"/>
          </w:tcPr>
          <w:p>
            <w:pPr>
              <w:ind w:left="40"/>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2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500" w:type="dxa"/>
            <w:vAlign w:val="bottom"/>
            <w:tcBorders>
              <w:top w:val="single" w:sz="8" w:color="2C2C2C"/>
            </w:tcBorders>
            <w:gridSpan w:val="2"/>
            <w:vMerge w:val="restart"/>
          </w:tcPr>
          <w:p>
            <w:pPr>
              <w:jc w:val="right"/>
              <w:ind w:right="160"/>
              <w:spacing w:after="0"/>
              <w:rPr>
                <w:sz w:val="20"/>
                <w:szCs w:val="20"/>
                <w:color w:val="auto"/>
              </w:rPr>
            </w:pPr>
            <w:r>
              <w:rPr>
                <w:rFonts w:ascii="Arial" w:cs="Arial" w:eastAsia="Arial" w:hAnsi="Arial"/>
                <w:sz w:val="17"/>
                <w:szCs w:val="17"/>
                <w:color w:val="0000FF"/>
              </w:rPr>
              <w:t>05/12/2022</w:t>
            </w:r>
          </w:p>
        </w:tc>
        <w:tc>
          <w:tcPr>
            <w:tcW w:w="22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26"/>
                <w:szCs w:val="26"/>
                <w:color w:val="0000FF"/>
                <w:w w:val="84"/>
                <w:vertAlign w:val="subscript"/>
              </w:rPr>
              <w:t>J</w:t>
            </w:r>
            <w:r>
              <w:rPr>
                <w:rFonts w:ascii="Arial" w:cs="Arial" w:eastAsia="Arial" w:hAnsi="Arial"/>
                <w:sz w:val="11"/>
                <w:szCs w:val="11"/>
                <w:color w:val="008000"/>
                <w:w w:val="84"/>
              </w:rPr>
              <w:t>(18)</w:t>
            </w:r>
          </w:p>
        </w:tc>
        <w:tc>
          <w:tcPr>
            <w:tcW w:w="8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9,571</w:t>
            </w:r>
          </w:p>
        </w:tc>
        <w:tc>
          <w:tcPr>
            <w:tcW w:w="420" w:type="dxa"/>
            <w:vAlign w:val="bottom"/>
            <w:tcBorders>
              <w:top w:val="single" w:sz="8" w:color="2C2C2C"/>
            </w:tcBorders>
            <w:vMerge w:val="restart"/>
          </w:tcPr>
          <w:p>
            <w:pPr>
              <w:jc w:val="right"/>
              <w:ind w:right="25"/>
              <w:spacing w:after="0"/>
              <w:rPr>
                <w:sz w:val="20"/>
                <w:szCs w:val="20"/>
                <w:color w:val="auto"/>
              </w:rPr>
            </w:pPr>
            <w:r>
              <w:rPr>
                <w:rFonts w:ascii="Arial" w:cs="Arial" w:eastAsia="Arial" w:hAnsi="Arial"/>
                <w:sz w:val="17"/>
                <w:szCs w:val="17"/>
                <w:color w:val="0000FF"/>
              </w:rPr>
              <w:t>A</w:t>
            </w:r>
          </w:p>
        </w:tc>
        <w:tc>
          <w:tcPr>
            <w:tcW w:w="640" w:type="dxa"/>
            <w:vAlign w:val="bottom"/>
            <w:tcBorders>
              <w:top w:val="single" w:sz="8" w:color="2C2C2C"/>
            </w:tcBorders>
            <w:gridSpan w:val="2"/>
            <w:vMerge w:val="restart"/>
          </w:tcPr>
          <w:p>
            <w:pPr>
              <w:jc w:val="right"/>
              <w:ind w:righ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26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0000FF"/>
                <w:w w:val="89"/>
              </w:rPr>
              <w:t>9,571</w:t>
            </w:r>
          </w:p>
        </w:tc>
        <w:tc>
          <w:tcPr>
            <w:tcW w:w="3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vMerge w:val="restart"/>
          </w:tcPr>
          <w:p>
            <w:pPr>
              <w:ind w:left="40"/>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2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500" w:type="dxa"/>
            <w:vAlign w:val="bottom"/>
            <w:tcBorders>
              <w:top w:val="single" w:sz="8" w:color="2C2C2C"/>
            </w:tcBorders>
            <w:gridSpan w:val="2"/>
            <w:vMerge w:val="restart"/>
          </w:tcPr>
          <w:p>
            <w:pPr>
              <w:jc w:val="right"/>
              <w:ind w:right="160"/>
              <w:spacing w:after="0"/>
              <w:rPr>
                <w:sz w:val="20"/>
                <w:szCs w:val="20"/>
                <w:color w:val="auto"/>
              </w:rPr>
            </w:pPr>
            <w:r>
              <w:rPr>
                <w:rFonts w:ascii="Arial" w:cs="Arial" w:eastAsia="Arial" w:hAnsi="Arial"/>
                <w:sz w:val="17"/>
                <w:szCs w:val="17"/>
                <w:color w:val="0000FF"/>
              </w:rPr>
              <w:t>05/12/2022</w:t>
            </w:r>
          </w:p>
        </w:tc>
        <w:tc>
          <w:tcPr>
            <w:tcW w:w="22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26"/>
                <w:szCs w:val="26"/>
                <w:color w:val="0000FF"/>
                <w:w w:val="84"/>
                <w:vertAlign w:val="subscript"/>
              </w:rPr>
              <w:t>J</w:t>
            </w:r>
            <w:r>
              <w:rPr>
                <w:rFonts w:ascii="Arial" w:cs="Arial" w:eastAsia="Arial" w:hAnsi="Arial"/>
                <w:sz w:val="11"/>
                <w:szCs w:val="11"/>
                <w:color w:val="008000"/>
                <w:w w:val="84"/>
              </w:rPr>
              <w:t>(14)</w:t>
            </w:r>
          </w:p>
        </w:tc>
        <w:tc>
          <w:tcPr>
            <w:tcW w:w="8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9,571</w:t>
            </w:r>
          </w:p>
        </w:tc>
        <w:tc>
          <w:tcPr>
            <w:tcW w:w="420" w:type="dxa"/>
            <w:vAlign w:val="bottom"/>
            <w:tcBorders>
              <w:top w:val="single" w:sz="8" w:color="2C2C2C"/>
            </w:tcBorders>
            <w:vMerge w:val="restart"/>
          </w:tcPr>
          <w:p>
            <w:pPr>
              <w:jc w:val="right"/>
              <w:ind w:right="25"/>
              <w:spacing w:after="0"/>
              <w:rPr>
                <w:sz w:val="20"/>
                <w:szCs w:val="20"/>
                <w:color w:val="auto"/>
              </w:rPr>
            </w:pPr>
            <w:r>
              <w:rPr>
                <w:rFonts w:ascii="Arial" w:cs="Arial" w:eastAsia="Arial" w:hAnsi="Arial"/>
                <w:sz w:val="17"/>
                <w:szCs w:val="17"/>
                <w:color w:val="0000FF"/>
              </w:rPr>
              <w:t>D</w:t>
            </w:r>
          </w:p>
        </w:tc>
        <w:tc>
          <w:tcPr>
            <w:tcW w:w="640" w:type="dxa"/>
            <w:vAlign w:val="bottom"/>
            <w:tcBorders>
              <w:top w:val="single" w:sz="8" w:color="2C2C2C"/>
            </w:tcBorders>
            <w:gridSpan w:val="2"/>
            <w:vMerge w:val="restart"/>
          </w:tcPr>
          <w:p>
            <w:pPr>
              <w:jc w:val="right"/>
              <w:ind w:righ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700" w:type="dxa"/>
            <w:vAlign w:val="bottom"/>
            <w:tcBorders>
              <w:top w:val="single" w:sz="8" w:color="2C2C2C"/>
            </w:tcBorders>
            <w:gridSpan w:val="2"/>
            <w:vMerge w:val="restart"/>
          </w:tcPr>
          <w:p>
            <w:pPr>
              <w:jc w:val="center"/>
              <w:ind w:left="480"/>
              <w:spacing w:after="0"/>
              <w:rPr>
                <w:sz w:val="20"/>
                <w:szCs w:val="20"/>
                <w:color w:val="auto"/>
              </w:rPr>
            </w:pPr>
            <w:r>
              <w:rPr>
                <w:rFonts w:ascii="Arial" w:cs="Arial" w:eastAsia="Arial" w:hAnsi="Arial"/>
                <w:sz w:val="17"/>
                <w:szCs w:val="17"/>
                <w:color w:val="0000FF"/>
              </w:rPr>
              <w:t>0</w:t>
            </w:r>
          </w:p>
        </w:tc>
        <w:tc>
          <w:tcPr>
            <w:tcW w:w="5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vMerge w:val="restart"/>
          </w:tcPr>
          <w:p>
            <w:pPr>
              <w:ind w:left="40"/>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2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500" w:type="dxa"/>
            <w:vAlign w:val="bottom"/>
            <w:tcBorders>
              <w:top w:val="single" w:sz="8" w:color="2C2C2C"/>
            </w:tcBorders>
            <w:gridSpan w:val="2"/>
            <w:vMerge w:val="restart"/>
          </w:tcPr>
          <w:p>
            <w:pPr>
              <w:jc w:val="right"/>
              <w:ind w:right="160"/>
              <w:spacing w:after="0"/>
              <w:rPr>
                <w:sz w:val="20"/>
                <w:szCs w:val="20"/>
                <w:color w:val="auto"/>
              </w:rPr>
            </w:pPr>
            <w:r>
              <w:rPr>
                <w:rFonts w:ascii="Arial" w:cs="Arial" w:eastAsia="Arial" w:hAnsi="Arial"/>
                <w:sz w:val="17"/>
                <w:szCs w:val="17"/>
                <w:color w:val="0000FF"/>
              </w:rPr>
              <w:t>05/12/2022</w:t>
            </w:r>
          </w:p>
        </w:tc>
        <w:tc>
          <w:tcPr>
            <w:tcW w:w="22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26"/>
                <w:szCs w:val="26"/>
                <w:color w:val="0000FF"/>
                <w:w w:val="84"/>
                <w:vertAlign w:val="subscript"/>
              </w:rPr>
              <w:t>J</w:t>
            </w:r>
            <w:r>
              <w:rPr>
                <w:rFonts w:ascii="Arial" w:cs="Arial" w:eastAsia="Arial" w:hAnsi="Arial"/>
                <w:sz w:val="11"/>
                <w:szCs w:val="11"/>
                <w:color w:val="008000"/>
                <w:w w:val="84"/>
              </w:rPr>
              <w:t>(12)</w:t>
            </w:r>
          </w:p>
        </w:tc>
        <w:tc>
          <w:tcPr>
            <w:tcW w:w="8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406,660</w:t>
            </w:r>
          </w:p>
        </w:tc>
        <w:tc>
          <w:tcPr>
            <w:tcW w:w="420" w:type="dxa"/>
            <w:vAlign w:val="bottom"/>
            <w:tcBorders>
              <w:top w:val="single" w:sz="8" w:color="2C2C2C"/>
            </w:tcBorders>
            <w:vMerge w:val="restart"/>
          </w:tcPr>
          <w:p>
            <w:pPr>
              <w:jc w:val="right"/>
              <w:ind w:right="25"/>
              <w:spacing w:after="0"/>
              <w:rPr>
                <w:sz w:val="20"/>
                <w:szCs w:val="20"/>
                <w:color w:val="auto"/>
              </w:rPr>
            </w:pPr>
            <w:r>
              <w:rPr>
                <w:rFonts w:ascii="Arial" w:cs="Arial" w:eastAsia="Arial" w:hAnsi="Arial"/>
                <w:sz w:val="17"/>
                <w:szCs w:val="17"/>
                <w:color w:val="0000FF"/>
              </w:rPr>
              <w:t>A</w:t>
            </w:r>
          </w:p>
        </w:tc>
        <w:tc>
          <w:tcPr>
            <w:tcW w:w="640" w:type="dxa"/>
            <w:vAlign w:val="bottom"/>
            <w:tcBorders>
              <w:top w:val="single" w:sz="8" w:color="2C2C2C"/>
            </w:tcBorders>
            <w:gridSpan w:val="2"/>
            <w:vMerge w:val="restart"/>
          </w:tcPr>
          <w:p>
            <w:pPr>
              <w:jc w:val="right"/>
              <w:ind w:righ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26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0000FF"/>
                <w:w w:val="91"/>
              </w:rPr>
              <w:t>406,660</w:t>
            </w:r>
          </w:p>
        </w:tc>
        <w:tc>
          <w:tcPr>
            <w:tcW w:w="3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vMerge w:val="restart"/>
          </w:tcPr>
          <w:p>
            <w:pPr>
              <w:ind w:left="40"/>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2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500" w:type="dxa"/>
            <w:vAlign w:val="bottom"/>
            <w:tcBorders>
              <w:top w:val="single" w:sz="8" w:color="2C2C2C"/>
            </w:tcBorders>
            <w:gridSpan w:val="2"/>
            <w:vMerge w:val="restart"/>
          </w:tcPr>
          <w:p>
            <w:pPr>
              <w:jc w:val="right"/>
              <w:ind w:right="160"/>
              <w:spacing w:after="0"/>
              <w:rPr>
                <w:sz w:val="20"/>
                <w:szCs w:val="20"/>
                <w:color w:val="auto"/>
              </w:rPr>
            </w:pPr>
            <w:r>
              <w:rPr>
                <w:rFonts w:ascii="Arial" w:cs="Arial" w:eastAsia="Arial" w:hAnsi="Arial"/>
                <w:sz w:val="17"/>
                <w:szCs w:val="17"/>
                <w:color w:val="0000FF"/>
              </w:rPr>
              <w:t>05/12/2022</w:t>
            </w:r>
          </w:p>
        </w:tc>
        <w:tc>
          <w:tcPr>
            <w:tcW w:w="22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26"/>
                <w:szCs w:val="26"/>
                <w:color w:val="0000FF"/>
                <w:w w:val="84"/>
                <w:vertAlign w:val="subscript"/>
              </w:rPr>
              <w:t>J</w:t>
            </w:r>
            <w:r>
              <w:rPr>
                <w:rFonts w:ascii="Arial" w:cs="Arial" w:eastAsia="Arial" w:hAnsi="Arial"/>
                <w:sz w:val="11"/>
                <w:szCs w:val="11"/>
                <w:color w:val="008000"/>
                <w:w w:val="84"/>
              </w:rPr>
              <w:t>(14)</w:t>
            </w:r>
          </w:p>
        </w:tc>
        <w:tc>
          <w:tcPr>
            <w:tcW w:w="8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406,660</w:t>
            </w:r>
          </w:p>
        </w:tc>
        <w:tc>
          <w:tcPr>
            <w:tcW w:w="420" w:type="dxa"/>
            <w:vAlign w:val="bottom"/>
            <w:tcBorders>
              <w:top w:val="single" w:sz="8" w:color="2C2C2C"/>
            </w:tcBorders>
            <w:vMerge w:val="restart"/>
          </w:tcPr>
          <w:p>
            <w:pPr>
              <w:jc w:val="right"/>
              <w:ind w:right="25"/>
              <w:spacing w:after="0"/>
              <w:rPr>
                <w:sz w:val="20"/>
                <w:szCs w:val="20"/>
                <w:color w:val="auto"/>
              </w:rPr>
            </w:pPr>
            <w:r>
              <w:rPr>
                <w:rFonts w:ascii="Arial" w:cs="Arial" w:eastAsia="Arial" w:hAnsi="Arial"/>
                <w:sz w:val="17"/>
                <w:szCs w:val="17"/>
                <w:color w:val="0000FF"/>
              </w:rPr>
              <w:t>D</w:t>
            </w:r>
          </w:p>
        </w:tc>
        <w:tc>
          <w:tcPr>
            <w:tcW w:w="640" w:type="dxa"/>
            <w:vAlign w:val="bottom"/>
            <w:tcBorders>
              <w:top w:val="single" w:sz="8" w:color="2C2C2C"/>
            </w:tcBorders>
            <w:gridSpan w:val="2"/>
            <w:vMerge w:val="restart"/>
          </w:tcPr>
          <w:p>
            <w:pPr>
              <w:jc w:val="right"/>
              <w:ind w:righ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700" w:type="dxa"/>
            <w:vAlign w:val="bottom"/>
            <w:tcBorders>
              <w:top w:val="single" w:sz="8" w:color="2C2C2C"/>
            </w:tcBorders>
            <w:gridSpan w:val="2"/>
            <w:vMerge w:val="restart"/>
          </w:tcPr>
          <w:p>
            <w:pPr>
              <w:jc w:val="center"/>
              <w:ind w:left="480"/>
              <w:spacing w:after="0"/>
              <w:rPr>
                <w:sz w:val="20"/>
                <w:szCs w:val="20"/>
                <w:color w:val="auto"/>
              </w:rPr>
            </w:pPr>
            <w:r>
              <w:rPr>
                <w:rFonts w:ascii="Arial" w:cs="Arial" w:eastAsia="Arial" w:hAnsi="Arial"/>
                <w:sz w:val="17"/>
                <w:szCs w:val="17"/>
                <w:color w:val="0000FF"/>
              </w:rPr>
              <w:t>0</w:t>
            </w:r>
          </w:p>
        </w:tc>
        <w:tc>
          <w:tcPr>
            <w:tcW w:w="5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vMerge w:val="restart"/>
          </w:tcPr>
          <w:p>
            <w:pPr>
              <w:ind w:left="40"/>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2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500" w:type="dxa"/>
            <w:vAlign w:val="bottom"/>
            <w:tcBorders>
              <w:top w:val="single" w:sz="8" w:color="2C2C2C"/>
            </w:tcBorders>
            <w:gridSpan w:val="2"/>
            <w:vMerge w:val="restart"/>
          </w:tcPr>
          <w:p>
            <w:pPr>
              <w:jc w:val="right"/>
              <w:ind w:right="160"/>
              <w:spacing w:after="0"/>
              <w:rPr>
                <w:sz w:val="20"/>
                <w:szCs w:val="20"/>
                <w:color w:val="auto"/>
              </w:rPr>
            </w:pPr>
            <w:r>
              <w:rPr>
                <w:rFonts w:ascii="Arial" w:cs="Arial" w:eastAsia="Arial" w:hAnsi="Arial"/>
                <w:sz w:val="17"/>
                <w:szCs w:val="17"/>
                <w:color w:val="0000FF"/>
              </w:rPr>
              <w:t>05/12/2022</w:t>
            </w:r>
          </w:p>
        </w:tc>
        <w:tc>
          <w:tcPr>
            <w:tcW w:w="22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26"/>
                <w:szCs w:val="26"/>
                <w:color w:val="0000FF"/>
                <w:w w:val="84"/>
                <w:vertAlign w:val="subscript"/>
              </w:rPr>
              <w:t>J</w:t>
            </w:r>
            <w:r>
              <w:rPr>
                <w:rFonts w:ascii="Arial" w:cs="Arial" w:eastAsia="Arial" w:hAnsi="Arial"/>
                <w:sz w:val="11"/>
                <w:szCs w:val="11"/>
                <w:color w:val="008000"/>
                <w:w w:val="84"/>
              </w:rPr>
              <w:t>(16)</w:t>
            </w:r>
          </w:p>
        </w:tc>
        <w:tc>
          <w:tcPr>
            <w:tcW w:w="8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2,682</w:t>
            </w:r>
          </w:p>
        </w:tc>
        <w:tc>
          <w:tcPr>
            <w:tcW w:w="420" w:type="dxa"/>
            <w:vAlign w:val="bottom"/>
            <w:tcBorders>
              <w:top w:val="single" w:sz="8" w:color="2C2C2C"/>
            </w:tcBorders>
            <w:vMerge w:val="restart"/>
          </w:tcPr>
          <w:p>
            <w:pPr>
              <w:jc w:val="right"/>
              <w:ind w:right="25"/>
              <w:spacing w:after="0"/>
              <w:rPr>
                <w:sz w:val="20"/>
                <w:szCs w:val="20"/>
                <w:color w:val="auto"/>
              </w:rPr>
            </w:pPr>
            <w:r>
              <w:rPr>
                <w:rFonts w:ascii="Arial" w:cs="Arial" w:eastAsia="Arial" w:hAnsi="Arial"/>
                <w:sz w:val="17"/>
                <w:szCs w:val="17"/>
                <w:color w:val="0000FF"/>
              </w:rPr>
              <w:t>A</w:t>
            </w:r>
          </w:p>
        </w:tc>
        <w:tc>
          <w:tcPr>
            <w:tcW w:w="640" w:type="dxa"/>
            <w:vAlign w:val="bottom"/>
            <w:tcBorders>
              <w:top w:val="single" w:sz="8" w:color="2C2C2C"/>
            </w:tcBorders>
            <w:gridSpan w:val="2"/>
            <w:vMerge w:val="restart"/>
          </w:tcPr>
          <w:p>
            <w:pPr>
              <w:jc w:val="right"/>
              <w:ind w:righ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26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0000FF"/>
                <w:w w:val="88"/>
              </w:rPr>
              <w:t>17,616</w:t>
            </w:r>
          </w:p>
        </w:tc>
        <w:tc>
          <w:tcPr>
            <w:tcW w:w="3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vMerge w:val="restart"/>
          </w:tcPr>
          <w:p>
            <w:pPr>
              <w:ind w:left="40"/>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2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(17)</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60" w:type="dxa"/>
            <w:vAlign w:val="bottom"/>
            <w:gridSpan w:val="16"/>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00" w:type="dxa"/>
            <w:vAlign w:val="bottom"/>
            <w:tcBorders>
              <w:right w:val="single" w:sz="8" w:color="2C2C2C"/>
            </w:tcBorders>
            <w:gridSpan w:val="3"/>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gridSpan w:val="3"/>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jc w:val="right"/>
              <w:ind w:right="25"/>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38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-1814195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Spark Management Partners II, LLC</w:t>
        </w:r>
      </w:hyperlink>
    </w:p>
    <w:p>
      <w:pPr>
        <w:sectPr>
          <w:pgSz w:w="11900" w:h="16838" w:orient="portrait"/>
          <w:cols w:equalWidth="0" w:num="1">
            <w:col w:w="11080"/>
          </w:cols>
          <w:pgMar w:left="460" w:top="225" w:right="359" w:bottom="0" w:gutter="0" w:footer="0" w:header="0"/>
          <w:type w:val="continuous"/>
        </w:sectPr>
      </w:pPr>
    </w:p>
    <w:p>
      <w:pPr>
        <w:spacing w:after="0" w:line="321" w:lineRule="exact"/>
        <w:rPr>
          <w:sz w:val="24"/>
          <w:szCs w:val="24"/>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7"/>
          <w:szCs w:val="17"/>
          <w:color w:val="0000FF"/>
        </w:rPr>
        <w:t>200 CLARENDON STREET, FLOOR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-118110</wp:posOffset>
            </wp:positionV>
            <wp:extent cx="2809240" cy="9236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09240" cy="9236075"/>
                    </a:xfrm>
                    <a:prstGeom prst="rect">
                      <a:avLst/>
                    </a:prstGeom>
                    <a:noFill/>
                  </pic:spPr>
                </pic:pic>
              </a:graphicData>
            </a:graphic>
          </wp:anchor>
        </w:drawing>
      </w:r>
    </w:p>
    <w:p>
      <w:pPr>
        <w:spacing w:after="0" w:line="33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02116</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SPARK CAPITAL FOUNDERS FUND II LP</w:t>
        </w:r>
      </w:hyperlink>
    </w:p>
    <w:p>
      <w:pPr>
        <w:spacing w:after="0" w:line="32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tcPr>
          <w:p>
            <w:pPr>
              <w:ind w:left="34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Arial" w:cs="Arial" w:eastAsia="Arial" w:hAnsi="Arial"/>
                <w:sz w:val="17"/>
                <w:szCs w:val="17"/>
                <w:color w:val="0000FF"/>
              </w:rPr>
              <w:t>200 CLARENDON STREET, FLOOR 59</w:t>
            </w:r>
          </w:p>
        </w:tc>
      </w:tr>
      <w:tr>
        <w:trPr>
          <w:trHeight w:val="208"/>
        </w:trPr>
        <w:tc>
          <w:tcPr>
            <w:tcW w:w="4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r>
      <w:tr>
        <w:trPr>
          <w:trHeight w:val="26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spacing w:after="0"/>
              <w:rPr>
                <w:sz w:val="20"/>
                <w:szCs w:val="20"/>
                <w:color w:val="auto"/>
              </w:rPr>
            </w:pPr>
          </w:p>
        </w:tc>
        <w:tc>
          <w:tcPr>
            <w:tcW w:w="1860" w:type="dxa"/>
            <w:vAlign w:val="bottom"/>
          </w:tcPr>
          <w:p>
            <w:pPr>
              <w:ind w:left="500"/>
              <w:spacing w:after="0"/>
              <w:rPr>
                <w:sz w:val="20"/>
                <w:szCs w:val="20"/>
                <w:color w:val="auto"/>
              </w:rPr>
            </w:pPr>
            <w:r>
              <w:rPr>
                <w:rFonts w:ascii="Arial" w:cs="Arial" w:eastAsia="Arial" w:hAnsi="Arial"/>
                <w:sz w:val="17"/>
                <w:szCs w:val="17"/>
                <w:color w:val="0000FF"/>
              </w:rPr>
              <w:t>02116</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Spark Growth Management Partners LLC</w:t>
        </w:r>
      </w:hyperlink>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600" w:type="dxa"/>
            <w:vAlign w:val="bottom"/>
            <w:gridSpan w:val="2"/>
          </w:tcPr>
          <w:p>
            <w:pPr>
              <w:ind w:left="3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4260" w:type="dxa"/>
            <w:vAlign w:val="bottom"/>
            <w:gridSpan w:val="5"/>
          </w:tcPr>
          <w:p>
            <w:pPr>
              <w:spacing w:after="0"/>
              <w:rPr>
                <w:sz w:val="20"/>
                <w:szCs w:val="20"/>
                <w:color w:val="auto"/>
              </w:rPr>
            </w:pPr>
            <w:r>
              <w:rPr>
                <w:rFonts w:ascii="Arial" w:cs="Arial" w:eastAsia="Arial" w:hAnsi="Arial"/>
                <w:sz w:val="17"/>
                <w:szCs w:val="17"/>
                <w:color w:val="0000FF"/>
              </w:rPr>
              <w:t>200 CLARENDON STREET, FLOOR 59</w:t>
            </w:r>
          </w:p>
        </w:tc>
      </w:tr>
      <w:tr>
        <w:trPr>
          <w:trHeight w:val="208"/>
        </w:trPr>
        <w:tc>
          <w:tcPr>
            <w:tcW w:w="10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1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600" w:type="dxa"/>
            <w:vAlign w:val="bottom"/>
            <w:gridSpan w:val="2"/>
          </w:tcPr>
          <w:p>
            <w:pPr>
              <w:ind w:left="340"/>
              <w:spacing w:after="0"/>
              <w:rPr>
                <w:sz w:val="20"/>
                <w:szCs w:val="20"/>
                <w:color w:val="auto"/>
              </w:rPr>
            </w:pPr>
            <w:r>
              <w:rPr>
                <w:rFonts w:ascii="Arial" w:cs="Arial" w:eastAsia="Arial" w:hAnsi="Arial"/>
                <w:sz w:val="17"/>
                <w:szCs w:val="17"/>
                <w:color w:val="0000FF"/>
              </w:rPr>
              <w:t>MA</w:t>
            </w:r>
          </w:p>
        </w:tc>
        <w:tc>
          <w:tcPr>
            <w:tcW w:w="1500" w:type="dxa"/>
            <w:vAlign w:val="bottom"/>
          </w:tcPr>
          <w:p>
            <w:pPr>
              <w:ind w:left="140"/>
              <w:spacing w:after="0"/>
              <w:rPr>
                <w:sz w:val="20"/>
                <w:szCs w:val="20"/>
                <w:color w:val="auto"/>
              </w:rPr>
            </w:pPr>
            <w:r>
              <w:rPr>
                <w:rFonts w:ascii="Arial" w:cs="Arial" w:eastAsia="Arial" w:hAnsi="Arial"/>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600" w:type="dxa"/>
            <w:vAlign w:val="bottom"/>
            <w:gridSpan w:val="2"/>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gridSpan w:val="2"/>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Spark Capital II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600" w:type="dxa"/>
            <w:vAlign w:val="bottom"/>
            <w:gridSpan w:val="2"/>
          </w:tcPr>
          <w:p>
            <w:pPr>
              <w:ind w:left="3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4260" w:type="dxa"/>
            <w:vAlign w:val="bottom"/>
            <w:gridSpan w:val="5"/>
          </w:tcPr>
          <w:p>
            <w:pPr>
              <w:spacing w:after="0"/>
              <w:rPr>
                <w:sz w:val="20"/>
                <w:szCs w:val="20"/>
                <w:color w:val="auto"/>
              </w:rPr>
            </w:pPr>
            <w:r>
              <w:rPr>
                <w:rFonts w:ascii="Arial" w:cs="Arial" w:eastAsia="Arial" w:hAnsi="Arial"/>
                <w:sz w:val="17"/>
                <w:szCs w:val="17"/>
                <w:color w:val="0000FF"/>
              </w:rPr>
              <w:t>200 CLARENDON STREET, FLOOR 59</w:t>
            </w:r>
          </w:p>
        </w:tc>
      </w:tr>
      <w:tr>
        <w:trPr>
          <w:trHeight w:val="208"/>
        </w:trPr>
        <w:tc>
          <w:tcPr>
            <w:tcW w:w="10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1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600" w:type="dxa"/>
            <w:vAlign w:val="bottom"/>
            <w:gridSpan w:val="2"/>
          </w:tcPr>
          <w:p>
            <w:pPr>
              <w:ind w:left="340"/>
              <w:spacing w:after="0"/>
              <w:rPr>
                <w:sz w:val="20"/>
                <w:szCs w:val="20"/>
                <w:color w:val="auto"/>
              </w:rPr>
            </w:pPr>
            <w:r>
              <w:rPr>
                <w:rFonts w:ascii="Arial" w:cs="Arial" w:eastAsia="Arial" w:hAnsi="Arial"/>
                <w:sz w:val="17"/>
                <w:szCs w:val="17"/>
                <w:color w:val="0000FF"/>
              </w:rPr>
              <w:t>MA</w:t>
            </w:r>
          </w:p>
        </w:tc>
        <w:tc>
          <w:tcPr>
            <w:tcW w:w="1500" w:type="dxa"/>
            <w:vAlign w:val="bottom"/>
          </w:tcPr>
          <w:p>
            <w:pPr>
              <w:ind w:left="140"/>
              <w:spacing w:after="0"/>
              <w:rPr>
                <w:sz w:val="20"/>
                <w:szCs w:val="20"/>
                <w:color w:val="auto"/>
              </w:rPr>
            </w:pPr>
            <w:r>
              <w:rPr>
                <w:rFonts w:ascii="Arial" w:cs="Arial" w:eastAsia="Arial" w:hAnsi="Arial"/>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600" w:type="dxa"/>
            <w:vAlign w:val="bottom"/>
            <w:gridSpan w:val="2"/>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Spark Capital Growth Founders' Fund, L.P.</w:t>
        </w:r>
      </w:hyperlink>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2"/>
          </w:tcPr>
          <w:p>
            <w:pPr>
              <w:ind w:left="34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4260" w:type="dxa"/>
            <w:vAlign w:val="bottom"/>
            <w:gridSpan w:val="5"/>
          </w:tcPr>
          <w:p>
            <w:pPr>
              <w:spacing w:after="0"/>
              <w:rPr>
                <w:sz w:val="20"/>
                <w:szCs w:val="20"/>
                <w:color w:val="auto"/>
              </w:rPr>
            </w:pPr>
            <w:r>
              <w:rPr>
                <w:rFonts w:ascii="Arial" w:cs="Arial" w:eastAsia="Arial" w:hAnsi="Arial"/>
                <w:sz w:val="17"/>
                <w:szCs w:val="17"/>
                <w:color w:val="0000FF"/>
              </w:rPr>
              <w:t>200 CLARENDON STREET, FLOOR 59</w:t>
            </w:r>
          </w:p>
        </w:tc>
      </w:tr>
      <w:tr>
        <w:trPr>
          <w:trHeight w:val="208"/>
        </w:trPr>
        <w:tc>
          <w:tcPr>
            <w:tcW w:w="10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6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1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680" w:type="dxa"/>
            <w:vAlign w:val="bottom"/>
            <w:gridSpan w:val="2"/>
          </w:tcPr>
          <w:p>
            <w:pPr>
              <w:ind w:left="340"/>
              <w:spacing w:after="0"/>
              <w:rPr>
                <w:sz w:val="20"/>
                <w:szCs w:val="20"/>
                <w:color w:val="auto"/>
              </w:rPr>
            </w:pPr>
            <w:r>
              <w:rPr>
                <w:rFonts w:ascii="Arial" w:cs="Arial" w:eastAsia="Arial" w:hAnsi="Arial"/>
                <w:sz w:val="17"/>
                <w:szCs w:val="17"/>
                <w:color w:val="0000FF"/>
              </w:rPr>
              <w:t>MA</w:t>
            </w:r>
          </w:p>
        </w:tc>
        <w:tc>
          <w:tcPr>
            <w:tcW w:w="1420" w:type="dxa"/>
            <w:vAlign w:val="bottom"/>
          </w:tcPr>
          <w:p>
            <w:pPr>
              <w:ind w:left="60"/>
              <w:spacing w:after="0"/>
              <w:rPr>
                <w:sz w:val="20"/>
                <w:szCs w:val="20"/>
                <w:color w:val="auto"/>
              </w:rPr>
            </w:pPr>
            <w:r>
              <w:rPr>
                <w:rFonts w:ascii="Arial" w:cs="Arial" w:eastAsia="Arial" w:hAnsi="Arial"/>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34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40" w:type="dxa"/>
            <w:vAlign w:val="bottom"/>
            <w:gridSpan w:val="3"/>
          </w:tcPr>
          <w:p>
            <w:pPr>
              <w:spacing w:after="0" w:line="221" w:lineRule="exact"/>
              <w:rPr>
                <w:rFonts w:ascii="Arial" w:cs="Arial" w:eastAsia="Arial" w:hAnsi="Arial"/>
                <w:sz w:val="21"/>
                <w:szCs w:val="21"/>
                <w:color w:val="0000EE"/>
                <w:w w:val="95"/>
              </w:rPr>
            </w:pPr>
            <w:hyperlink r:id="rId20">
              <w:r>
                <w:rPr>
                  <w:rFonts w:ascii="Arial" w:cs="Arial" w:eastAsia="Arial" w:hAnsi="Arial"/>
                  <w:sz w:val="21"/>
                  <w:szCs w:val="21"/>
                  <w:color w:val="0000EE"/>
                  <w:w w:val="95"/>
                </w:rPr>
                <w:t>Spark Capital Growth Fund LP</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162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2"/>
          </w:tcPr>
          <w:p>
            <w:pPr>
              <w:ind w:left="34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4260" w:type="dxa"/>
            <w:vAlign w:val="bottom"/>
            <w:gridSpan w:val="5"/>
          </w:tcPr>
          <w:p>
            <w:pPr>
              <w:spacing w:after="0"/>
              <w:rPr>
                <w:sz w:val="20"/>
                <w:szCs w:val="20"/>
                <w:color w:val="auto"/>
              </w:rPr>
            </w:pPr>
            <w:r>
              <w:rPr>
                <w:rFonts w:ascii="Arial" w:cs="Arial" w:eastAsia="Arial" w:hAnsi="Arial"/>
                <w:sz w:val="17"/>
                <w:szCs w:val="17"/>
                <w:color w:val="0000FF"/>
              </w:rPr>
              <w:t>200 CLARENDON STREET, FLOOR 59</w:t>
            </w:r>
          </w:p>
        </w:tc>
      </w:tr>
      <w:tr>
        <w:trPr>
          <w:trHeight w:val="208"/>
        </w:trPr>
        <w:tc>
          <w:tcPr>
            <w:tcW w:w="10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6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1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680" w:type="dxa"/>
            <w:vAlign w:val="bottom"/>
            <w:gridSpan w:val="2"/>
          </w:tcPr>
          <w:p>
            <w:pPr>
              <w:ind w:left="340"/>
              <w:spacing w:after="0"/>
              <w:rPr>
                <w:sz w:val="20"/>
                <w:szCs w:val="20"/>
                <w:color w:val="auto"/>
              </w:rPr>
            </w:pPr>
            <w:r>
              <w:rPr>
                <w:rFonts w:ascii="Arial" w:cs="Arial" w:eastAsia="Arial" w:hAnsi="Arial"/>
                <w:sz w:val="17"/>
                <w:szCs w:val="17"/>
                <w:color w:val="0000FF"/>
              </w:rPr>
              <w:t>MA</w:t>
            </w:r>
          </w:p>
        </w:tc>
        <w:tc>
          <w:tcPr>
            <w:tcW w:w="1420" w:type="dxa"/>
            <w:vAlign w:val="bottom"/>
          </w:tcPr>
          <w:p>
            <w:pPr>
              <w:ind w:left="60"/>
              <w:spacing w:after="0"/>
              <w:rPr>
                <w:sz w:val="20"/>
                <w:szCs w:val="20"/>
                <w:color w:val="auto"/>
              </w:rPr>
            </w:pPr>
            <w:r>
              <w:rPr>
                <w:rFonts w:ascii="Arial" w:cs="Arial" w:eastAsia="Arial" w:hAnsi="Arial"/>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34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60" w:hanging="133"/>
        <w:spacing w:after="0"/>
        <w:tabs>
          <w:tab w:leader="none" w:pos="16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a pro-rata distribution, and not a purchase or sale, without additional consideration by Spark Capital II, L.P. ("Spark Capital II") to its partners.</w:t>
      </w:r>
    </w:p>
    <w:p>
      <w:pPr>
        <w:spacing w:after="0" w:line="50" w:lineRule="exact"/>
        <w:rPr>
          <w:rFonts w:ascii="Arial" w:cs="Arial" w:eastAsia="Arial" w:hAnsi="Arial"/>
          <w:sz w:val="13"/>
          <w:szCs w:val="13"/>
          <w:color w:val="008000"/>
        </w:rPr>
      </w:pPr>
    </w:p>
    <w:p>
      <w:pPr>
        <w:ind w:left="20" w:right="40" w:firstLine="7"/>
        <w:spacing w:after="0" w:line="272" w:lineRule="auto"/>
        <w:tabs>
          <w:tab w:leader="none" w:pos="153"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These shares are held of record by Spark Capital II. Spark Management Partners II, LLC ("SMP II") is the general partner of Spark Capital II. Paul Conway, Bijan Sabet, Santo Politi, and Alexander J. Finkelstein, a member of the Issuer's board of directors (the "SMP II Managing Members") are the managing members of SMP II. Each of the SMP II Managing Members may be deemed to share investment, voting and dispositive power over these shares. Each of SMP II and the SMP II Managing Members disclaim beneficial ownership of these shares and this report shall not be deemed an admission that any one of them is the beneficial owner of such securities for purposes of Section 16 or for any other purpose, except to the extent of their respective pecuniary interests therein.</w:t>
      </w:r>
    </w:p>
    <w:p>
      <w:pPr>
        <w:spacing w:after="0" w:line="14" w:lineRule="exact"/>
        <w:rPr>
          <w:rFonts w:ascii="Arial" w:cs="Arial" w:eastAsia="Arial" w:hAnsi="Arial"/>
          <w:sz w:val="12"/>
          <w:szCs w:val="12"/>
          <w:color w:val="008000"/>
        </w:rPr>
      </w:pPr>
    </w:p>
    <w:p>
      <w:pPr>
        <w:ind w:left="160" w:hanging="133"/>
        <w:spacing w:after="0"/>
        <w:tabs>
          <w:tab w:leader="none" w:pos="16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Represents a change in the form of ownership of SMP II by virtue of the receipt of shares in the pro-rata in-kind distribution of voting common stock of the Issuer for no consideration by Spark Capital</w:t>
      </w:r>
    </w:p>
    <w:p>
      <w:pPr>
        <w:spacing w:after="0" w:line="18" w:lineRule="exact"/>
        <w:rPr>
          <w:rFonts w:ascii="Arial" w:cs="Arial" w:eastAsia="Arial" w:hAnsi="Arial"/>
          <w:sz w:val="12"/>
          <w:szCs w:val="12"/>
          <w:color w:val="008000"/>
        </w:rPr>
      </w:pPr>
    </w:p>
    <w:p>
      <w:pPr>
        <w:ind w:left="20"/>
        <w:spacing w:after="0"/>
        <w:rPr>
          <w:rFonts w:ascii="Arial" w:cs="Arial" w:eastAsia="Arial" w:hAnsi="Arial"/>
          <w:sz w:val="12"/>
          <w:szCs w:val="12"/>
          <w:color w:val="008000"/>
        </w:rPr>
      </w:pPr>
      <w:r>
        <w:rPr>
          <w:rFonts w:ascii="Arial" w:cs="Arial" w:eastAsia="Arial" w:hAnsi="Arial"/>
          <w:sz w:val="13"/>
          <w:szCs w:val="13"/>
          <w:color w:val="008000"/>
        </w:rPr>
        <w:t>II.</w:t>
      </w:r>
    </w:p>
    <w:p>
      <w:pPr>
        <w:spacing w:after="0" w:line="40" w:lineRule="exact"/>
        <w:rPr>
          <w:rFonts w:ascii="Arial" w:cs="Arial" w:eastAsia="Arial" w:hAnsi="Arial"/>
          <w:sz w:val="12"/>
          <w:szCs w:val="12"/>
          <w:color w:val="008000"/>
        </w:rPr>
      </w:pPr>
    </w:p>
    <w:p>
      <w:pPr>
        <w:ind w:left="20" w:right="200" w:firstLine="7"/>
        <w:spacing w:after="0" w:line="250"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shares are held by SMP II. The SMP II Managing Members are the managing members of SMP II. Each of the SMP II Managing Members may be deemed to share investment, voting and dispositive power over these shares. Each of the SMP II Managing Members disclaim beneficial ownership of these shares and this report shall not be deemed an admission that any one of them is the beneficial owner of such securities for purposes of Section 16 or for any other purpose, except to the extent of their respective pecuniary interests therein.</w:t>
      </w:r>
    </w:p>
    <w:p>
      <w:pPr>
        <w:sectPr>
          <w:pgSz w:w="11900" w:h="16838" w:orient="portrait"/>
          <w:cols w:equalWidth="0" w:num="1">
            <w:col w:w="10840"/>
          </w:cols>
          <w:pgMar w:left="480" w:top="131" w:right="579" w:bottom="0" w:gutter="0" w:footer="0" w:header="0"/>
        </w:sectPr>
      </w:pPr>
    </w:p>
    <w:bookmarkStart w:id="2" w:name="page3"/>
    <w:bookmarkEnd w:id="2"/>
    <w:p>
      <w:pPr>
        <w:ind w:left="140" w:hanging="133"/>
        <w:spacing w:after="0"/>
        <w:tabs>
          <w:tab w:leader="none" w:pos="14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Represents a pro-rata distribution, and not a purchase or sale, without additional consideration by SMP II to its members.</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Represents a pro-rata distribution, and not a purchase or sale, without additional consideration by Spark Capital Founders' Fund II, L.P. ("Spark Capital FF II") to its partners.</w:t>
      </w:r>
    </w:p>
    <w:p>
      <w:pPr>
        <w:spacing w:after="0" w:line="50" w:lineRule="exact"/>
        <w:rPr>
          <w:rFonts w:ascii="Arial" w:cs="Arial" w:eastAsia="Arial" w:hAnsi="Arial"/>
          <w:sz w:val="13"/>
          <w:szCs w:val="13"/>
          <w:color w:val="008000"/>
        </w:rPr>
      </w:pPr>
    </w:p>
    <w:p>
      <w:pPr>
        <w:ind w:firstLine="7"/>
        <w:spacing w:after="0" w:line="245" w:lineRule="auto"/>
        <w:tabs>
          <w:tab w:leader="none" w:pos="133"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These shares are held of record by Spark Capital FF II. SMP II is the general partner of Spark Capital FF II. The SMP II Managing Members are the managing members of SMP II. Each of the SMP II Managing Members may be deemed to share investment, voting and dispositive power over these shares. Each of SMP II and the SMP II Managing Members disclaim beneficial ownership of these shares and this report shall not be deemed an admission that any one of them is the beneficial owner of such securities for purposes of Section 16 or for any other purpose, except to the extent of their respective pecuniary interests therein.</w:t>
      </w:r>
    </w:p>
    <w:p>
      <w:pPr>
        <w:spacing w:after="0" w:line="29" w:lineRule="exact"/>
        <w:rPr>
          <w:rFonts w:ascii="Arial" w:cs="Arial" w:eastAsia="Arial" w:hAnsi="Arial"/>
          <w:sz w:val="13"/>
          <w:szCs w:val="13"/>
          <w:color w:val="008000"/>
        </w:rPr>
      </w:pPr>
    </w:p>
    <w:p>
      <w:pPr>
        <w:ind w:left="140" w:hanging="133"/>
        <w:spacing w:after="0"/>
        <w:tabs>
          <w:tab w:leader="none" w:pos="14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Represents a pro-rata distribution, and not a purchase or sale, without additional consideration by Spark Capital Growth Founders' Fund, L.P. ("Spark Capital Growth FF") to its partners.</w:t>
      </w:r>
    </w:p>
    <w:p>
      <w:pPr>
        <w:spacing w:after="0" w:line="50" w:lineRule="exact"/>
        <w:rPr>
          <w:rFonts w:ascii="Arial" w:cs="Arial" w:eastAsia="Arial" w:hAnsi="Arial"/>
          <w:sz w:val="13"/>
          <w:szCs w:val="13"/>
          <w:color w:val="008000"/>
        </w:rPr>
      </w:pPr>
    </w:p>
    <w:p>
      <w:pPr>
        <w:ind w:right="120" w:firstLine="7"/>
        <w:spacing w:after="0" w:line="272" w:lineRule="auto"/>
        <w:tabs>
          <w:tab w:leader="none" w:pos="133"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These shares are held of record by Spark Capital Growth FF. Spark Growth Management Partners, LLC ("SGMP") is the general partner of Spark Capital Growth FF. Paul Conway, Bijan Sabet, Santo Politi, and Jeremy Philips (the "SGMP Managing Members") are the managing members of SGMP. Each of the SGMP Managing Members may be deemed to share investment, voting and dispositive power over these shares. Each of SGMP and the SGMP Managing Members disclaim beneficial ownership of these shares and this report shall not be deemed an admission that any one of them is the beneficial owner of such securities for purposes of Section 16 or for any other purpose, except to the extent of their respective pecuniary interests therein.</w:t>
      </w:r>
    </w:p>
    <w:p>
      <w:pPr>
        <w:spacing w:after="0" w:line="14" w:lineRule="exact"/>
        <w:rPr>
          <w:rFonts w:ascii="Arial" w:cs="Arial" w:eastAsia="Arial" w:hAnsi="Arial"/>
          <w:sz w:val="12"/>
          <w:szCs w:val="12"/>
          <w:color w:val="008000"/>
        </w:rPr>
      </w:pPr>
    </w:p>
    <w:p>
      <w:pPr>
        <w:ind w:left="200" w:hanging="193"/>
        <w:spacing w:after="0"/>
        <w:tabs>
          <w:tab w:leader="none" w:pos="20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Represents a pro-rata distribution, and not a purchase or sale, without additional consideration by Spark Capital Growth Fund, L.P. ("Spark Capital Growth") to its partners.</w:t>
      </w:r>
    </w:p>
    <w:p>
      <w:pPr>
        <w:spacing w:after="0" w:line="50" w:lineRule="exact"/>
        <w:rPr>
          <w:rFonts w:ascii="Arial" w:cs="Arial" w:eastAsia="Arial" w:hAnsi="Arial"/>
          <w:sz w:val="13"/>
          <w:szCs w:val="13"/>
          <w:color w:val="008000"/>
        </w:rPr>
      </w:pPr>
    </w:p>
    <w:p>
      <w:pPr>
        <w:jc w:val="both"/>
        <w:ind w:right="40" w:firstLine="7"/>
        <w:spacing w:after="0" w:line="245" w:lineRule="auto"/>
        <w:tabs>
          <w:tab w:leader="none" w:pos="195"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These shares are held of record Spark Capital Growth. SGMP is the general partner of Spark Capital Growth. The SGMP Managing Members are the managing members of SGMP. Each of the SGMP Managing Members may be deemed to share investment, voting and dispositive power over these shares. Each of SGMP and the SGMP Managing Members disclaim beneficial ownership of these shares and this report shall not be deemed an admission that any one of them is the beneficial owner of such securities for purposes of Section 16 or for any other purpose, except to the extent of their respective pecuniary interests therein.</w:t>
      </w:r>
    </w:p>
    <w:p>
      <w:pPr>
        <w:spacing w:after="0" w:line="29" w:lineRule="exact"/>
        <w:rPr>
          <w:rFonts w:ascii="Arial" w:cs="Arial" w:eastAsia="Arial" w:hAnsi="Arial"/>
          <w:sz w:val="13"/>
          <w:szCs w:val="13"/>
          <w:color w:val="008000"/>
        </w:rPr>
      </w:pPr>
    </w:p>
    <w:p>
      <w:pPr>
        <w:ind w:right="20" w:firstLine="7"/>
        <w:spacing w:after="0" w:line="266" w:lineRule="auto"/>
        <w:tabs>
          <w:tab w:leader="none" w:pos="20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Represents a change in the form of ownership of SGMP by virtue of the receipt of shares in the pro-rata in-kind distribution of voting common stock of the Issuer for no consideration by Spark Capital Growth.</w:t>
      </w:r>
    </w:p>
    <w:p>
      <w:pPr>
        <w:spacing w:after="0" w:line="15" w:lineRule="exact"/>
        <w:rPr>
          <w:rFonts w:ascii="Arial" w:cs="Arial" w:eastAsia="Arial" w:hAnsi="Arial"/>
          <w:sz w:val="13"/>
          <w:szCs w:val="13"/>
          <w:color w:val="008000"/>
        </w:rPr>
      </w:pPr>
    </w:p>
    <w:p>
      <w:pPr>
        <w:ind w:right="280" w:firstLine="7"/>
        <w:spacing w:after="0" w:line="281" w:lineRule="auto"/>
        <w:tabs>
          <w:tab w:leader="none" w:pos="200"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These shares are held by SGMP. The SGMP Managing Members are the managing members of SGMP. Each of the SGMP Managing Members may be deemed to share investment, voting and dispositive power over these shares. Each of the SGMP Managing Members disclaim beneficial ownership of these shares and this report shall not be deemed an admission that any one of them is the beneficial owner of such securities for purposes of Section 16 or for any other purpose, except to the extent of their respective pecuniary interests therein.</w:t>
      </w:r>
    </w:p>
    <w:p>
      <w:pPr>
        <w:spacing w:after="0" w:line="8" w:lineRule="exact"/>
        <w:rPr>
          <w:rFonts w:ascii="Arial" w:cs="Arial" w:eastAsia="Arial" w:hAnsi="Arial"/>
          <w:sz w:val="12"/>
          <w:szCs w:val="12"/>
          <w:color w:val="008000"/>
        </w:rPr>
      </w:pPr>
    </w:p>
    <w:p>
      <w:pPr>
        <w:ind w:left="200" w:hanging="193"/>
        <w:spacing w:after="0"/>
        <w:tabs>
          <w:tab w:leader="none" w:pos="20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Represents a pro-rata distribution, and not a purchase or sale, without additional consideration by SGMP to its members.</w:t>
      </w:r>
    </w:p>
    <w:p>
      <w:pPr>
        <w:spacing w:after="0" w:line="50" w:lineRule="exact"/>
        <w:rPr>
          <w:rFonts w:ascii="Arial" w:cs="Arial" w:eastAsia="Arial" w:hAnsi="Arial"/>
          <w:sz w:val="13"/>
          <w:szCs w:val="13"/>
          <w:color w:val="008000"/>
        </w:rPr>
      </w:pPr>
    </w:p>
    <w:p>
      <w:pPr>
        <w:ind w:right="80" w:firstLine="7"/>
        <w:spacing w:after="0" w:line="266" w:lineRule="auto"/>
        <w:tabs>
          <w:tab w:leader="none" w:pos="20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Represents a change in the form of ownership of Spark Capital Partners, LLC ("SCP") by virtue of the receipt of shares in the pro-rata in-kind distribution of voting common stock of the Issuer for no consideration by SMP II.</w:t>
      </w:r>
    </w:p>
    <w:p>
      <w:pPr>
        <w:spacing w:after="0" w:line="15" w:lineRule="exact"/>
        <w:rPr>
          <w:rFonts w:ascii="Arial" w:cs="Arial" w:eastAsia="Arial" w:hAnsi="Arial"/>
          <w:sz w:val="13"/>
          <w:szCs w:val="13"/>
          <w:color w:val="008000"/>
        </w:rPr>
      </w:pPr>
    </w:p>
    <w:p>
      <w:pPr>
        <w:ind w:left="200" w:hanging="193"/>
        <w:spacing w:after="0"/>
        <w:tabs>
          <w:tab w:leader="none" w:pos="200"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Represents a change in the form of ownership of SCP by virtue of the receipt of shares in the pro-rata in-kind distribution of voting common stock of the Issuer for no consideration by SGMP.</w:t>
      </w:r>
    </w:p>
    <w:p>
      <w:pPr>
        <w:spacing w:after="0" w:line="61" w:lineRule="exact"/>
        <w:rPr>
          <w:rFonts w:ascii="Arial" w:cs="Arial" w:eastAsia="Arial" w:hAnsi="Arial"/>
          <w:sz w:val="12"/>
          <w:szCs w:val="12"/>
          <w:color w:val="008000"/>
        </w:rPr>
      </w:pPr>
    </w:p>
    <w:p>
      <w:pPr>
        <w:jc w:val="both"/>
        <w:ind w:right="140" w:firstLine="7"/>
        <w:spacing w:after="0" w:line="250" w:lineRule="auto"/>
        <w:tabs>
          <w:tab w:leader="none" w:pos="20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These shares are held by SCP. The principal managing members of SCP are Alex Finkelstein, Jeremy Philips and Santo Politi (the "SCP Managing Members"). Each of the SCP Managing Members disclaim beneficial ownership of these shares and this report shall not be deemed an admission that any one of them is the beneficial owner of such securities for purposes of Section 16 or for any other purpose, except to the extent of their respective pecuniary interests therein, if any.</w:t>
      </w:r>
    </w:p>
    <w:p>
      <w:pPr>
        <w:spacing w:after="0" w:line="25" w:lineRule="exact"/>
        <w:rPr>
          <w:rFonts w:ascii="Arial" w:cs="Arial" w:eastAsia="Arial" w:hAnsi="Arial"/>
          <w:sz w:val="13"/>
          <w:szCs w:val="13"/>
          <w:color w:val="008000"/>
        </w:rPr>
      </w:pPr>
    </w:p>
    <w:p>
      <w:pPr>
        <w:ind w:right="20" w:firstLine="7"/>
        <w:spacing w:after="0" w:line="266" w:lineRule="auto"/>
        <w:tabs>
          <w:tab w:leader="none" w:pos="20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Represents a change in the form of ownership of SGMP by virtue of the receipt of shares in the pro-rata in-kind distribution of voting common stock of the Issuer for no consideration by Spark Capital Growth FF.</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008000"/>
        </w:rPr>
        <w:t>Alexander J. Finkelstein is a member of the Issuer's board of directors and files separate Section 16 reports.</w:t>
      </w:r>
    </w:p>
    <w:p>
      <w:pPr>
        <w:sectPr>
          <w:pgSz w:w="11900" w:h="16838" w:orient="portrait"/>
          <w:cols w:equalWidth="0" w:num="1">
            <w:col w:w="10880"/>
          </w:cols>
          <w:pgMar w:left="500" w:top="131" w:right="519" w:bottom="1440" w:gutter="0" w:footer="0" w:header="0"/>
        </w:sectPr>
      </w:pPr>
    </w:p>
    <w:p>
      <w:pPr>
        <w:spacing w:after="0" w:line="77"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Spark Growth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217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22174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Partners, LLC, /s/ Paul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5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0052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Conway,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04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Spark Management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465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II, LLC, /s/ Paul Conway,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22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1322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64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Spark Capital II, L.P., /s/ Paul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3106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Conway,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04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of Spark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72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Partners 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38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2338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11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31115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Spark Capital Founders'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3119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31191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II, L.P., /s/ Paul Conway,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60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0960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Managing Member of Spark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96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Management Partners 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5318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943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79438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Spark Capital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9652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96520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Founders' Fund, L.P., /s/ Paul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909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29095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Conway,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04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of Spark Growth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411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Partners,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11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31115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Spark Capital Growth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465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/s/ Paul Conway,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77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96774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Managing Member of Spark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96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Growth Management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5318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66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Spark Capital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80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Paul Conway,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47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121475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color w:val="0000FF"/>
        </w:rPr>
        <w:t>05/16/2022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05/16/2022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05/16/2022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05/16/2022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05/16/2022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05/16/2022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05/16/2022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15" w:lineRule="exact"/>
        <w:rPr>
          <w:sz w:val="20"/>
          <w:szCs w:val="20"/>
          <w:color w:val="auto"/>
        </w:rPr>
      </w:pPr>
    </w:p>
    <w:p>
      <w:pPr>
        <w:sectPr>
          <w:pgSz w:w="11900" w:h="16838" w:orient="portrait"/>
          <w:cols w:equalWidth="0" w:num="2">
            <w:col w:w="8680" w:space="60"/>
            <w:col w:w="2140"/>
          </w:cols>
          <w:pgMar w:left="500" w:top="131" w:right="51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19" w:lineRule="auto"/>
        <w:tabs>
          <w:tab w:leader="none" w:pos="141" w:val="left"/>
        </w:tabs>
        <w:numPr>
          <w:ilvl w:val="0"/>
          <w:numId w:val="5"/>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31"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X"/>
      <w:numFmt w:val="bullet"/>
      <w:start w:val="1"/>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5"/>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12" Type="http://schemas.openxmlformats.org/officeDocument/2006/relationships/hyperlink" Target="http://www.sec.gov/cgi-bin/browse-edgar?action=getcompany&amp;CIK=0001600213" TargetMode="External"/><Relationship Id="rId13" Type="http://schemas.openxmlformats.org/officeDocument/2006/relationships/hyperlink" Target="http://www.sec.gov/cgi-bin/browse-edgar?action=getcompany&amp;CIK=0001580560" TargetMode="External"/><Relationship Id="rId16" Type="http://schemas.openxmlformats.org/officeDocument/2006/relationships/hyperlink" Target="http://www.sec.gov/cgi-bin/browse-edgar?action=getcompany&amp;CIK=0001430606" TargetMode="External"/><Relationship Id="rId17" Type="http://schemas.openxmlformats.org/officeDocument/2006/relationships/hyperlink" Target="http://www.sec.gov/cgi-bin/browse-edgar?action=getcompany&amp;CIK=0001608856" TargetMode="External"/><Relationship Id="rId18" Type="http://schemas.openxmlformats.org/officeDocument/2006/relationships/hyperlink" Target="http://www.sec.gov/cgi-bin/browse-edgar?action=getcompany&amp;CIK=0001407645" TargetMode="External"/><Relationship Id="rId19" Type="http://schemas.openxmlformats.org/officeDocument/2006/relationships/hyperlink" Target="http://www.sec.gov/cgi-bin/browse-edgar?action=getcompany&amp;CIK=0001640667" TargetMode="External"/><Relationship Id="rId20" Type="http://schemas.openxmlformats.org/officeDocument/2006/relationships/hyperlink" Target="http://www.sec.gov/cgi-bin/browse-edgar?action=getcompany&amp;CIK=00016088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2022-05-16T17:10:17Z</dcterms:created>
  <dcterms:modified xsi:type="dcterms:W3CDTF">2022-05-16T17:10:17Z</dcterms:modified>
</cp:coreProperties>
</file>