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948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4868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62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Massaro Michael</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right="1040"/>
        <w:spacing w:after="0" w:line="395" w:lineRule="auto"/>
        <w:rPr>
          <w:sz w:val="20"/>
          <w:szCs w:val="20"/>
          <w:color w:val="auto"/>
        </w:rPr>
      </w:pPr>
      <w:r>
        <w:rPr>
          <w:rFonts w:ascii="Arial" w:cs="Arial" w:eastAsia="Arial" w:hAnsi="Arial"/>
          <w:sz w:val="16"/>
          <w:szCs w:val="16"/>
          <w:color w:val="0000FF"/>
        </w:rPr>
        <w:t>C/O FLYWIRE CORPORATION 141 TREMONT STREET, SUITE 10</w:t>
      </w:r>
    </w:p>
    <w:p>
      <w:pPr>
        <w:spacing w:after="0" w:line="154"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7"/>
                <w:szCs w:val="17"/>
                <w:color w:val="0000FF"/>
              </w:rPr>
              <w:t>BOSTON</w:t>
            </w:r>
          </w:p>
        </w:tc>
        <w:tc>
          <w:tcPr>
            <w:tcW w:w="1080" w:type="dxa"/>
            <w:vAlign w:val="bottom"/>
          </w:tcPr>
          <w:p>
            <w:pPr>
              <w:ind w:left="260"/>
              <w:spacing w:after="0"/>
              <w:rPr>
                <w:sz w:val="20"/>
                <w:szCs w:val="20"/>
                <w:color w:val="auto"/>
              </w:rPr>
            </w:pPr>
            <w:r>
              <w:rPr>
                <w:rFonts w:ascii="Arial" w:cs="Arial" w:eastAsia="Arial" w:hAnsi="Arial"/>
                <w:sz w:val="17"/>
                <w:szCs w:val="17"/>
                <w:color w:val="0000FF"/>
              </w:rPr>
              <w:t>MA</w:t>
            </w:r>
          </w:p>
        </w:tc>
        <w:tc>
          <w:tcPr>
            <w:tcW w:w="1600" w:type="dxa"/>
            <w:vAlign w:val="bottom"/>
          </w:tcPr>
          <w:p>
            <w:pPr>
              <w:ind w:left="400"/>
              <w:spacing w:after="0"/>
              <w:rPr>
                <w:sz w:val="20"/>
                <w:szCs w:val="20"/>
                <w:color w:val="auto"/>
              </w:rPr>
            </w:pPr>
            <w:r>
              <w:rPr>
                <w:rFonts w:ascii="Arial" w:cs="Arial" w:eastAsia="Arial" w:hAnsi="Arial"/>
                <w:sz w:val="17"/>
                <w:szCs w:val="17"/>
                <w:color w:val="0000FF"/>
              </w:rPr>
              <w:t>02111</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Flywire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FLYW</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020" w:type="dxa"/>
            <w:vAlign w:val="bottom"/>
            <w:tcBorders>
              <w:bottom w:val="single" w:sz="8" w:color="0000EE"/>
            </w:tcBorders>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8"/>
        </w:trPr>
        <w:tc>
          <w:tcPr>
            <w:tcW w:w="1220" w:type="dxa"/>
            <w:vAlign w:val="bottom"/>
            <w:gridSpan w:val="3"/>
            <w:vMerge w:val="restart"/>
          </w:tcPr>
          <w:p>
            <w:pPr>
              <w:ind w:left="80"/>
              <w:spacing w:after="0"/>
              <w:rPr>
                <w:sz w:val="20"/>
                <w:szCs w:val="20"/>
                <w:color w:val="auto"/>
              </w:rPr>
            </w:pPr>
            <w:r>
              <w:rPr>
                <w:rFonts w:ascii="Arial" w:cs="Arial" w:eastAsia="Arial" w:hAnsi="Arial"/>
                <w:sz w:val="17"/>
                <w:szCs w:val="17"/>
                <w:color w:val="0000FF"/>
              </w:rPr>
              <w:t>09/05/2023</w:t>
            </w:r>
          </w:p>
        </w:tc>
        <w:tc>
          <w:tcPr>
            <w:tcW w:w="2600" w:type="dxa"/>
            <w:vAlign w:val="bottom"/>
          </w:tcPr>
          <w:p>
            <w:pPr>
              <w:spacing w:after="0"/>
              <w:rPr>
                <w:sz w:val="7"/>
                <w:szCs w:val="7"/>
                <w:color w:val="auto"/>
              </w:rPr>
            </w:pPr>
          </w:p>
        </w:tc>
        <w:tc>
          <w:tcPr>
            <w:tcW w:w="50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2"/>
        </w:trPr>
        <w:tc>
          <w:tcPr>
            <w:tcW w:w="1220" w:type="dxa"/>
            <w:vAlign w:val="bottom"/>
            <w:gridSpan w:val="3"/>
            <w:vMerge w:val="continue"/>
          </w:tcPr>
          <w:p>
            <w:pPr>
              <w:spacing w:after="0"/>
              <w:rPr>
                <w:sz w:val="11"/>
                <w:szCs w:val="11"/>
                <w:color w:val="auto"/>
              </w:rPr>
            </w:pPr>
          </w:p>
        </w:tc>
        <w:tc>
          <w:tcPr>
            <w:tcW w:w="26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26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62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tcPr>
          <w:p>
            <w:pPr>
              <w:ind w:left="220"/>
              <w:spacing w:after="0"/>
              <w:rPr>
                <w:sz w:val="20"/>
                <w:szCs w:val="20"/>
                <w:color w:val="auto"/>
              </w:rPr>
            </w:pPr>
            <w:r>
              <w:rPr>
                <w:rFonts w:ascii="Arial" w:cs="Arial" w:eastAsia="Arial" w:hAnsi="Arial"/>
                <w:sz w:val="12"/>
                <w:szCs w:val="12"/>
                <w:b w:val="1"/>
                <w:bCs w:val="1"/>
                <w:color w:val="auto"/>
              </w:rPr>
              <w:t>2. Transaction</w:t>
            </w:r>
          </w:p>
        </w:tc>
        <w:tc>
          <w:tcPr>
            <w:tcW w:w="126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3.</w:t>
            </w:r>
          </w:p>
        </w:tc>
        <w:tc>
          <w:tcPr>
            <w:tcW w:w="460" w:type="dxa"/>
            <w:vAlign w:val="bottom"/>
          </w:tcPr>
          <w:p>
            <w:pPr>
              <w:spacing w:after="0"/>
              <w:rPr>
                <w:sz w:val="13"/>
                <w:szCs w:val="13"/>
                <w:color w:val="auto"/>
              </w:rPr>
            </w:pPr>
          </w:p>
        </w:tc>
        <w:tc>
          <w:tcPr>
            <w:tcW w:w="20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220"/>
              <w:spacing w:after="0" w:line="131"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220"/>
              <w:spacing w:after="0" w:line="131"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6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88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66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tcPr>
          <w:p>
            <w:pPr>
              <w:spacing w:after="0"/>
              <w:rPr>
                <w:sz w:val="7"/>
                <w:szCs w:val="7"/>
                <w:color w:val="auto"/>
              </w:rPr>
            </w:pPr>
          </w:p>
        </w:tc>
        <w:tc>
          <w:tcPr>
            <w:tcW w:w="88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spacing w:after="0"/>
              <w:rPr>
                <w:sz w:val="20"/>
                <w:szCs w:val="20"/>
                <w:color w:val="auto"/>
              </w:rPr>
            </w:pPr>
            <w:r>
              <w:rPr>
                <w:rFonts w:ascii="Arial" w:cs="Arial" w:eastAsia="Arial" w:hAnsi="Arial"/>
                <w:sz w:val="12"/>
                <w:szCs w:val="12"/>
                <w:b w:val="1"/>
                <w:bCs w:val="1"/>
                <w:color w:val="auto"/>
              </w:rPr>
              <w:t>(A) or</w:t>
            </w:r>
          </w:p>
        </w:tc>
        <w:tc>
          <w:tcPr>
            <w:tcW w:w="66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340" w:type="dxa"/>
            <w:vAlign w:val="bottom"/>
          </w:tcPr>
          <w:p>
            <w:pPr>
              <w:spacing w:after="0"/>
              <w:rPr>
                <w:sz w:val="7"/>
                <w:szCs w:val="7"/>
                <w:color w:val="auto"/>
              </w:rPr>
            </w:pPr>
          </w:p>
        </w:tc>
        <w:tc>
          <w:tcPr>
            <w:tcW w:w="5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4"/>
                <w:szCs w:val="14"/>
                <w:color w:val="auto"/>
              </w:rPr>
            </w:pP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720" w:type="dxa"/>
            <w:vAlign w:val="bottom"/>
            <w:tcBorders>
              <w:bottom w:val="single" w:sz="8" w:color="2C2C2C"/>
            </w:tcBorders>
          </w:tcPr>
          <w:p>
            <w:pPr>
              <w:spacing w:after="0"/>
              <w:rPr>
                <w:sz w:val="15"/>
                <w:szCs w:val="15"/>
                <w:color w:val="auto"/>
              </w:rPr>
            </w:pPr>
          </w:p>
        </w:tc>
        <w:tc>
          <w:tcPr>
            <w:tcW w:w="80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1120" w:type="dxa"/>
            <w:vAlign w:val="bottom"/>
            <w:tcBorders>
              <w:bottom w:val="single" w:sz="8" w:color="2C2C2C"/>
            </w:tcBorders>
          </w:tcPr>
          <w:p>
            <w:pPr>
              <w:spacing w:after="0"/>
              <w:rPr>
                <w:sz w:val="15"/>
                <w:szCs w:val="15"/>
                <w:color w:val="auto"/>
              </w:rPr>
            </w:pPr>
          </w:p>
        </w:tc>
        <w:tc>
          <w:tcPr>
            <w:tcW w:w="82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spacing w:after="0"/>
              <w:rPr>
                <w:sz w:val="20"/>
                <w:szCs w:val="20"/>
                <w:color w:val="auto"/>
              </w:rPr>
            </w:pPr>
            <w:r>
              <w:rPr>
                <w:rFonts w:ascii="Arial" w:cs="Arial" w:eastAsia="Arial" w:hAnsi="Arial"/>
                <w:sz w:val="12"/>
                <w:szCs w:val="12"/>
                <w:b w:val="1"/>
                <w:bCs w:val="1"/>
                <w:color w:val="auto"/>
              </w:rPr>
              <w:t>(D)</w:t>
            </w:r>
          </w:p>
        </w:tc>
        <w:tc>
          <w:tcPr>
            <w:tcW w:w="66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09/05/2023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ind w:left="40"/>
              <w:spacing w:after="0"/>
              <w:rPr>
                <w:sz w:val="20"/>
                <w:szCs w:val="20"/>
                <w:color w:val="auto"/>
              </w:rPr>
            </w:pPr>
            <w:r>
              <w:rPr>
                <w:rFonts w:ascii="Arial" w:cs="Arial" w:eastAsia="Arial" w:hAnsi="Arial"/>
                <w:sz w:val="13"/>
                <w:szCs w:val="13"/>
                <w:color w:val="0000FF"/>
                <w:w w:val="91"/>
              </w:rPr>
              <w:t>S</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9"/>
              <w:spacing w:after="0"/>
              <w:rPr>
                <w:sz w:val="20"/>
                <w:szCs w:val="20"/>
                <w:color w:val="auto"/>
              </w:rPr>
            </w:pPr>
            <w:r>
              <w:rPr>
                <w:rFonts w:ascii="Arial" w:cs="Arial" w:eastAsia="Arial" w:hAnsi="Arial"/>
                <w:sz w:val="17"/>
                <w:szCs w:val="17"/>
                <w:color w:val="0000FF"/>
                <w:w w:val="85"/>
              </w:rPr>
              <w:t>7,742</w:t>
            </w:r>
            <w:r>
              <w:rPr>
                <w:rFonts w:ascii="Arial" w:cs="Arial" w:eastAsia="Arial" w:hAnsi="Arial"/>
                <w:sz w:val="22"/>
                <w:szCs w:val="22"/>
                <w:color w:val="008000"/>
                <w:w w:val="85"/>
                <w:vertAlign w:val="superscript"/>
              </w:rPr>
              <w:t>(1)</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2"/>
          </w:tcPr>
          <w:p>
            <w:pPr>
              <w:jc w:val="center"/>
              <w:ind w:left="11"/>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33.748</w:t>
            </w: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1,046,597</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09/05/2023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ind w:left="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11,457</w:t>
            </w:r>
            <w:r>
              <w:rPr>
                <w:rFonts w:ascii="Arial" w:cs="Arial" w:eastAsia="Arial" w:hAnsi="Arial"/>
                <w:sz w:val="22"/>
                <w:szCs w:val="22"/>
                <w:color w:val="008000"/>
                <w:w w:val="82"/>
                <w:vertAlign w:val="superscript"/>
              </w:rPr>
              <w:t>(3)</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33.8185</w:t>
            </w:r>
            <w:r>
              <w:rPr>
                <w:rFonts w:ascii="Arial" w:cs="Arial" w:eastAsia="Arial" w:hAnsi="Arial"/>
                <w:sz w:val="22"/>
                <w:szCs w:val="22"/>
                <w:color w:val="008000"/>
                <w:w w:val="87"/>
                <w:vertAlign w:val="superscript"/>
              </w:rPr>
              <w:t>(4)</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1,035,140</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w w:val="91"/>
              </w:rPr>
              <w:t>09/06/2023</w:t>
            </w:r>
          </w:p>
        </w:tc>
        <w:tc>
          <w:tcPr>
            <w:tcW w:w="8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jc w:val="center"/>
              <w:ind w:left="40"/>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(2)</w:t>
            </w:r>
          </w:p>
        </w:tc>
        <w:tc>
          <w:tcPr>
            <w:tcW w:w="46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2"/>
              </w:rPr>
              <w:t>11,457</w:t>
            </w:r>
            <w:r>
              <w:rPr>
                <w:rFonts w:ascii="Arial" w:cs="Arial" w:eastAsia="Arial" w:hAnsi="Arial"/>
                <w:sz w:val="22"/>
                <w:szCs w:val="22"/>
                <w:color w:val="008000"/>
                <w:w w:val="82"/>
                <w:vertAlign w:val="superscript"/>
              </w:rPr>
              <w:t>(3)</w:t>
            </w:r>
          </w:p>
        </w:tc>
        <w:tc>
          <w:tcPr>
            <w:tcW w:w="460" w:type="dxa"/>
            <w:vAlign w:val="bottom"/>
            <w:tcBorders>
              <w:bottom w:val="single" w:sz="8" w:color="2C2C2C"/>
            </w:tcBorders>
          </w:tcPr>
          <w:p>
            <w:pPr>
              <w:ind w:left="120"/>
              <w:spacing w:after="0"/>
              <w:rPr>
                <w:sz w:val="20"/>
                <w:szCs w:val="20"/>
                <w:color w:val="auto"/>
              </w:rPr>
            </w:pPr>
            <w:r>
              <w:rPr>
                <w:rFonts w:ascii="Arial" w:cs="Arial" w:eastAsia="Arial" w:hAnsi="Arial"/>
                <w:sz w:val="17"/>
                <w:szCs w:val="17"/>
                <w:color w:val="0000FF"/>
              </w:rPr>
              <w:t>D</w:t>
            </w:r>
          </w:p>
        </w:tc>
        <w:tc>
          <w:tcPr>
            <w:tcW w:w="8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33.4027</w:t>
            </w:r>
            <w:r>
              <w:rPr>
                <w:rFonts w:ascii="Arial" w:cs="Arial" w:eastAsia="Arial" w:hAnsi="Arial"/>
                <w:sz w:val="22"/>
                <w:szCs w:val="22"/>
                <w:color w:val="008000"/>
                <w:w w:val="87"/>
                <w:vertAlign w:val="superscript"/>
              </w:rPr>
              <w:t>(5)</w:t>
            </w:r>
          </w:p>
        </w:tc>
        <w:tc>
          <w:tcPr>
            <w:tcW w:w="11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9"/>
              </w:rPr>
              <w:t>1,023,683</w:t>
            </w: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0"/>
              <w:spacing w:after="0"/>
              <w:rPr>
                <w:sz w:val="20"/>
                <w:szCs w:val="20"/>
                <w:color w:val="auto"/>
              </w:rPr>
            </w:pPr>
            <w:r>
              <w:rPr>
                <w:rFonts w:ascii="Arial" w:cs="Arial" w:eastAsia="Arial" w:hAnsi="Arial"/>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40" w:type="dxa"/>
            <w:vAlign w:val="bottom"/>
            <w:gridSpan w:val="3"/>
            <w:vMerge w:val="restart"/>
          </w:tcPr>
          <w:p>
            <w:pPr>
              <w:ind w:left="60"/>
              <w:spacing w:after="0"/>
              <w:rPr>
                <w:sz w:val="20"/>
                <w:szCs w:val="20"/>
                <w:color w:val="auto"/>
              </w:rPr>
            </w:pPr>
            <w:r>
              <w:rPr>
                <w:rFonts w:ascii="Arial" w:cs="Arial" w:eastAsia="Arial" w:hAnsi="Arial"/>
                <w:sz w:val="17"/>
                <w:szCs w:val="17"/>
                <w:color w:val="0000FF"/>
              </w:rPr>
              <w:t>Voting Common Stock</w:t>
            </w: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91"/>
              </w:rPr>
              <w:t>337,440</w:t>
            </w:r>
          </w:p>
        </w:tc>
        <w:tc>
          <w:tcPr>
            <w:tcW w:w="340" w:type="dxa"/>
            <w:vAlign w:val="bottom"/>
          </w:tcPr>
          <w:p>
            <w:pPr>
              <w:spacing w:after="0"/>
              <w:rPr>
                <w:sz w:val="22"/>
                <w:szCs w:val="22"/>
                <w:color w:val="auto"/>
              </w:rPr>
            </w:pPr>
          </w:p>
        </w:tc>
        <w:tc>
          <w:tcPr>
            <w:tcW w:w="580" w:type="dxa"/>
            <w:vAlign w:val="bottom"/>
            <w:vMerge w:val="restart"/>
          </w:tcPr>
          <w:p>
            <w:pPr>
              <w:ind w:left="40"/>
              <w:spacing w:after="0"/>
              <w:rPr>
                <w:sz w:val="20"/>
                <w:szCs w:val="20"/>
                <w:color w:val="auto"/>
              </w:rPr>
            </w:pPr>
            <w:r>
              <w:rPr>
                <w:rFonts w:ascii="Arial" w:cs="Arial" w:eastAsia="Arial" w:hAnsi="Arial"/>
                <w:sz w:val="17"/>
                <w:szCs w:val="17"/>
                <w:color w:val="0000FF"/>
              </w:rPr>
              <w:t>I</w:t>
            </w:r>
          </w:p>
        </w:tc>
        <w:tc>
          <w:tcPr>
            <w:tcW w:w="920" w:type="dxa"/>
            <w:vAlign w:val="bottom"/>
            <w:gridSpan w:val="4"/>
          </w:tcPr>
          <w:p>
            <w:pPr>
              <w:ind w:left="2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640" w:type="dxa"/>
            <w:vAlign w:val="bottom"/>
            <w:gridSpan w:val="3"/>
            <w:vMerge w:val="continue"/>
          </w:tcPr>
          <w:p>
            <w:pPr>
              <w:spacing w:after="0"/>
              <w:rPr>
                <w:sz w:val="9"/>
                <w:szCs w:val="9"/>
                <w:color w:val="auto"/>
              </w:rPr>
            </w:pPr>
          </w:p>
        </w:tc>
        <w:tc>
          <w:tcPr>
            <w:tcW w:w="1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Pr>
          <w:p>
            <w:pPr>
              <w:spacing w:after="0"/>
              <w:rPr>
                <w:sz w:val="9"/>
                <w:szCs w:val="9"/>
                <w:color w:val="auto"/>
              </w:rPr>
            </w:pPr>
          </w:p>
        </w:tc>
        <w:tc>
          <w:tcPr>
            <w:tcW w:w="460" w:type="dxa"/>
            <w:vAlign w:val="bottom"/>
          </w:tcPr>
          <w:p>
            <w:pPr>
              <w:spacing w:after="0"/>
              <w:rPr>
                <w:sz w:val="9"/>
                <w:szCs w:val="9"/>
                <w:color w:val="auto"/>
              </w:rPr>
            </w:pPr>
          </w:p>
        </w:tc>
        <w:tc>
          <w:tcPr>
            <w:tcW w:w="8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gridSpan w:val="4"/>
            <w:vMerge w:val="restart"/>
          </w:tcPr>
          <w:p>
            <w:pPr>
              <w:ind w:left="2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(6)</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880" w:type="dxa"/>
            <w:vAlign w:val="bottom"/>
            <w:tcBorders>
              <w:bottom w:val="single" w:sz="8" w:color="2C2C2C"/>
            </w:tcBorders>
          </w:tcPr>
          <w:p>
            <w:pPr>
              <w:spacing w:after="0"/>
              <w:rPr>
                <w:sz w:val="18"/>
                <w:szCs w:val="18"/>
                <w:color w:val="auto"/>
              </w:rPr>
            </w:pPr>
          </w:p>
        </w:tc>
        <w:tc>
          <w:tcPr>
            <w:tcW w:w="4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34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3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w w:val="98"/>
              </w:rPr>
              <w:t>6. Date Exercisable and</w:t>
            </w:r>
          </w:p>
        </w:tc>
        <w:tc>
          <w:tcPr>
            <w:tcW w:w="1200" w:type="dxa"/>
            <w:vAlign w:val="bottom"/>
            <w:gridSpan w:val="3"/>
          </w:tcPr>
          <w:p>
            <w:pPr>
              <w:ind w:left="20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4"/>
                <w:szCs w:val="14"/>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3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340" w:type="dxa"/>
            <w:vAlign w:val="bottom"/>
          </w:tcPr>
          <w:p>
            <w:pPr>
              <w:spacing w:after="0"/>
              <w:rPr>
                <w:sz w:val="11"/>
                <w:szCs w:val="11"/>
                <w:color w:val="auto"/>
              </w:rPr>
            </w:pP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0" w:type="dxa"/>
            <w:vAlign w:val="bottom"/>
            <w:gridSpan w:val="3"/>
          </w:tcPr>
          <w:p>
            <w:pPr>
              <w:ind w:left="2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6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60"/>
              <w:spacing w:after="0" w:line="133" w:lineRule="exact"/>
              <w:rPr>
                <w:sz w:val="20"/>
                <w:szCs w:val="20"/>
                <w:color w:val="auto"/>
              </w:rPr>
            </w:pPr>
            <w:r>
              <w:rPr>
                <w:rFonts w:ascii="Arial" w:cs="Arial" w:eastAsia="Arial" w:hAnsi="Arial"/>
                <w:sz w:val="12"/>
                <w:szCs w:val="12"/>
                <w:b w:val="1"/>
                <w:bCs w:val="1"/>
                <w:color w:val="auto"/>
              </w:rPr>
              <w:t>Expiration</w:t>
            </w:r>
          </w:p>
        </w:tc>
        <w:tc>
          <w:tcPr>
            <w:tcW w:w="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34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200"/>
              <w:spacing w:after="0"/>
              <w:rPr>
                <w:sz w:val="20"/>
                <w:szCs w:val="20"/>
                <w:color w:val="auto"/>
              </w:rPr>
            </w:pPr>
            <w:r>
              <w:rPr>
                <w:rFonts w:ascii="Arial" w:cs="Arial" w:eastAsia="Arial" w:hAnsi="Arial"/>
                <w:sz w:val="12"/>
                <w:szCs w:val="12"/>
                <w:b w:val="1"/>
                <w:bCs w:val="1"/>
                <w:color w:val="auto"/>
                <w:w w:val="97"/>
              </w:rPr>
              <w:t>Title</w:t>
            </w:r>
          </w:p>
        </w:tc>
        <w:tc>
          <w:tcPr>
            <w:tcW w:w="740" w:type="dxa"/>
            <w:vAlign w:val="bottom"/>
            <w:gridSpan w:val="2"/>
          </w:tcPr>
          <w:p>
            <w:pPr>
              <w:ind w:left="14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8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to cover tax withholding obligations upon the settlement of certain time-based restricted stock unit awards. These shares of common stock were automatically sold in a non-discretionary transaction by the Reporting Person.</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reported transactions were effected pursuant to a Rule 10b5-1 trading plan adopted by the Reported Person, entered into prior to the effectiveness of the revised requirements of Rule 10b5-1(c).</w:t>
      </w:r>
    </w:p>
    <w:p>
      <w:pPr>
        <w:spacing w:after="0" w:line="61" w:lineRule="exact"/>
        <w:rPr>
          <w:rFonts w:ascii="Arial" w:cs="Arial" w:eastAsia="Arial" w:hAnsi="Arial"/>
          <w:sz w:val="12"/>
          <w:szCs w:val="12"/>
          <w:color w:val="008000"/>
        </w:rPr>
      </w:pPr>
    </w:p>
    <w:p>
      <w:pPr>
        <w:ind w:left="40" w:right="36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Reporting Person is subject to a lock-up agreement with the underwriter for the public offering of Voting Common Stock by the Issuer for which the underwriting agreement was entered into on August 9, 2023. The transaction was pursuant to an exception to the lock-up agreement for sales pursuant to a trading plan that complies with Rule 10b5-1 that has been entered into by the Reporting Person prior the date of the lock-up agreement.</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$33.69 to $34.035,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(4) to this Form 4.</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$33.18 to $33.625, inclusive. The Reporting Person undertakes to provide to the Issuer, any security holder of the Issuer or the staff of the Securities and Exchange Commission, upon request, full information regarding the number of securities sold at each separate price within the ranges set forth in this footnote (5) to this Form 4.</w:t>
      </w:r>
    </w:p>
    <w:p>
      <w:pPr>
        <w:spacing w:after="0" w:line="25" w:lineRule="exact"/>
        <w:rPr>
          <w:rFonts w:ascii="Arial" w:cs="Arial" w:eastAsia="Arial" w:hAnsi="Arial"/>
          <w:sz w:val="13"/>
          <w:szCs w:val="13"/>
          <w:color w:val="008000"/>
        </w:rPr>
      </w:pPr>
    </w:p>
    <w:p>
      <w:pPr>
        <w:jc w:val="both"/>
        <w:ind w:left="40" w:right="220" w:firstLine="7"/>
        <w:spacing w:after="0" w:line="250"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are held by the Michael P. Massaro 2021 Irrevocable Trust, of which the Reporting Person's spouse is a trustee. The Reporting Person disclaims beneficial ownership of these shares and this report shall not be deemed an admission that the Reporting Person is the beneficial owner of such shares for purposes of Section 16 or for any other purpose, except to the extent of the Reporting Person's pecuniary interests therein, if any.</w:t>
      </w:r>
    </w:p>
    <w:p>
      <w:pPr>
        <w:spacing w:after="0" w:line="39"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42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2"/>
              </w:rPr>
              <w:t>/s/ Michael Massaro</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1"/>
              </w:rPr>
              <w:t>09/07/2023</w:t>
            </w:r>
          </w:p>
        </w:tc>
      </w:tr>
      <w:tr>
        <w:trPr>
          <w:trHeight w:val="233"/>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62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62130" TargetMode="External"/><Relationship Id="rId13" Type="http://schemas.openxmlformats.org/officeDocument/2006/relationships/hyperlink" Target="http://www.sec.gov/cgi-bin/browse-edgar?action=getcompany&amp;CIK=00015805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2023-09-07T15:31:18Z</dcterms:created>
  <dcterms:modified xsi:type="dcterms:W3CDTF">2023-09-07T15:31:18Z</dcterms:modified>
</cp:coreProperties>
</file>