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21098d8k.htm"/>
      <w:bookmarkStart w:id="1" w:name="ksd42109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6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160" w:after="0"/>
        <w:jc w:val="center"/>
        <w:rPr>
          <w:rFonts w:ascii="Times New Roman" w:hAnsi="Times New Roman"/>
          <w:b/>
          <w:sz w:val="24"/>
        </w:rPr>
      </w:pPr>
      <w:r>
        <w:rPr>
          <w:rFonts w:ascii="Times New Roman" w:hAnsi="Times New Roman"/>
          <w:b/>
          <w:sz w:val="24"/>
        </w:rPr>
        <w:t>Date of Report (Date of earliest event reported): May 9,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001-40430</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27-0690799</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No.)</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1730" w:type="dxa"/>
        <w:jc w:val="left"/>
        <w:tblInd w:w="0" w:type="dxa"/>
        <w:tblCellMar>
          <w:top w:w="0" w:type="dxa"/>
          <w:left w:w="0" w:type="dxa"/>
          <w:bottom w:w="0" w:type="dxa"/>
          <w:right w:w="0" w:type="dxa"/>
        </w:tblCellMar>
      </w:tblPr>
      <w:tblGrid>
        <w:gridCol w:w="1730"/>
      </w:tblGrid>
      <w:tr>
        <w:trPr/>
        <w:tc>
          <w:tcPr>
            <w:tcW w:w="1730" w:type="dxa"/>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141 Tremont St #10</w:t>
            </w:r>
          </w:p>
          <w:p>
            <w:pPr>
              <w:pStyle w:val="TableContents"/>
              <w:spacing w:before="0" w:after="20"/>
              <w:jc w:val="center"/>
              <w:rPr>
                <w:rFonts w:ascii="Times New Roman" w:hAnsi="Times New Roman"/>
                <w:b/>
                <w:sz w:val="20"/>
              </w:rPr>
            </w:pPr>
            <w:r>
              <w:rPr>
                <w:rFonts w:ascii="Times New Roman" w:hAnsi="Times New Roman"/>
                <w:b/>
                <w:sz w:val="20"/>
              </w:rPr>
              <w:t>Boston, MA 02111</w:t>
            </w:r>
          </w:p>
        </w:tc>
      </w:tr>
    </w:tbl>
    <w:p>
      <w:pPr>
        <w:pStyle w:val="TextBody"/>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spacing w:before="16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400" w:type="dxa"/>
        <w:jc w:val="left"/>
        <w:tblInd w:w="0" w:type="dxa"/>
        <w:tblCellMar>
          <w:top w:w="0" w:type="dxa"/>
          <w:left w:w="0" w:type="dxa"/>
          <w:bottom w:w="0" w:type="dxa"/>
          <w:right w:w="0" w:type="dxa"/>
        </w:tblCellMar>
      </w:tblPr>
      <w:tblGrid>
        <w:gridCol w:w="4985"/>
        <w:gridCol w:w="60"/>
        <w:gridCol w:w="740"/>
        <w:gridCol w:w="60"/>
        <w:gridCol w:w="2555"/>
      </w:tblGrid>
      <w:tr>
        <w:trPr/>
        <w:tc>
          <w:tcPr>
            <w:tcW w:w="4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r>
      <w:tr>
        <w:trPr/>
        <w:tc>
          <w:tcPr>
            <w:tcW w:w="498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55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shd w:fill="auto" w:val="clear"/>
            <w:vAlign w:val="center"/>
          </w:tcPr>
          <w:p>
            <w:pPr>
              <w:pStyle w:val="TableContents"/>
              <w:spacing w:before="0" w:after="283"/>
              <w:jc w:val="center"/>
              <w:rPr/>
            </w:pPr>
            <w:r>
              <w:rPr/>
              <w:t>Voting Common Stock, $0.0001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FLYW</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p>
            <w:pPr>
              <w:pStyle w:val="TableContents"/>
              <w:spacing w:before="0" w:after="20"/>
              <w:jc w:val="center"/>
              <w:rPr>
                <w:rFonts w:ascii="Times New Roman" w:hAnsi="Times New Roman"/>
                <w:sz w:val="20"/>
              </w:rPr>
            </w:pPr>
            <w:r>
              <w:rPr>
                <w:rFonts w:ascii="Times New Roman" w:hAnsi="Times New Roman"/>
                <w:sz w:val="20"/>
              </w:rPr>
              <w:t>(Nasdaq Global Select Market)</w:t>
            </w:r>
          </w:p>
        </w:tc>
      </w:tr>
    </w:tbl>
    <w:p>
      <w:pPr>
        <w:pStyle w:val="TextBody"/>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60" w:after="0"/>
        <w:jc w:val="left"/>
        <w:rPr>
          <w:rFonts w:ascii="Times New Roman" w:hAnsi="Times New Roman"/>
          <w:sz w:val="20"/>
        </w:rPr>
      </w:pPr>
      <w:r>
        <w:rPr>
          <w:rFonts w:ascii="Times New Roman" w:hAnsi="Times New Roman"/>
          <w:sz w:val="20"/>
        </w:rPr>
        <w:t>Emerging growth company  ☐</w:t>
      </w:r>
    </w:p>
    <w:p>
      <w:pPr>
        <w:pStyle w:val="TextBody"/>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65" w:type="dxa"/>
        <w:jc w:val="left"/>
        <w:tblInd w:w="0" w:type="dxa"/>
        <w:tblCellMar>
          <w:top w:w="0" w:type="dxa"/>
          <w:left w:w="0" w:type="dxa"/>
          <w:bottom w:w="0" w:type="dxa"/>
          <w:right w:w="0" w:type="dxa"/>
        </w:tblCellMar>
      </w:tblPr>
      <w:tblGrid>
        <w:gridCol w:w="1040"/>
        <w:gridCol w:w="4025"/>
      </w:tblGrid>
      <w:tr>
        <w:trPr/>
        <w:tc>
          <w:tcPr>
            <w:tcW w:w="104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May 9, 2023, Flywire Corporation (“Flywire” or the “Company”) issued a press release (the “Press Release”) and is holding a conference call regarding its preliminary and unaudited financial results for the quarter ended March 31, 2023. The Press Release is furnished as Exhibit 99.1 to this Current Report on Form 8-K and is incorporated by reference herein. </w:t>
      </w:r>
    </w:p>
    <w:p>
      <w:pPr>
        <w:pStyle w:val="TextBody"/>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beliefs and objectives for future operations;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which is on file with the Securities and Exchange Commission (SEC) and available on the SEC’s website at https://www.sec.gov/. Additional factors may be described in those sections of Flywire’s Quarterly Report on Form 10-Q for the quarter ended March 31, 2023, expected to be filed with the SEC in the second quarter of 2023.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 </w:t>
      </w:r>
      <w:r>
        <w:br w:type="page"/>
      </w:r>
    </w:p>
    <w:p>
      <w:pPr>
        <w:pStyle w:val="HorizontalLine"/>
        <w:rPr/>
      </w:pPr>
      <w:r>
        <w:rPr/>
      </w:r>
    </w:p>
    <w:tbl>
      <w:tblPr>
        <w:tblW w:w="3325" w:type="dxa"/>
        <w:jc w:val="left"/>
        <w:tblInd w:w="0" w:type="dxa"/>
        <w:tblCellMar>
          <w:top w:w="0" w:type="dxa"/>
          <w:left w:w="0" w:type="dxa"/>
          <w:bottom w:w="0" w:type="dxa"/>
          <w:right w:w="0" w:type="dxa"/>
        </w:tblCellMar>
      </w:tblPr>
      <w:tblGrid>
        <w:gridCol w:w="1040"/>
        <w:gridCol w:w="2285"/>
      </w:tblGrid>
      <w:tr>
        <w:trPr/>
        <w:tc>
          <w:tcPr>
            <w:tcW w:w="1040" w:type="dxa"/>
            <w:tcBorders/>
            <w:shd w:fill="auto" w:val="clear"/>
            <w:vAlign w:val="center"/>
          </w:tcPr>
          <w:p>
            <w:pPr>
              <w:pStyle w:val="TableContents"/>
              <w:spacing w:before="0" w:after="283"/>
              <w:jc w:val="left"/>
              <w:rPr>
                <w:b/>
              </w:rPr>
            </w:pPr>
            <w:r>
              <w:rPr>
                <w:b/>
              </w:rPr>
              <w:t>Item 7.01.</w:t>
            </w:r>
          </w:p>
        </w:tc>
        <w:tc>
          <w:tcPr>
            <w:tcW w:w="22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120" w:after="0"/>
        <w:jc w:val="left"/>
        <w:rPr>
          <w:rFonts w:ascii="Times New Roman" w:hAnsi="Times New Roman"/>
          <w:sz w:val="20"/>
        </w:rPr>
      </w:pPr>
      <w:r>
        <w:rPr>
          <w:rFonts w:ascii="Times New Roman" w:hAnsi="Times New Roman"/>
          <w:sz w:val="20"/>
        </w:rPr>
        <w:t xml:space="preserve">On May 9, 2023,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8455" w:type="dxa"/>
        <w:jc w:val="left"/>
        <w:tblInd w:w="0" w:type="dxa"/>
        <w:tblCellMar>
          <w:top w:w="0" w:type="dxa"/>
          <w:left w:w="0" w:type="dxa"/>
          <w:bottom w:w="0" w:type="dxa"/>
          <w:right w:w="0" w:type="dxa"/>
        </w:tblCellMar>
      </w:tblPr>
      <w:tblGrid>
        <w:gridCol w:w="710"/>
        <w:gridCol w:w="120"/>
        <w:gridCol w:w="762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c>
          <w:tcPr>
            <w:tcW w:w="710"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hyperlink w:anchor="d421098dex991.htm">
              <w:r>
                <w:rPr>
                  <w:rStyle w:val="InternetLink"/>
                </w:rPr>
                <w:t xml:space="preserve">Flywire Corporation Press Release dated May 9,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99.2</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hyperlink w:anchor="d421098dex992.htm">
              <w:r>
                <w:rPr>
                  <w:rStyle w:val="InternetLink"/>
                </w:rPr>
                <w:t xml:space="preserve">Flywire Corporation Investor Presentation dated May 9, 2023.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2950" w:type="dxa"/>
        <w:jc w:val="left"/>
        <w:tblInd w:w="0" w:type="dxa"/>
        <w:tblCellMar>
          <w:top w:w="0" w:type="dxa"/>
          <w:left w:w="0" w:type="dxa"/>
          <w:bottom w:w="0" w:type="dxa"/>
          <w:right w:w="0" w:type="dxa"/>
        </w:tblCellMar>
      </w:tblPr>
      <w:tblGrid>
        <w:gridCol w:w="665"/>
        <w:gridCol w:w="60"/>
        <w:gridCol w:w="2225"/>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r>
      <w:tr>
        <w:trPr/>
        <w:tc>
          <w:tcPr>
            <w:tcW w:w="2950" w:type="dxa"/>
            <w:gridSpan w:val="3"/>
            <w:tcBorders/>
            <w:shd w:fill="auto" w:val="clear"/>
            <w:vAlign w:val="center"/>
          </w:tcPr>
          <w:p>
            <w:pPr>
              <w:pStyle w:val="TableContents"/>
              <w:spacing w:before="0" w:after="283"/>
              <w:rPr/>
            </w:pPr>
            <w:r>
              <w:rPr/>
              <w:t>FLYWIRE CORPORATION</w:t>
            </w:r>
          </w:p>
        </w:tc>
      </w:tr>
      <w:tr>
        <w:trPr/>
        <w:tc>
          <w:tcPr>
            <w:tcW w:w="665" w:type="dxa"/>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Michael Ellis</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Michael Ellis</w:t>
            </w:r>
          </w:p>
        </w:tc>
      </w:tr>
      <w:tr>
        <w:trPr/>
        <w:tc>
          <w:tcPr>
            <w:tcW w:w="665"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Dated May 9, 2023 </w:t>
      </w:r>
      <w:r>
        <w:br w:type="page"/>
      </w:r>
    </w:p>
    <w:p>
      <w:pPr>
        <w:pStyle w:val="TextBody"/>
        <w:spacing w:before="0" w:after="0"/>
        <w:jc w:val="right"/>
        <w:rPr>
          <w:rFonts w:ascii="Times New Roman" w:hAnsi="Times New Roman"/>
          <w:b/>
          <w:sz w:val="20"/>
        </w:rPr>
      </w:pPr>
      <w:bookmarkStart w:id="2" w:name="d421098dex991.htm"/>
      <w:bookmarkStart w:id="3" w:name="ksd421098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Flywire Reports First Quarter 2023 Financial Results </w:t>
      </w:r>
    </w:p>
    <w:p>
      <w:pPr>
        <w:pStyle w:val="TextBody"/>
        <w:spacing w:before="240" w:after="0"/>
        <w:jc w:val="center"/>
        <w:rPr>
          <w:rFonts w:ascii="Times New Roman" w:hAnsi="Times New Roman"/>
          <w:i/>
          <w:sz w:val="20"/>
        </w:rPr>
      </w:pPr>
      <w:r>
        <w:rPr>
          <w:rFonts w:ascii="Times New Roman" w:hAnsi="Times New Roman"/>
          <w:i/>
          <w:sz w:val="20"/>
        </w:rPr>
        <w:t xml:space="preserve">First Quarter Revenue Increased 46.1% Year-over-Year </w:t>
      </w:r>
    </w:p>
    <w:p>
      <w:pPr>
        <w:pStyle w:val="TextBody"/>
        <w:spacing w:before="240" w:after="0"/>
        <w:jc w:val="center"/>
        <w:rPr>
          <w:rFonts w:ascii="Times New Roman" w:hAnsi="Times New Roman"/>
          <w:i/>
          <w:sz w:val="20"/>
        </w:rPr>
      </w:pPr>
      <w:r>
        <w:rPr>
          <w:rFonts w:ascii="Times New Roman" w:hAnsi="Times New Roman"/>
          <w:i/>
          <w:sz w:val="20"/>
        </w:rPr>
        <w:t xml:space="preserve">First Quarter Revenue Less Ancillary Services Increased 50.3% Year-over-Year or 56.7% on a Constant Currency Basis </w:t>
      </w:r>
    </w:p>
    <w:p>
      <w:pPr>
        <w:pStyle w:val="TextBody"/>
        <w:spacing w:before="240" w:after="0"/>
        <w:jc w:val="center"/>
        <w:rPr>
          <w:rFonts w:ascii="Times New Roman" w:hAnsi="Times New Roman"/>
          <w:i/>
          <w:sz w:val="20"/>
        </w:rPr>
      </w:pPr>
      <w:r>
        <w:rPr>
          <w:rFonts w:ascii="Times New Roman" w:hAnsi="Times New Roman"/>
          <w:i/>
          <w:sz w:val="20"/>
        </w:rPr>
        <w:t xml:space="preserve">First Quarter Gross Profit Increased 50.3% and Adjusted Gross Profit Increased 49.8% Year-over-Year </w:t>
      </w:r>
    </w:p>
    <w:p>
      <w:pPr>
        <w:pStyle w:val="TextBody"/>
        <w:spacing w:before="240" w:after="0"/>
        <w:jc w:val="center"/>
        <w:rPr>
          <w:rFonts w:ascii="Times New Roman" w:hAnsi="Times New Roman"/>
          <w:i/>
          <w:sz w:val="20"/>
        </w:rPr>
      </w:pPr>
      <w:r>
        <w:rPr>
          <w:rFonts w:ascii="Times New Roman" w:hAnsi="Times New Roman"/>
          <w:i/>
          <w:sz w:val="20"/>
        </w:rPr>
        <w:t xml:space="preserve">Company Provides Second Quarter and Fiscal-Year 2023 Outlook </w:t>
      </w:r>
    </w:p>
    <w:p>
      <w:pPr>
        <w:pStyle w:val="TextBody"/>
        <w:spacing w:before="240" w:after="0"/>
        <w:jc w:val="left"/>
        <w:rPr>
          <w:rFonts w:ascii="Times New Roman" w:hAnsi="Times New Roman"/>
          <w:sz w:val="20"/>
        </w:rPr>
      </w:pPr>
      <w:r>
        <w:rPr>
          <w:rFonts w:ascii="Times New Roman" w:hAnsi="Times New Roman"/>
          <w:b/>
          <w:sz w:val="20"/>
        </w:rPr>
        <w:t>Boston, MA  May</w:t>
      </w:r>
      <w:r>
        <w:rPr>
          <w:rFonts w:ascii="Times New Roman" w:hAnsi="Times New Roman"/>
          <w:sz w:val="20"/>
        </w:rPr>
        <w:t> </w:t>
      </w:r>
      <w:r>
        <w:rPr>
          <w:rFonts w:ascii="Times New Roman" w:hAnsi="Times New Roman"/>
          <w:b/>
          <w:sz w:val="20"/>
        </w:rPr>
        <w:t>9, 2023:</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first quarter ended March 31, 2023. </w:t>
      </w:r>
    </w:p>
    <w:p>
      <w:pPr>
        <w:pStyle w:val="TextBody"/>
        <w:spacing w:before="240" w:after="0"/>
        <w:jc w:val="left"/>
        <w:rPr>
          <w:rFonts w:ascii="Times New Roman" w:hAnsi="Times New Roman"/>
          <w:sz w:val="20"/>
        </w:rPr>
      </w:pPr>
      <w:r>
        <w:rPr>
          <w:rFonts w:ascii="Times New Roman" w:hAnsi="Times New Roman"/>
          <w:sz w:val="20"/>
        </w:rPr>
        <w:t xml:space="preserve">Our excellent results in the first quarter are a testament to our ability to balance top line growth with ongoing efficiency initiatives, said Mike Massaro, CEO of Flywire. In response to continued demand for our solutions across the education, healthcare, travel and B2B verticals, Flywire achieved our largest sales quarter in company history, with a record number of clients signed. Our strong performance is underpinned by positive tailwinds across the industries that we serve, as well as our global team of FlyMates continuing to deliver value for clients, payers and partners. Our results give us even more confidence in our winning strategy and path ahead, and we are eager to capitalize on our momentum as we progress throughout the year. </w:t>
      </w:r>
    </w:p>
    <w:p>
      <w:pPr>
        <w:pStyle w:val="TextBody"/>
        <w:spacing w:before="360" w:after="0"/>
        <w:jc w:val="left"/>
        <w:rPr>
          <w:rFonts w:ascii="Times New Roman" w:hAnsi="Times New Roman"/>
          <w:b/>
          <w:sz w:val="20"/>
        </w:rPr>
      </w:pPr>
      <w:r>
        <w:rPr>
          <w:rFonts w:ascii="Times New Roman" w:hAnsi="Times New Roman"/>
          <w:b/>
          <w:sz w:val="20"/>
        </w:rPr>
        <w:t xml:space="preserve">First Quarter 2023 Financial Highlights: </w:t>
      </w:r>
    </w:p>
    <w:p>
      <w:pPr>
        <w:pStyle w:val="TextBody"/>
        <w:spacing w:before="120" w:after="0"/>
        <w:jc w:val="left"/>
        <w:rPr>
          <w:rFonts w:ascii="Times New Roman" w:hAnsi="Times New Roman"/>
          <w:sz w:val="20"/>
        </w:rPr>
      </w:pPr>
      <w:r>
        <w:rPr>
          <w:rFonts w:ascii="Times New Roman" w:hAnsi="Times New Roman"/>
          <w:sz w:val="20"/>
        </w:rPr>
        <w:t xml:space="preserve">GAAP Results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increased 46.1% to $94.4 million in the first quarter of 2023, compared to $64.6 million in the first quarter of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Gross Profit increased to $58.3 million, resulting in Gross Margin of 61.8%, for the first quarter of 2023, compared to Gross Profit of $38.8 million and Gross Margin of 60.1% in the first quarter of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loss was $3.7 million in the first quarter of 2023, compared to net loss of $10.1 million in the first quarter of 2022. </w:t>
            </w:r>
          </w:p>
        </w:tc>
      </w:tr>
    </w:tbl>
    <w:p>
      <w:pPr>
        <w:pStyle w:val="TextBody"/>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Total Payment Volume increased 35.8% to $5.7 billion in the first quarter of 2023, compared to $4.2 billion in the first quarter of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increased 50.3% to $89.1 million in the first quarter of 2023, compared to $59.3 million in the first quarter of 2022.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1326"/>
        <w:gridCol w:w="407"/>
        <w:gridCol w:w="203"/>
        <w:gridCol w:w="8269"/>
      </w:tblGrid>
      <w:tr>
        <w:trPr/>
        <w:tc>
          <w:tcPr>
            <w:tcW w:w="132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203" w:type="dxa"/>
            <w:tcBorders/>
            <w:shd w:fill="auto" w:val="clear"/>
          </w:tcPr>
          <w:p>
            <w:pPr>
              <w:pStyle w:val="TableContents"/>
              <w:spacing w:before="0" w:after="283"/>
              <w:rPr/>
            </w:pPr>
            <w:r>
              <w:rPr/>
              <w:t> </w:t>
            </w:r>
          </w:p>
        </w:tc>
        <w:tc>
          <w:tcPr>
            <w:tcW w:w="82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was unfavorably impacted by foreign currency exchange rates year-over-year by $3.8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5"/>
        <w:gridCol w:w="406"/>
        <w:gridCol w:w="204"/>
        <w:gridCol w:w="8270"/>
      </w:tblGrid>
      <w:tr>
        <w:trPr/>
        <w:tc>
          <w:tcPr>
            <w:tcW w:w="132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82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at Constant Currency increased 56.9% year-over-year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Gross Profit increased to $59.9 million, resulting in Adjusted Gross Margin of 67.2% in the first quarter of 2023, compared to Adjusted Gross Profit of $40.0 million and Adjusted Gross Margin of 67.5% in the first quarter of 2022. Prior year Adjusted Gross Profit and Adjusted Gross Margin have been recast to align with the updated methodology as described in the Key Operating Metrics and Non-GAAP Financial Measures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2"/>
        <w:gridCol w:w="9289"/>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was $7.0 million in the first quarter of 2023, compared to $1.9 million in the first quarter of 2022. </w:t>
            </w:r>
          </w:p>
        </w:tc>
      </w:tr>
    </w:tbl>
    <w:p>
      <w:pPr>
        <w:pStyle w:val="TextBody"/>
        <w:spacing w:before="360" w:after="0"/>
        <w:jc w:val="left"/>
        <w:rPr>
          <w:rFonts w:ascii="Times New Roman" w:hAnsi="Times New Roman"/>
          <w:b/>
          <w:sz w:val="20"/>
        </w:rPr>
      </w:pPr>
      <w:r>
        <w:rPr>
          <w:rFonts w:ascii="Times New Roman" w:hAnsi="Times New Roman"/>
          <w:b/>
          <w:sz w:val="20"/>
        </w:rPr>
        <w:t xml:space="preserve">First Quarter 2023 Business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Signed more than 170 new clients in the first quarter of 2023, representing the largest sales quarter in company history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Strengthened Board of Directors with appointment of seasoned executive Diane Offereins, EVP and President, Payment Services at Discover Financial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2"/>
        <w:gridCol w:w="9290"/>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furthered its product and payment innovation with the acceleration of a student health insurance tool, and made it available to all education agents on the Flywire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1"/>
        <w:gridCol w:w="9288"/>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Signed a record number of net-new travel clients, with revenues from destination management companies based in APAC growing nearly tenfold year over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2"/>
        <w:gridCol w:w="9289"/>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Grew global strategic partner base in B2B and announced a partnership with FranConnect, streamlining payments for the franchise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1"/>
        <w:gridCol w:w="9288"/>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Enhanced partnership with leading higher education ERP Ellucian and was named 2022 Ellucian Partner of the Year for Integration Excellence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Garnered additional recognition for its global culture and was recognized as a Great Place to Work in Singapore </w:t>
            </w:r>
          </w:p>
        </w:tc>
      </w:tr>
    </w:tbl>
    <w:p>
      <w:pPr>
        <w:pStyle w:val="TextBody"/>
        <w:spacing w:before="360" w:after="0"/>
        <w:jc w:val="left"/>
        <w:rPr>
          <w:rFonts w:ascii="Times New Roman" w:hAnsi="Times New Roman"/>
          <w:b/>
          <w:sz w:val="20"/>
        </w:rPr>
      </w:pPr>
      <w:r>
        <w:rPr>
          <w:rFonts w:ascii="Times New Roman" w:hAnsi="Times New Roman"/>
          <w:b/>
          <w:sz w:val="20"/>
        </w:rPr>
        <w:t xml:space="preserve">Second Quarter and Fiscal-Year 2023 Outlook: </w:t>
      </w:r>
    </w:p>
    <w:p>
      <w:pPr>
        <w:pStyle w:val="TextBody"/>
        <w:spacing w:before="120" w:after="0"/>
        <w:jc w:val="left"/>
        <w:rPr>
          <w:rFonts w:ascii="Times New Roman" w:hAnsi="Times New Roman"/>
          <w:sz w:val="20"/>
        </w:rPr>
      </w:pPr>
      <w:r>
        <w:rPr>
          <w:rFonts w:ascii="Times New Roman" w:hAnsi="Times New Roman"/>
          <w:sz w:val="20"/>
        </w:rPr>
        <w:t xml:space="preserve">Based on information available as of May 9, 2023, Flywire anticipates the following for the second quarter and fiscal-year 2023: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79"/>
        <w:gridCol w:w="376"/>
        <w:gridCol w:w="2184"/>
      </w:tblGrid>
      <w:tr>
        <w:trPr/>
        <w:tc>
          <w:tcPr>
            <w:tcW w:w="437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2184" w:type="dxa"/>
            <w:tcBorders/>
            <w:shd w:fill="auto" w:val="clear"/>
            <w:vAlign w:val="center"/>
          </w:tcPr>
          <w:p>
            <w:pPr>
              <w:pStyle w:val="TableContents"/>
              <w:spacing w:before="0" w:after="283"/>
              <w:rPr>
                <w:sz w:val="4"/>
                <w:szCs w:val="4"/>
              </w:rPr>
            </w:pPr>
            <w:r>
              <w:rPr>
                <w:sz w:val="4"/>
                <w:szCs w:val="4"/>
              </w:rPr>
            </w:r>
          </w:p>
        </w:tc>
      </w:tr>
      <w:tr>
        <w:trPr/>
        <w:tc>
          <w:tcPr>
            <w:tcW w:w="4379"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2184" w:type="dxa"/>
            <w:tcBorders>
              <w:bottom w:val="single" w:sz="8" w:space="0" w:color="000000"/>
            </w:tcBorders>
            <w:shd w:fill="auto" w:val="clear"/>
            <w:tcMar>
              <w:bottom w:w="28" w:type="dxa"/>
            </w:tcMar>
            <w:vAlign w:val="bottom"/>
          </w:tcPr>
          <w:p>
            <w:pPr>
              <w:pStyle w:val="TableContents"/>
              <w:spacing w:before="0" w:after="283"/>
              <w:jc w:val="center"/>
              <w:rPr>
                <w:b/>
              </w:rPr>
            </w:pPr>
            <w:r>
              <w:rPr>
                <w:b/>
              </w:rPr>
              <w:t>Second Quarter 2023*</w:t>
            </w:r>
          </w:p>
        </w:tc>
      </w:tr>
      <w:tr>
        <w:trPr/>
        <w:tc>
          <w:tcPr>
            <w:tcW w:w="4379"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76" w:type="dxa"/>
            <w:tcBorders/>
            <w:shd w:fill="CCEEFF" w:val="clear"/>
            <w:vAlign w:val="bottom"/>
          </w:tcPr>
          <w:p>
            <w:pPr>
              <w:pStyle w:val="TableContents"/>
              <w:spacing w:before="0" w:after="283"/>
              <w:rPr/>
            </w:pPr>
            <w:r>
              <w:rPr/>
              <w:t>  </w:t>
            </w:r>
          </w:p>
        </w:tc>
        <w:tc>
          <w:tcPr>
            <w:tcW w:w="2184" w:type="dxa"/>
            <w:tcBorders/>
            <w:shd w:fill="CCEEFF" w:val="clear"/>
            <w:vAlign w:val="bottom"/>
          </w:tcPr>
          <w:p>
            <w:pPr>
              <w:pStyle w:val="TableContents"/>
              <w:spacing w:before="0" w:after="283"/>
              <w:jc w:val="center"/>
              <w:rPr/>
            </w:pPr>
            <w:r>
              <w:rPr/>
              <w:t>$76 to $81 million</w:t>
            </w:r>
          </w:p>
        </w:tc>
      </w:tr>
      <w:tr>
        <w:trPr/>
        <w:tc>
          <w:tcPr>
            <w:tcW w:w="4379" w:type="dxa"/>
            <w:tcBorders/>
            <w:shd w:fill="auto"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76" w:type="dxa"/>
            <w:tcBorders/>
            <w:shd w:fill="auto" w:val="clear"/>
            <w:vAlign w:val="bottom"/>
          </w:tcPr>
          <w:p>
            <w:pPr>
              <w:pStyle w:val="TableContents"/>
              <w:spacing w:before="0" w:after="283"/>
              <w:rPr/>
            </w:pPr>
            <w:r>
              <w:rPr/>
              <w:t>  </w:t>
            </w:r>
          </w:p>
        </w:tc>
        <w:tc>
          <w:tcPr>
            <w:tcW w:w="2184" w:type="dxa"/>
            <w:tcBorders/>
            <w:shd w:fill="auto" w:val="clear"/>
            <w:vAlign w:val="bottom"/>
          </w:tcPr>
          <w:p>
            <w:pPr>
              <w:pStyle w:val="TableContents"/>
              <w:spacing w:before="0" w:after="283"/>
              <w:jc w:val="center"/>
              <w:rPr/>
            </w:pPr>
            <w:r>
              <w:rPr/>
              <w:t>$71 to $75 million</w:t>
            </w:r>
          </w:p>
        </w:tc>
      </w:tr>
      <w:tr>
        <w:trPr/>
        <w:tc>
          <w:tcPr>
            <w:tcW w:w="4379"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w:t>
            </w:r>
          </w:p>
        </w:tc>
        <w:tc>
          <w:tcPr>
            <w:tcW w:w="376" w:type="dxa"/>
            <w:tcBorders/>
            <w:shd w:fill="CCEEFF" w:val="clear"/>
            <w:vAlign w:val="bottom"/>
          </w:tcPr>
          <w:p>
            <w:pPr>
              <w:pStyle w:val="TableContents"/>
              <w:spacing w:before="0" w:after="283"/>
              <w:rPr/>
            </w:pPr>
            <w:r>
              <w:rPr/>
              <w:t>  </w:t>
            </w:r>
          </w:p>
        </w:tc>
        <w:tc>
          <w:tcPr>
            <w:tcW w:w="2184" w:type="dxa"/>
            <w:tcBorders/>
            <w:shd w:fill="CCEEFF" w:val="clear"/>
            <w:vAlign w:val="bottom"/>
          </w:tcPr>
          <w:p>
            <w:pPr>
              <w:pStyle w:val="TableContents"/>
              <w:spacing w:before="0" w:after="283"/>
              <w:jc w:val="center"/>
              <w:rPr/>
            </w:pPr>
            <w:r>
              <w:rPr/>
              <w:t>($5) to ($3) million</w:t>
            </w:r>
          </w:p>
        </w:tc>
      </w:tr>
    </w:tbl>
    <w:p>
      <w:pPr>
        <w:pStyle w:val="HorizontalLine"/>
        <w:pBdr>
          <w:bottom w:val="double" w:sz="6" w:space="0" w:color="808080"/>
        </w:pBdr>
        <w:rPr/>
      </w:pPr>
      <w:r>
        <w:br w:type="page"/>
      </w:r>
      <w:r>
        <w:rPr/>
      </w:r>
    </w:p>
    <w:tbl>
      <w:tblPr>
        <w:tblW w:w="3400" w:type="pct"/>
        <w:jc w:val="center"/>
        <w:tblInd w:w="0" w:type="dxa"/>
        <w:tblCellMar>
          <w:top w:w="0" w:type="dxa"/>
          <w:left w:w="0" w:type="dxa"/>
          <w:bottom w:w="0" w:type="dxa"/>
          <w:right w:w="0" w:type="dxa"/>
        </w:tblCellMar>
      </w:tblPr>
      <w:tblGrid>
        <w:gridCol w:w="4697"/>
        <w:gridCol w:w="221"/>
        <w:gridCol w:w="2021"/>
      </w:tblGrid>
      <w:tr>
        <w:trPr/>
        <w:tc>
          <w:tcPr>
            <w:tcW w:w="469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r>
      <w:tr>
        <w:trPr/>
        <w:tc>
          <w:tcPr>
            <w:tcW w:w="469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021" w:type="dxa"/>
            <w:tcBorders>
              <w:bottom w:val="single" w:sz="8" w:space="0" w:color="000000"/>
            </w:tcBorders>
            <w:shd w:fill="auto" w:val="clear"/>
            <w:tcMar>
              <w:bottom w:w="28" w:type="dxa"/>
            </w:tcMar>
            <w:vAlign w:val="bottom"/>
          </w:tcPr>
          <w:p>
            <w:pPr>
              <w:pStyle w:val="TableContents"/>
              <w:spacing w:before="0" w:after="283"/>
              <w:jc w:val="center"/>
              <w:rPr>
                <w:b/>
              </w:rPr>
            </w:pPr>
            <w:r>
              <w:rPr>
                <w:b/>
              </w:rPr>
              <w:t>Fiscal-Year 2023*</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spacing w:before="0" w:after="283"/>
              <w:rPr/>
            </w:pPr>
            <w:r>
              <w:rPr/>
              <w:t>  </w:t>
            </w:r>
          </w:p>
        </w:tc>
        <w:tc>
          <w:tcPr>
            <w:tcW w:w="2021" w:type="dxa"/>
            <w:tcBorders/>
            <w:shd w:fill="CCEEFF" w:val="clear"/>
            <w:vAlign w:val="bottom"/>
          </w:tcPr>
          <w:p>
            <w:pPr>
              <w:pStyle w:val="TableContents"/>
              <w:spacing w:before="0" w:after="283"/>
              <w:jc w:val="center"/>
              <w:rPr/>
            </w:pPr>
            <w:r>
              <w:rPr/>
              <w:t>$380 to $398 million</w:t>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221" w:type="dxa"/>
            <w:tcBorders/>
            <w:shd w:fill="auto" w:val="clear"/>
            <w:vAlign w:val="bottom"/>
          </w:tcPr>
          <w:p>
            <w:pPr>
              <w:pStyle w:val="TableContents"/>
              <w:spacing w:before="0" w:after="283"/>
              <w:rPr/>
            </w:pPr>
            <w:r>
              <w:rPr/>
              <w:t>  </w:t>
            </w:r>
          </w:p>
        </w:tc>
        <w:tc>
          <w:tcPr>
            <w:tcW w:w="2021" w:type="dxa"/>
            <w:tcBorders/>
            <w:shd w:fill="auto" w:val="clear"/>
            <w:vAlign w:val="bottom"/>
          </w:tcPr>
          <w:p>
            <w:pPr>
              <w:pStyle w:val="TableContents"/>
              <w:spacing w:before="0" w:after="283"/>
              <w:jc w:val="center"/>
              <w:rPr/>
            </w:pPr>
            <w:r>
              <w:rPr/>
              <w:t>$360 to $370 million</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spacing w:before="0" w:after="283"/>
              <w:rPr/>
            </w:pPr>
            <w:r>
              <w:rPr/>
              <w:t>  </w:t>
            </w:r>
          </w:p>
        </w:tc>
        <w:tc>
          <w:tcPr>
            <w:tcW w:w="2021" w:type="dxa"/>
            <w:tcBorders/>
            <w:shd w:fill="CCEEFF" w:val="clear"/>
            <w:vAlign w:val="bottom"/>
          </w:tcPr>
          <w:p>
            <w:pPr>
              <w:pStyle w:val="TableContents"/>
              <w:spacing w:before="0" w:after="283"/>
              <w:jc w:val="center"/>
              <w:rPr/>
            </w:pPr>
            <w:r>
              <w:rPr/>
              <w:t>$30 to $36 million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assumed foreign exchange rates prevailing as of March 31, 2023.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Flywire has relied upon the exception in item 10(e)(1)(i)(B) of Regulation S-K and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TextBody"/>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our actual results to differ materially from these forward-looking statements. </w:t>
      </w:r>
    </w:p>
    <w:p>
      <w:pPr>
        <w:pStyle w:val="TextBody"/>
        <w:spacing w:before="360" w:after="0"/>
        <w:jc w:val="left"/>
        <w:rPr>
          <w:rFonts w:ascii="Times New Roman" w:hAnsi="Times New Roman"/>
          <w:b/>
          <w:sz w:val="20"/>
        </w:rPr>
      </w:pPr>
      <w:r>
        <w:rPr>
          <w:rFonts w:ascii="Times New Roman" w:hAnsi="Times New Roman"/>
          <w:b/>
          <w:sz w:val="20"/>
        </w:rPr>
        <w:t xml:space="preserve">Conference Call </w:t>
      </w:r>
    </w:p>
    <w:p>
      <w:pPr>
        <w:pStyle w:val="TextBody"/>
        <w:spacing w:before="120" w:after="0"/>
        <w:jc w:val="left"/>
        <w:rPr>
          <w:rFonts w:ascii="Times New Roman" w:hAnsi="Times New Roman"/>
          <w:sz w:val="20"/>
        </w:rPr>
      </w:pPr>
      <w:r>
        <w:rPr>
          <w:rFonts w:ascii="Times New Roman" w:hAnsi="Times New Roman"/>
          <w:sz w:val="20"/>
        </w:rPr>
        <w:t xml:space="preserve">The Company will host a conference call to discuss first quarter 2023 financial results today at 5:00 pm ET. Hosting the call will be Mike Massaro, CEO, Rob Orgel, President and COO, and Mike Ellis,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Key Operating Metrics and Non-GAAP Financial Measures table </w:t>
      </w:r>
    </w:p>
    <w:p>
      <w:pPr>
        <w:pStyle w:val="TextBody"/>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Beginning with the quarter ended December 31, 2022, Flywire has excluded depreciation and amortization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from the calculation of our adjusted Gross Profit, which it believes enhances the understanding of the Companys operating performance and enables more meaningful period to period comparisons. The Companys previously reported Adjusted Gross Profit and Adjusted Gross Margin for the three months ended March 31, 2021 were recast to conform to the updated methodology and are reflected herein for comparison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acquisitions,(iii) interest income, (iv) gain (loss) from the remeasurement of foreign currency, (v) indirect taxes related to intercompany activity, (vi) acquisition related transaction costs, if applicable, and (vii) employee 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the Companys revenue, gross profit,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relied upon the exception in item 10(e)(1)(i)(B) of Regulation S-K and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About Flywire </w:t>
      </w:r>
    </w:p>
    <w:p>
      <w:pPr>
        <w:pStyle w:val="TextBody"/>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p>
    <w:p>
      <w:pPr>
        <w:pStyle w:val="TextBody"/>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p>
    <w:p>
      <w:pPr>
        <w:pStyle w:val="TextBody"/>
        <w:spacing w:before="240" w:after="0"/>
        <w:jc w:val="left"/>
        <w:rPr>
          <w:rFonts w:ascii="Times New Roman" w:hAnsi="Times New Roman"/>
          <w:sz w:val="20"/>
        </w:rPr>
      </w:pPr>
      <w:r>
        <w:rPr>
          <w:rFonts w:ascii="Times New Roman" w:hAnsi="Times New Roman"/>
          <w:sz w:val="20"/>
        </w:rPr>
        <w:t xml:space="preserve">Flywire supports more than 3,300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b/>
          <w:sz w:val="20"/>
          <w:u w:val="single"/>
        </w:rPr>
        <w:t>Twitter</w:t>
      </w:r>
      <w:r>
        <w:rPr>
          <w:rFonts w:ascii="Times New Roman" w:hAnsi="Times New Roman"/>
          <w:sz w:val="20"/>
        </w:rPr>
        <w:t xml:space="preserve">,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Flywires ability to execute its business plan and effectively manage its growth; Flywires cross-border expansion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which is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Quarterly Report on Form 10-Q for the quarter ended March 31, 2023, expected to be filed with the SEC in the second quarter of 2023. The information in this release is provided only as of the date of this release, and Flywire undertakes no obligation to update any forward-looking statements contained in this release on account of new information, future events, or otherwise, except as required by law.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Contacts </w:t>
      </w:r>
    </w:p>
    <w:p>
      <w:pPr>
        <w:pStyle w:val="TextBody"/>
        <w:spacing w:before="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Akil Hollis </w:t>
      </w:r>
    </w:p>
    <w:p>
      <w:pPr>
        <w:pStyle w:val="TextBody"/>
        <w:spacing w:before="0" w:after="0"/>
        <w:jc w:val="left"/>
        <w:rPr>
          <w:rFonts w:ascii="Times New Roman" w:hAnsi="Times New Roman"/>
          <w:b/>
          <w:sz w:val="20"/>
        </w:rPr>
      </w:pPr>
      <w:r>
        <w:rPr>
          <w:rFonts w:ascii="Times New Roman" w:hAnsi="Times New Roman"/>
          <w:b/>
          <w:sz w:val="20"/>
        </w:rPr>
        <w:t xml:space="preserve">ir@Flywire.com </w:t>
      </w:r>
    </w:p>
    <w:p>
      <w:pPr>
        <w:pStyle w:val="TextBody"/>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Sarah King </w:t>
      </w:r>
    </w:p>
    <w:p>
      <w:pPr>
        <w:pStyle w:val="TextBody"/>
        <w:spacing w:before="0" w:after="0"/>
        <w:jc w:val="left"/>
        <w:rPr>
          <w:rFonts w:ascii="Times New Roman" w:hAnsi="Times New Roman"/>
          <w:b/>
          <w:sz w:val="20"/>
        </w:rPr>
      </w:pPr>
      <w:r>
        <w:rPr>
          <w:rFonts w:ascii="Times New Roman" w:hAnsi="Times New Roman"/>
          <w:b/>
          <w:sz w:val="20"/>
        </w:rPr>
        <w:t xml:space="preserve">Sarah.King@Flywire.com </w:t>
      </w:r>
    </w:p>
    <w:p>
      <w:pPr>
        <w:pStyle w:val="TextBody"/>
        <w:spacing w:before="240" w:after="0"/>
        <w:jc w:val="left"/>
        <w:rPr>
          <w:rFonts w:ascii="Times New Roman" w:hAnsi="Times New Roman"/>
          <w:sz w:val="20"/>
        </w:rPr>
      </w:pPr>
      <w:r>
        <w:rPr>
          <w:rFonts w:ascii="Times New Roman" w:hAnsi="Times New Roman"/>
          <w:sz w:val="20"/>
        </w:rPr>
        <w:t xml:space="preserve">Prosek Partners </w:t>
      </w:r>
    </w:p>
    <w:p>
      <w:pPr>
        <w:pStyle w:val="TextBody"/>
        <w:spacing w:before="0" w:after="0"/>
        <w:jc w:val="left"/>
        <w:rPr>
          <w:rFonts w:ascii="Times New Roman" w:hAnsi="Times New Roman"/>
          <w:b/>
          <w:sz w:val="20"/>
        </w:rPr>
      </w:pPr>
      <w:r>
        <w:rPr>
          <w:rFonts w:ascii="Times New Roman" w:hAnsi="Times New Roman"/>
          <w:b/>
          <w:sz w:val="20"/>
        </w:rPr>
        <w:t xml:space="preserve">pro-flywire@prosek.com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spacing w:before="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53"/>
        <w:gridCol w:w="418"/>
        <w:gridCol w:w="155"/>
        <w:gridCol w:w="1359"/>
        <w:gridCol w:w="172"/>
        <w:gridCol w:w="374"/>
        <w:gridCol w:w="155"/>
        <w:gridCol w:w="1361"/>
        <w:gridCol w:w="158"/>
      </w:tblGrid>
      <w:tr>
        <w:trPr/>
        <w:tc>
          <w:tcPr>
            <w:tcW w:w="605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053"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57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5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59" w:type="dxa"/>
            <w:tcBorders/>
            <w:shd w:fill="CCEEFF" w:val="clear"/>
            <w:vAlign w:val="bottom"/>
          </w:tcPr>
          <w:p>
            <w:pPr>
              <w:pStyle w:val="TableContents"/>
              <w:spacing w:before="0" w:after="283"/>
              <w:jc w:val="right"/>
              <w:rPr/>
            </w:pPr>
            <w:r>
              <w:rPr/>
              <w:t>94,357</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61" w:type="dxa"/>
            <w:tcBorders/>
            <w:shd w:fill="CCEEFF" w:val="clear"/>
            <w:vAlign w:val="bottom"/>
          </w:tcPr>
          <w:p>
            <w:pPr>
              <w:pStyle w:val="TableContents"/>
              <w:spacing w:before="0" w:after="283"/>
              <w:jc w:val="right"/>
              <w:rPr/>
            </w:pPr>
            <w:r>
              <w:rPr/>
              <w:t>64,553</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Costs and operating expenses:</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6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Payment processing services costs</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33,855</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24,253</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Technology and development</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14,523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10,976</w:t>
            </w:r>
          </w:p>
        </w:tc>
        <w:tc>
          <w:tcPr>
            <w:tcW w:w="158" w:type="dxa"/>
            <w:tcBorders/>
            <w:shd w:fill="auto" w:val="clear"/>
            <w:vAlign w:val="bottom"/>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Selling and marketing</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24,434</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17,608</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28,113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18,820</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Total costs and operating expenses</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100,925</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71,657</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59" w:type="dxa"/>
            <w:tcBorders/>
            <w:shd w:fill="auto" w:val="clear"/>
            <w:vAlign w:val="bottom"/>
          </w:tcPr>
          <w:p>
            <w:pPr>
              <w:pStyle w:val="TableContents"/>
              <w:spacing w:before="0" w:after="283"/>
              <w:jc w:val="right"/>
              <w:rPr/>
            </w:pPr>
            <w:r>
              <w:rPr/>
              <w:t>(6,568</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(7,104</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59"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61"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(103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(218</w:t>
            </w:r>
          </w:p>
        </w:tc>
        <w:tc>
          <w:tcPr>
            <w:tcW w:w="158" w:type="dxa"/>
            <w:tcBorders/>
            <w:shd w:fill="auto" w:val="clear"/>
            <w:vAlign w:val="bottom"/>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1,935</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Gain (loss) from remeasurement of foreign currency</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1,470</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(2,327</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income (expense), net</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3,302</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(2,545</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Loss before provision for income taxes</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(3,266</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(9,649</w:t>
            </w:r>
          </w:p>
        </w:tc>
        <w:tc>
          <w:tcPr>
            <w:tcW w:w="158" w:type="dxa"/>
            <w:tcBorders/>
            <w:shd w:fill="auto" w:val="clear"/>
            <w:vAlign w:val="bottom"/>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417</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500</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59" w:type="dxa"/>
            <w:tcBorders/>
            <w:shd w:fill="auto" w:val="clear"/>
            <w:vAlign w:val="bottom"/>
          </w:tcPr>
          <w:p>
            <w:pPr>
              <w:pStyle w:val="TableContents"/>
              <w:spacing w:before="0" w:after="283"/>
              <w:jc w:val="right"/>
              <w:rPr/>
            </w:pPr>
            <w:r>
              <w:rPr/>
              <w:t>(3,683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(10,149</w:t>
            </w:r>
          </w:p>
        </w:tc>
        <w:tc>
          <w:tcPr>
            <w:tcW w:w="158" w:type="dxa"/>
            <w:tcBorders/>
            <w:shd w:fill="auto" w:val="clear"/>
            <w:vAlign w:val="bottom"/>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adjustment</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(367</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(90</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59"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Comprehensive loss</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59" w:type="dxa"/>
            <w:tcBorders/>
            <w:shd w:fill="auto" w:val="clear"/>
            <w:vAlign w:val="bottom"/>
          </w:tcPr>
          <w:p>
            <w:pPr>
              <w:pStyle w:val="TableContents"/>
              <w:spacing w:before="0" w:after="283"/>
              <w:jc w:val="right"/>
              <w:rPr/>
            </w:pPr>
            <w:r>
              <w:rPr/>
              <w:t>(4,050</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(10,239</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59" w:type="dxa"/>
            <w:tcBorders/>
            <w:shd w:fill="auto" w:val="clear"/>
            <w:vAlign w:val="bottom"/>
          </w:tcPr>
          <w:p>
            <w:pPr>
              <w:pStyle w:val="TableContents"/>
              <w:pBdr>
                <w:top w:val="double" w:sz="6"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Net loss attributable to common stockholders - basic and diluted</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59" w:type="dxa"/>
            <w:tcBorders/>
            <w:shd w:fill="CCEEFF" w:val="clear"/>
            <w:vAlign w:val="bottom"/>
          </w:tcPr>
          <w:p>
            <w:pPr>
              <w:pStyle w:val="TableContents"/>
              <w:spacing w:before="0" w:after="283"/>
              <w:jc w:val="right"/>
              <w:rPr/>
            </w:pPr>
            <w:r>
              <w:rPr/>
              <w:t>(3,683</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61" w:type="dxa"/>
            <w:tcBorders/>
            <w:shd w:fill="CCEEFF" w:val="clear"/>
            <w:vAlign w:val="bottom"/>
          </w:tcPr>
          <w:p>
            <w:pPr>
              <w:pStyle w:val="TableContents"/>
              <w:spacing w:before="0" w:after="283"/>
              <w:jc w:val="right"/>
              <w:rPr/>
            </w:pPr>
            <w:r>
              <w:rPr/>
              <w:t>(10,149</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59" w:type="dxa"/>
            <w:tcBorders/>
            <w:shd w:fill="auto" w:val="clear"/>
            <w:vAlign w:val="bottom"/>
          </w:tcPr>
          <w:p>
            <w:pPr>
              <w:pStyle w:val="TableContents"/>
              <w:pBdr>
                <w:top w:val="double" w:sz="6"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share attributable to common stockholders - basic and diluted</w:t>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59" w:type="dxa"/>
            <w:tcBorders/>
            <w:shd w:fill="auto" w:val="clear"/>
            <w:vAlign w:val="bottom"/>
          </w:tcPr>
          <w:p>
            <w:pPr>
              <w:pStyle w:val="TableContents"/>
              <w:spacing w:before="0" w:after="283"/>
              <w:jc w:val="right"/>
              <w:rPr/>
            </w:pPr>
            <w:r>
              <w:rPr/>
              <w:t>(0.03</w:t>
            </w:r>
          </w:p>
        </w:tc>
        <w:tc>
          <w:tcPr>
            <w:tcW w:w="172"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(0.10</w:t>
            </w:r>
          </w:p>
        </w:tc>
        <w:tc>
          <w:tcPr>
            <w:tcW w:w="158" w:type="dxa"/>
            <w:tcBorders/>
            <w:shd w:fill="auto"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59" w:type="dxa"/>
            <w:tcBorders/>
            <w:shd w:fill="auto" w:val="clear"/>
            <w:vAlign w:val="bottom"/>
          </w:tcPr>
          <w:p>
            <w:pPr>
              <w:pStyle w:val="TableContents"/>
              <w:pBdr>
                <w:top w:val="double" w:sz="6"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053"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common shares outstanding - basic and diluted</w:t>
            </w:r>
          </w:p>
        </w:tc>
        <w:tc>
          <w:tcPr>
            <w:tcW w:w="41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109,787,528</w:t>
            </w:r>
          </w:p>
        </w:tc>
        <w:tc>
          <w:tcPr>
            <w:tcW w:w="172"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106,739,771</w:t>
            </w:r>
          </w:p>
        </w:tc>
        <w:tc>
          <w:tcPr>
            <w:tcW w:w="158" w:type="dxa"/>
            <w:tcBorders/>
            <w:shd w:fill="CCEEFF" w:val="clear"/>
            <w:vAlign w:val="bottom"/>
          </w:tcPr>
          <w:p>
            <w:pPr>
              <w:pStyle w:val="TableContents"/>
              <w:spacing w:before="0" w:after="283"/>
              <w:rPr/>
            </w:pPr>
            <w:r>
              <w:rPr/>
              <w:t> </w:t>
            </w:r>
          </w:p>
        </w:tc>
      </w:tr>
      <w:tr>
        <w:trPr/>
        <w:tc>
          <w:tcPr>
            <w:tcW w:w="6053"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59" w:type="dxa"/>
            <w:tcBorders/>
            <w:shd w:fill="auto" w:val="clear"/>
            <w:vAlign w:val="bottom"/>
          </w:tcPr>
          <w:p>
            <w:pPr>
              <w:pStyle w:val="TableContents"/>
              <w:pBdr>
                <w:top w:val="double" w:sz="6"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23"/>
        <w:gridCol w:w="230"/>
        <w:gridCol w:w="147"/>
        <w:gridCol w:w="928"/>
        <w:gridCol w:w="155"/>
        <w:gridCol w:w="188"/>
        <w:gridCol w:w="195"/>
        <w:gridCol w:w="1280"/>
        <w:gridCol w:w="159"/>
      </w:tblGrid>
      <w:tr>
        <w:trPr/>
        <w:tc>
          <w:tcPr>
            <w:tcW w:w="69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23"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March 31,</w:t>
            </w:r>
            <w:r>
              <w:rPr/>
              <w:br/>
            </w:r>
            <w:r>
              <w:rPr>
                <w:b/>
              </w:rPr>
              <w:t>2023</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 31,</w:t>
            </w:r>
            <w:r>
              <w:rPr/>
              <w:br/>
            </w:r>
            <w:r>
              <w:rPr>
                <w:b/>
              </w:rPr>
              <w:t>2022</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8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928" w:type="dxa"/>
            <w:tcBorders/>
            <w:shd w:fill="CCEEFF" w:val="clear"/>
            <w:vAlign w:val="bottom"/>
          </w:tcPr>
          <w:p>
            <w:pPr>
              <w:pStyle w:val="TableContents"/>
              <w:spacing w:before="0" w:after="283"/>
              <w:jc w:val="right"/>
              <w:rPr/>
            </w:pPr>
            <w:r>
              <w:rPr/>
              <w:t>327,081</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80" w:type="dxa"/>
            <w:tcBorders/>
            <w:shd w:fill="CCEEFF" w:val="clear"/>
            <w:vAlign w:val="bottom"/>
          </w:tcPr>
          <w:p>
            <w:pPr>
              <w:pStyle w:val="TableContents"/>
              <w:spacing w:before="0" w:after="283"/>
              <w:jc w:val="right"/>
              <w:rPr/>
            </w:pPr>
            <w:r>
              <w:rPr/>
              <w:t>349,177</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Restricted cash</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2,000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2,000</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 net</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17,938</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13,697</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Unbilled receivables, net</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4,021</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5,268</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Funds receivable from payment partners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28,647</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62,970</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16,206</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17,531</w:t>
            </w:r>
          </w:p>
        </w:tc>
        <w:tc>
          <w:tcPr>
            <w:tcW w:w="159" w:type="dxa"/>
            <w:tcBorders/>
            <w:shd w:fill="auto"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395,893</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450,643</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14,274</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13,317</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 net</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95,079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97,616</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Goodwill</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98,329</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97,766</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Other assets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17,399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14,945</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Total assets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928" w:type="dxa"/>
            <w:tcBorders/>
            <w:shd w:fill="auto" w:val="clear"/>
            <w:vAlign w:val="bottom"/>
          </w:tcPr>
          <w:p>
            <w:pPr>
              <w:pStyle w:val="TableContents"/>
              <w:spacing w:before="0" w:after="283"/>
              <w:jc w:val="right"/>
              <w:rPr/>
            </w:pPr>
            <w:r>
              <w:rPr/>
              <w:t>620,974</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280" w:type="dxa"/>
            <w:tcBorders/>
            <w:shd w:fill="auto" w:val="clear"/>
            <w:vAlign w:val="bottom"/>
          </w:tcPr>
          <w:p>
            <w:pPr>
              <w:pStyle w:val="TableContents"/>
              <w:spacing w:before="0" w:after="283"/>
              <w:jc w:val="right"/>
              <w:rPr/>
            </w:pPr>
            <w:r>
              <w:rPr/>
              <w:t>674,287</w:t>
            </w:r>
          </w:p>
        </w:tc>
        <w:tc>
          <w:tcPr>
            <w:tcW w:w="159" w:type="dxa"/>
            <w:tcBorders/>
            <w:shd w:fill="auto"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92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28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and Stockholders Equity</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8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928" w:type="dxa"/>
            <w:tcBorders/>
            <w:shd w:fill="CCEEFF" w:val="clear"/>
            <w:vAlign w:val="bottom"/>
          </w:tcPr>
          <w:p>
            <w:pPr>
              <w:pStyle w:val="TableContents"/>
              <w:spacing w:before="0" w:after="283"/>
              <w:jc w:val="right"/>
              <w:rPr/>
            </w:pPr>
            <w:r>
              <w:rPr/>
              <w:t>14,169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80" w:type="dxa"/>
            <w:tcBorders/>
            <w:shd w:fill="CCEEFF" w:val="clear"/>
            <w:vAlign w:val="bottom"/>
          </w:tcPr>
          <w:p>
            <w:pPr>
              <w:pStyle w:val="TableContents"/>
              <w:spacing w:before="0" w:after="283"/>
              <w:jc w:val="right"/>
              <w:rPr/>
            </w:pPr>
            <w:r>
              <w:rPr/>
              <w:t>13,325</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Funds payable to clients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63,962</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124,305</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34,345</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33,109</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3,755</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5,223</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Contingent consideration</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21</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1,314</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116,252</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177,276</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12,069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12,149</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Contingent consideration, net of current portion</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18</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2,469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2,941</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130,810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192,384</w:t>
            </w:r>
          </w:p>
        </w:tc>
        <w:tc>
          <w:tcPr>
            <w:tcW w:w="159" w:type="dxa"/>
            <w:tcBorders/>
            <w:shd w:fill="auto"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Commitments and contingencies (Note 16)</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9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8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Stockholders equity:</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9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$0.0001 par value; 10,000,000 shares authorized as of March 31, 2023 and December 31, 2022; and no shares issued and outstanding as of March 31, 2023 and December 31, 2022</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Voting common stock, $0.0001 par value; 2,000,000,000 shares authorized as of March 31, 2023 and December 31, 2022; 111,042,997 shares issued and 108,725,275 shares outstanding as of March 31, 2023; 109,790,702 shares issued and 107,472,980 shares outstanding as of December 31, 2022</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10</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Non-voting common stock, $0.0001 par value; 10,000,000 shares authorized as of March 31, 2023 and December 31, 2022; 1,873,320 shares issued and outstanding as of March 31, 2023 and December 31, 2022</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Treasury voting common stock, 2,317,722 shares as of March 31, 2023 and December 31, 2022, held at cost</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(748</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(748</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662,067</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649,756</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other comprehensive loss</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(2,279</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(1,912</w:t>
            </w:r>
          </w:p>
        </w:tc>
        <w:tc>
          <w:tcPr>
            <w:tcW w:w="159" w:type="dxa"/>
            <w:tcBorders/>
            <w:shd w:fill="auto" w:val="clear"/>
            <w:vAlign w:val="bottom"/>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(168,887</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(165,204</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auto" w:val="clear"/>
          </w:tcPr>
          <w:p>
            <w:pPr>
              <w:pStyle w:val="TableContents"/>
              <w:spacing w:before="0" w:after="0"/>
              <w:rPr>
                <w:rFonts w:ascii="Times New Roman" w:hAnsi="Times New Roman"/>
                <w:sz w:val="20"/>
              </w:rPr>
            </w:pPr>
            <w:r>
              <w:rPr>
                <w:rFonts w:ascii="Times New Roman" w:hAnsi="Times New Roman"/>
                <w:sz w:val="20"/>
              </w:rPr>
              <w:t>Total stockholders equity</w:t>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490,164</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481,903</w:t>
            </w:r>
          </w:p>
        </w:tc>
        <w:tc>
          <w:tcPr>
            <w:tcW w:w="159" w:type="dxa"/>
            <w:tcBorders/>
            <w:shd w:fill="auto"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923"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and stockholders equity</w:t>
            </w:r>
          </w:p>
        </w:tc>
        <w:tc>
          <w:tcPr>
            <w:tcW w:w="23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928" w:type="dxa"/>
            <w:tcBorders/>
            <w:shd w:fill="CCEEFF" w:val="clear"/>
            <w:vAlign w:val="bottom"/>
          </w:tcPr>
          <w:p>
            <w:pPr>
              <w:pStyle w:val="TableContents"/>
              <w:spacing w:before="0" w:after="283"/>
              <w:jc w:val="right"/>
              <w:rPr/>
            </w:pPr>
            <w:r>
              <w:rPr/>
              <w:t>620,974</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80" w:type="dxa"/>
            <w:tcBorders/>
            <w:shd w:fill="CCEEFF" w:val="clear"/>
            <w:vAlign w:val="bottom"/>
          </w:tcPr>
          <w:p>
            <w:pPr>
              <w:pStyle w:val="TableContents"/>
              <w:spacing w:before="0" w:after="283"/>
              <w:jc w:val="right"/>
              <w:rPr/>
            </w:pPr>
            <w:r>
              <w:rPr/>
              <w:t>674,287</w:t>
            </w:r>
          </w:p>
        </w:tc>
        <w:tc>
          <w:tcPr>
            <w:tcW w:w="159" w:type="dxa"/>
            <w:tcBorders/>
            <w:shd w:fill="CCEEFF" w:val="clear"/>
            <w:vAlign w:val="bottom"/>
          </w:tcPr>
          <w:p>
            <w:pPr>
              <w:pStyle w:val="TableContents"/>
              <w:spacing w:before="0" w:after="283"/>
              <w:rPr/>
            </w:pPr>
            <w:r>
              <w:rPr/>
              <w:t> </w:t>
            </w:r>
          </w:p>
        </w:tc>
      </w:tr>
      <w:tr>
        <w:trPr/>
        <w:tc>
          <w:tcPr>
            <w:tcW w:w="692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92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28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45"/>
        <w:gridCol w:w="226"/>
        <w:gridCol w:w="217"/>
        <w:gridCol w:w="1247"/>
        <w:gridCol w:w="241"/>
        <w:gridCol w:w="204"/>
        <w:gridCol w:w="217"/>
        <w:gridCol w:w="1250"/>
        <w:gridCol w:w="158"/>
      </w:tblGrid>
      <w:tr>
        <w:trPr/>
        <w:tc>
          <w:tcPr>
            <w:tcW w:w="644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4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337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47" w:type="dxa"/>
            <w:tcBorders/>
            <w:shd w:fill="CCEEFF" w:val="clear"/>
            <w:vAlign w:val="bottom"/>
          </w:tcPr>
          <w:p>
            <w:pPr>
              <w:pStyle w:val="TableContents"/>
              <w:spacing w:before="0" w:after="283"/>
              <w:rPr>
                <w:sz w:val="4"/>
                <w:szCs w:val="4"/>
              </w:rPr>
            </w:pPr>
            <w:r>
              <w:rPr>
                <w:sz w:val="4"/>
                <w:szCs w:val="4"/>
              </w:rPr>
            </w:r>
          </w:p>
        </w:tc>
        <w:tc>
          <w:tcPr>
            <w:tcW w:w="241"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50"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w:t>
            </w:r>
          </w:p>
        </w:tc>
        <w:tc>
          <w:tcPr>
            <w:tcW w:w="1247" w:type="dxa"/>
            <w:tcBorders/>
            <w:shd w:fill="auto" w:val="clear"/>
            <w:vAlign w:val="bottom"/>
          </w:tcPr>
          <w:p>
            <w:pPr>
              <w:pStyle w:val="TableContents"/>
              <w:spacing w:before="0" w:after="283"/>
              <w:jc w:val="right"/>
              <w:rPr/>
            </w:pPr>
            <w:r>
              <w:rPr/>
              <w:t>(3,683</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w:t>
            </w:r>
          </w:p>
        </w:tc>
        <w:tc>
          <w:tcPr>
            <w:tcW w:w="1250" w:type="dxa"/>
            <w:tcBorders/>
            <w:shd w:fill="auto" w:val="clear"/>
            <w:vAlign w:val="bottom"/>
          </w:tcPr>
          <w:p>
            <w:pPr>
              <w:pStyle w:val="TableContents"/>
              <w:spacing w:before="0" w:after="283"/>
              <w:jc w:val="right"/>
              <w:rPr/>
            </w:pPr>
            <w:r>
              <w:rPr/>
              <w:t>(10,149</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47" w:type="dxa"/>
            <w:tcBorders/>
            <w:shd w:fill="CCEEFF" w:val="clear"/>
            <w:vAlign w:val="bottom"/>
          </w:tcPr>
          <w:p>
            <w:pPr>
              <w:pStyle w:val="TableContents"/>
              <w:spacing w:before="0" w:after="283"/>
              <w:rPr>
                <w:sz w:val="4"/>
                <w:szCs w:val="4"/>
              </w:rPr>
            </w:pPr>
            <w:r>
              <w:rPr>
                <w:sz w:val="4"/>
                <w:szCs w:val="4"/>
              </w:rPr>
            </w:r>
          </w:p>
        </w:tc>
        <w:tc>
          <w:tcPr>
            <w:tcW w:w="241"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50"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3,731</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2,817</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 expense</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8,603</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5,495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of deferred contract costs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109</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72</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of contingent consideration</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410</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(70</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benefit</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(620</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(53</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uncollectible accounts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83</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20</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Non-cash interest expense</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72</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81</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operating assets and liabilities, net of acquisitions: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47" w:type="dxa"/>
            <w:tcBorders/>
            <w:shd w:fill="CCEEFF" w:val="clear"/>
            <w:vAlign w:val="bottom"/>
          </w:tcPr>
          <w:p>
            <w:pPr>
              <w:pStyle w:val="TableContents"/>
              <w:spacing w:before="0" w:after="283"/>
              <w:rPr>
                <w:sz w:val="4"/>
                <w:szCs w:val="4"/>
              </w:rPr>
            </w:pPr>
            <w:r>
              <w:rPr>
                <w:sz w:val="4"/>
                <w:szCs w:val="4"/>
              </w:rPr>
            </w:r>
          </w:p>
        </w:tc>
        <w:tc>
          <w:tcPr>
            <w:tcW w:w="241"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4"/>
                <w:szCs w:val="4"/>
              </w:rPr>
            </w:pPr>
            <w:r>
              <w:rPr>
                <w:sz w:val="4"/>
                <w:szCs w:val="4"/>
              </w:rPr>
            </w:r>
          </w:p>
        </w:tc>
        <w:tc>
          <w:tcPr>
            <w:tcW w:w="1250"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(4,324</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(839</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Unbilled receivables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1,247</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1,129</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Funds receivable from payment partners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34,323</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9,133</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 other current assets and other assets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(828</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262</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Funds payable to clients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(60,343</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(16,374</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accrued expenses and other current liabilities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2,780</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(3,615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Contingent consideration</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(467</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(4,524</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(413</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(385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Deferred revenue</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(1,526</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(5</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(20,846</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(17,005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sz w:val="4"/>
                <w:szCs w:val="4"/>
              </w:rPr>
            </w:pPr>
            <w:r>
              <w:rPr>
                <w:sz w:val="4"/>
                <w:szCs w:val="4"/>
              </w:rPr>
            </w:r>
          </w:p>
        </w:tc>
        <w:tc>
          <w:tcPr>
            <w:tcW w:w="1247"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Capitalization of internally developed software</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(1,368</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(1,205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Purchases of property and equipment</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(481</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(102</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(1,849</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(1,307</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sz w:val="4"/>
                <w:szCs w:val="4"/>
              </w:rPr>
            </w:pPr>
            <w:r>
              <w:rPr>
                <w:sz w:val="4"/>
                <w:szCs w:val="4"/>
              </w:rPr>
            </w:r>
          </w:p>
        </w:tc>
        <w:tc>
          <w:tcPr>
            <w:tcW w:w="1247"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sz w:val="4"/>
                <w:szCs w:val="4"/>
              </w:rPr>
            </w:pPr>
            <w:r>
              <w:rPr>
                <w:sz w:val="4"/>
                <w:szCs w:val="4"/>
              </w:rPr>
            </w:r>
          </w:p>
        </w:tc>
        <w:tc>
          <w:tcPr>
            <w:tcW w:w="125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Contingent consideration paid for acquisitions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(1,207</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(3,320</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Payments of tax withholdings for net settled option exercises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  </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(756</w:t>
            </w:r>
          </w:p>
        </w:tc>
        <w:tc>
          <w:tcPr>
            <w:tcW w:w="158" w:type="dxa"/>
            <w:tcBorders/>
            <w:shd w:fill="auto" w:val="clear"/>
            <w:vAlign w:val="bottom"/>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the issuance of stock under Employee Stock Purchase Plan</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864</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exercise of stock options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2,144</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1,071</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(used in) financing activities</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1,801</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(3,005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sz w:val="20"/>
              </w:rPr>
            </w:pPr>
            <w:r>
              <w:rPr>
                <w:rFonts w:ascii="Times New Roman" w:hAnsi="Times New Roman"/>
                <w:sz w:val="20"/>
              </w:rPr>
              <w:t>Effect of exchange rates changes on cash and cash equivalents</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(1,202</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pPr>
            <w:r>
              <w:rPr/>
              <w:t>1,702</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increase (decrease) in cash, cash equivalents and restricted cash</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(22,096</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pPr>
            <w:r>
              <w:rPr/>
              <w:t>(19,615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cash equivalents and restricted cash, beginning of year</w:t>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w:t>
            </w:r>
          </w:p>
        </w:tc>
        <w:tc>
          <w:tcPr>
            <w:tcW w:w="1247" w:type="dxa"/>
            <w:tcBorders/>
            <w:shd w:fill="auto" w:val="clear"/>
            <w:vAlign w:val="bottom"/>
          </w:tcPr>
          <w:p>
            <w:pPr>
              <w:pStyle w:val="TableContents"/>
              <w:spacing w:before="0" w:after="283"/>
              <w:jc w:val="right"/>
              <w:rPr/>
            </w:pPr>
            <w:r>
              <w:rPr/>
              <w:t>351,177</w:t>
            </w:r>
          </w:p>
        </w:tc>
        <w:tc>
          <w:tcPr>
            <w:tcW w:w="241"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w:t>
            </w:r>
          </w:p>
        </w:tc>
        <w:tc>
          <w:tcPr>
            <w:tcW w:w="1250" w:type="dxa"/>
            <w:tcBorders/>
            <w:shd w:fill="auto" w:val="clear"/>
            <w:vAlign w:val="bottom"/>
          </w:tcPr>
          <w:p>
            <w:pPr>
              <w:pStyle w:val="TableContents"/>
              <w:spacing w:before="0" w:after="283"/>
              <w:jc w:val="right"/>
              <w:rPr/>
            </w:pPr>
            <w:r>
              <w:rPr/>
              <w:t>389,360</w:t>
            </w:r>
          </w:p>
        </w:tc>
        <w:tc>
          <w:tcPr>
            <w:tcW w:w="158" w:type="dxa"/>
            <w:tcBorders/>
            <w:shd w:fill="auto"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47"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125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4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cash equivalents and restricted cash, end of year</w:t>
            </w:r>
          </w:p>
        </w:tc>
        <w:tc>
          <w:tcPr>
            <w:tcW w:w="22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1247" w:type="dxa"/>
            <w:tcBorders/>
            <w:shd w:fill="CCEEFF" w:val="clear"/>
            <w:vAlign w:val="bottom"/>
          </w:tcPr>
          <w:p>
            <w:pPr>
              <w:pStyle w:val="TableContents"/>
              <w:spacing w:before="0" w:after="283"/>
              <w:jc w:val="right"/>
              <w:rPr/>
            </w:pPr>
            <w:r>
              <w:rPr/>
              <w:t>329,081</w:t>
            </w:r>
          </w:p>
        </w:tc>
        <w:tc>
          <w:tcPr>
            <w:tcW w:w="241"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1250" w:type="dxa"/>
            <w:tcBorders/>
            <w:shd w:fill="CCEEFF" w:val="clear"/>
            <w:vAlign w:val="bottom"/>
          </w:tcPr>
          <w:p>
            <w:pPr>
              <w:pStyle w:val="TableContents"/>
              <w:spacing w:before="0" w:after="283"/>
              <w:jc w:val="right"/>
              <w:rPr/>
            </w:pPr>
            <w:r>
              <w:rPr/>
              <w:t>369,745</w:t>
            </w:r>
          </w:p>
        </w:tc>
        <w:tc>
          <w:tcPr>
            <w:tcW w:w="158" w:type="dxa"/>
            <w:tcBorders/>
            <w:shd w:fill="CCEEFF" w:val="clear"/>
            <w:vAlign w:val="bottom"/>
          </w:tcPr>
          <w:p>
            <w:pPr>
              <w:pStyle w:val="TableContents"/>
              <w:spacing w:before="0" w:after="283"/>
              <w:rPr/>
            </w:pPr>
            <w:r>
              <w:rPr/>
              <w:t> </w:t>
            </w:r>
          </w:p>
        </w:tc>
      </w:tr>
      <w:tr>
        <w:trPr/>
        <w:tc>
          <w:tcPr>
            <w:tcW w:w="644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double" w:sz="6" w:space="1" w:color="000000"/>
              </w:pBdr>
              <w:spacing w:before="0" w:after="0"/>
              <w:rPr/>
            </w:pPr>
            <w:r>
              <w:rPr/>
              <w:t> </w:t>
            </w:r>
          </w:p>
        </w:tc>
        <w:tc>
          <w:tcPr>
            <w:tcW w:w="1247" w:type="dxa"/>
            <w:tcBorders/>
            <w:shd w:fill="auto" w:val="clear"/>
            <w:vAlign w:val="bottom"/>
          </w:tcPr>
          <w:p>
            <w:pPr>
              <w:pStyle w:val="TableContents"/>
              <w:pBdr>
                <w:top w:val="double" w:sz="6"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double" w:sz="6" w:space="1" w:color="000000"/>
              </w:pBdr>
              <w:spacing w:before="0" w:after="0"/>
              <w:rPr/>
            </w:pPr>
            <w:r>
              <w:rPr/>
              <w:t> </w:t>
            </w:r>
          </w:p>
        </w:tc>
        <w:tc>
          <w:tcPr>
            <w:tcW w:w="1250"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spacing w:before="240" w:after="0"/>
        <w:jc w:val="center"/>
        <w:rPr>
          <w:rFonts w:ascii="Times New Roman" w:hAnsi="Times New Roman"/>
          <w:b/>
          <w:sz w:val="20"/>
        </w:rPr>
      </w:pPr>
      <w:r>
        <w:rPr>
          <w:rFonts w:ascii="Times New Roman" w:hAnsi="Times New Roman"/>
          <w:b/>
          <w:sz w:val="20"/>
        </w:rPr>
        <w:t xml:space="preserve">(Amounts in millions) </w:t>
      </w:r>
    </w:p>
    <w:p>
      <w:pPr>
        <w:pStyle w:val="TextBody"/>
        <w:spacing w:before="240" w:after="0"/>
        <w:jc w:val="left"/>
        <w:rPr>
          <w:rFonts w:ascii="Times New Roman" w:hAnsi="Times New Roman"/>
          <w:b/>
          <w:sz w:val="20"/>
        </w:rPr>
      </w:pPr>
      <w:r>
        <w:rPr>
          <w:rFonts w:ascii="Times New Roman" w:hAnsi="Times New Roman"/>
          <w:b/>
          <w:sz w:val="20"/>
        </w:rPr>
        <w:t xml:space="preserve">Modified Methodology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37"/>
        <w:gridCol w:w="331"/>
        <w:gridCol w:w="206"/>
        <w:gridCol w:w="655"/>
        <w:gridCol w:w="425"/>
        <w:gridCol w:w="257"/>
        <w:gridCol w:w="206"/>
        <w:gridCol w:w="658"/>
        <w:gridCol w:w="280"/>
      </w:tblGrid>
      <w:tr>
        <w:trPr/>
        <w:tc>
          <w:tcPr>
            <w:tcW w:w="473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47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40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March 31,</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94.4</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64.6</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Adjusted to exclude gross up for:</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Pass-through cost for printing and mailing</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(4.9</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(4.9</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Marketing fees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(0.4</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(0.4</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89.1</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59.3</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Payment processing services costs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33.9</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24.3</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Hosting and amortization costs within technology and development expenses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2.2</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1.5</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Cost of Revenue</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36.1</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25.8</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to:</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658"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Exclude printing and mailing costs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(4.9</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(4.9</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Offset marketing fees against related costs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(0.4</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(0.4</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Exclude depreciation and amortization</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(1.6</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(1.2</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Cost of Revenue</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29.2</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19.3</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Gross Profit</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58.3</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38.8</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Gross Margin</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61.8</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60.1</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Adjusted Gross Profit</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59.9</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40.0</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Gross Margin</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67.2</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67.5</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Previous Methodology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37"/>
        <w:gridCol w:w="331"/>
        <w:gridCol w:w="206"/>
        <w:gridCol w:w="655"/>
        <w:gridCol w:w="425"/>
        <w:gridCol w:w="257"/>
        <w:gridCol w:w="206"/>
        <w:gridCol w:w="658"/>
        <w:gridCol w:w="280"/>
      </w:tblGrid>
      <w:tr>
        <w:trPr/>
        <w:tc>
          <w:tcPr>
            <w:tcW w:w="473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47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240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March 31,</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94.4</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64.6</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Adjusted to exclude gross up for:</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Pass-through cost for printing and mailing</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(4.9</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(4.9</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Marketing fees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(0.4</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(0.4</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89.1</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59.3</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Payment processing services costs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33.9</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24.3</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Hosting and amortization costs within technology and development expenses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2.2</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1.5</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Cost of Revenue</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36.1</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25.8</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to:</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42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658"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Exclude printing and mailing costs</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(4.9</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(4.9</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Offset marketing fees against related costs</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(0.4</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(0.4</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Adjusted Cost of Revenue</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30.8</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20.5</w:t>
            </w:r>
          </w:p>
        </w:tc>
        <w:tc>
          <w:tcPr>
            <w:tcW w:w="280" w:type="dxa"/>
            <w:tcBorders/>
            <w:shd w:fill="auto" w:val="clear"/>
            <w:vAlign w:val="bottom"/>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Gross Profit</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58.3</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38.8</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Gross Margin</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61.8</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60.1</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473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Gross Profit</w:t>
            </w:r>
          </w:p>
        </w:tc>
        <w:tc>
          <w:tcPr>
            <w:tcW w:w="33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58.3</w:t>
            </w:r>
          </w:p>
        </w:tc>
        <w:tc>
          <w:tcPr>
            <w:tcW w:w="42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38.8</w:t>
            </w:r>
          </w:p>
        </w:tc>
        <w:tc>
          <w:tcPr>
            <w:tcW w:w="280" w:type="dxa"/>
            <w:tcBorders/>
            <w:shd w:fill="CCEEFF" w:val="clear"/>
            <w:vAlign w:val="bottom"/>
          </w:tcPr>
          <w:p>
            <w:pPr>
              <w:pStyle w:val="TableContents"/>
              <w:spacing w:before="0" w:after="283"/>
              <w:rPr/>
            </w:pPr>
            <w:r>
              <w:rPr/>
              <w:t> </w:t>
            </w:r>
          </w:p>
        </w:tc>
      </w:tr>
      <w:tr>
        <w:trPr/>
        <w:tc>
          <w:tcPr>
            <w:tcW w:w="4737" w:type="dxa"/>
            <w:tcBorders/>
            <w:shd w:fill="auto" w:val="clear"/>
          </w:tcPr>
          <w:p>
            <w:pPr>
              <w:pStyle w:val="TableContents"/>
              <w:spacing w:before="0" w:after="0"/>
              <w:rPr>
                <w:rFonts w:ascii="Times New Roman" w:hAnsi="Times New Roman"/>
                <w:sz w:val="20"/>
              </w:rPr>
            </w:pPr>
            <w:r>
              <w:rPr>
                <w:rFonts w:ascii="Times New Roman" w:hAnsi="Times New Roman"/>
                <w:sz w:val="20"/>
              </w:rPr>
              <w:t>Adjusted Gross Margin</w:t>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65.4</w:t>
            </w:r>
          </w:p>
        </w:tc>
        <w:tc>
          <w:tcPr>
            <w:tcW w:w="4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65.4</w:t>
            </w:r>
          </w:p>
        </w:tc>
        <w:tc>
          <w:tcPr>
            <w:tcW w:w="280" w:type="dxa"/>
            <w:tcBorders/>
            <w:shd w:fill="auto" w:val="clear"/>
            <w:vAlign w:val="bottom"/>
          </w:tcPr>
          <w:p>
            <w:pPr>
              <w:pStyle w:val="TableContents"/>
              <w:spacing w:before="0" w:after="283"/>
              <w:rPr/>
            </w:pPr>
            <w:r>
              <w:rPr/>
              <w:t>% </w:t>
            </w:r>
          </w:p>
        </w:tc>
      </w:tr>
      <w:tr>
        <w:trPr/>
        <w:tc>
          <w:tcPr>
            <w:tcW w:w="473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5" w:type="dxa"/>
            <w:tcBorders/>
            <w:shd w:fill="auto" w:val="clear"/>
            <w:vAlign w:val="bottom"/>
          </w:tcPr>
          <w:p>
            <w:pPr>
              <w:pStyle w:val="TableContents"/>
              <w:pBdr>
                <w:top w:val="double" w:sz="6" w:space="1" w:color="000000"/>
              </w:pBdr>
              <w:spacing w:before="0" w:after="0"/>
              <w:rPr/>
            </w:pPr>
            <w:r>
              <w:rPr/>
              <w:t> </w:t>
            </w:r>
          </w:p>
        </w:tc>
        <w:tc>
          <w:tcPr>
            <w:tcW w:w="42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EBITDA and Adjusted EBITDA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61"/>
        <w:gridCol w:w="288"/>
        <w:gridCol w:w="211"/>
        <w:gridCol w:w="598"/>
        <w:gridCol w:w="233"/>
        <w:gridCol w:w="293"/>
        <w:gridCol w:w="211"/>
        <w:gridCol w:w="801"/>
        <w:gridCol w:w="159"/>
      </w:tblGrid>
      <w:tr>
        <w:trPr/>
        <w:tc>
          <w:tcPr>
            <w:tcW w:w="4961"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9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2347"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w:t>
            </w:r>
          </w:p>
        </w:tc>
        <w:tc>
          <w:tcPr>
            <w:tcW w:w="159" w:type="dxa"/>
            <w:tcBorders/>
            <w:shd w:fill="auto" w:val="clear"/>
            <w:vAlign w:val="bottom"/>
          </w:tcPr>
          <w:p>
            <w:pPr>
              <w:pStyle w:val="TableContents"/>
              <w:spacing w:before="0" w:after="283"/>
              <w:rPr/>
            </w:pPr>
            <w:r>
              <w:rPr/>
              <w:t> </w:t>
            </w:r>
          </w:p>
        </w:tc>
      </w:tr>
      <w:tr>
        <w:trPr/>
        <w:tc>
          <w:tcPr>
            <w:tcW w:w="496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598" w:type="dxa"/>
            <w:tcBorders/>
            <w:shd w:fill="CCEEFF" w:val="clear"/>
            <w:vAlign w:val="bottom"/>
          </w:tcPr>
          <w:p>
            <w:pPr>
              <w:pStyle w:val="TableContents"/>
              <w:spacing w:before="0" w:after="283"/>
              <w:jc w:val="right"/>
              <w:rPr/>
            </w:pPr>
            <w:r>
              <w:rPr/>
              <w:t>(3.7</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01" w:type="dxa"/>
            <w:tcBorders/>
            <w:shd w:fill="CCEEFF" w:val="clear"/>
            <w:vAlign w:val="bottom"/>
          </w:tcPr>
          <w:p>
            <w:pPr>
              <w:pStyle w:val="TableContents"/>
              <w:spacing w:before="0" w:after="283"/>
              <w:jc w:val="right"/>
              <w:rPr/>
            </w:pPr>
            <w:r>
              <w:rPr/>
              <w:t>(10.1</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0.1</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0.2</w:t>
            </w:r>
          </w:p>
        </w:tc>
        <w:tc>
          <w:tcPr>
            <w:tcW w:w="159" w:type="dxa"/>
            <w:tcBorders/>
            <w:shd w:fill="auto" w:val="clear"/>
            <w:vAlign w:val="bottom"/>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pPr>
            <w:r>
              <w:rPr/>
              <w:t>0.4</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0.5</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3.8</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2.9</w:t>
            </w:r>
          </w:p>
        </w:tc>
        <w:tc>
          <w:tcPr>
            <w:tcW w:w="159" w:type="dxa"/>
            <w:tcBorders/>
            <w:shd w:fill="auto" w:val="clear"/>
            <w:vAlign w:val="bottom"/>
          </w:tcPr>
          <w:p>
            <w:pPr>
              <w:pStyle w:val="TableContents"/>
              <w:spacing w:before="0" w:after="283"/>
              <w:rPr/>
            </w:pPr>
            <w:r>
              <w:rPr/>
              <w:t> </w:t>
            </w:r>
          </w:p>
        </w:tc>
      </w:tr>
      <w:tr>
        <w:trPr/>
        <w:tc>
          <w:tcPr>
            <w:tcW w:w="4961"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598" w:type="dxa"/>
            <w:tcBorders/>
            <w:shd w:fill="auto" w:val="clear"/>
            <w:vAlign w:val="bottom"/>
          </w:tcPr>
          <w:p>
            <w:pPr>
              <w:pStyle w:val="TableContents"/>
              <w:pBdr>
                <w:top w:val="single" w:sz="2" w:space="1" w:color="000000"/>
              </w:pBdr>
              <w:spacing w:before="0" w:after="0"/>
              <w:rPr/>
            </w:pPr>
            <w:r>
              <w:rPr/>
              <w:t> </w:t>
            </w:r>
          </w:p>
        </w:tc>
        <w:tc>
          <w:tcPr>
            <w:tcW w:w="233" w:type="dxa"/>
            <w:tcBorders/>
            <w:shd w:fill="auto" w:val="clear"/>
            <w:vAlign w:val="center"/>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EBITDA</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pPr>
            <w:r>
              <w:rPr/>
              <w:t>0.6</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(6.5</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 expense and related taxes</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9.0</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5.5</w:t>
            </w:r>
          </w:p>
        </w:tc>
        <w:tc>
          <w:tcPr>
            <w:tcW w:w="159" w:type="dxa"/>
            <w:tcBorders/>
            <w:shd w:fill="auto" w:val="clear"/>
            <w:vAlign w:val="bottom"/>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of contingent consideration</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pPr>
            <w:r>
              <w:rPr/>
              <w:t>0.4</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(0.1</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Interest income</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(1.9</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(Gain) loss from remeasurement of foreign currency</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pPr>
            <w:r>
              <w:rPr/>
              <w:t>(1.5</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Indirect taxes related to intercompany activity</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0.1</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0.1</w:t>
            </w:r>
          </w:p>
        </w:tc>
        <w:tc>
          <w:tcPr>
            <w:tcW w:w="159" w:type="dxa"/>
            <w:tcBorders/>
            <w:shd w:fill="auto" w:val="clear"/>
            <w:vAlign w:val="bottom"/>
          </w:tcPr>
          <w:p>
            <w:pPr>
              <w:pStyle w:val="TableContents"/>
              <w:spacing w:before="0" w:after="283"/>
              <w:rPr/>
            </w:pPr>
            <w:r>
              <w:rPr/>
              <w:t> </w:t>
            </w:r>
          </w:p>
        </w:tc>
      </w:tr>
      <w:tr>
        <w:trPr/>
        <w:tc>
          <w:tcPr>
            <w:tcW w:w="4961"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 related employee retention costs</w:t>
            </w:r>
          </w:p>
        </w:tc>
        <w:tc>
          <w:tcPr>
            <w:tcW w:w="288"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pPr>
            <w:r>
              <w:rPr/>
              <w:t>0.3</w:t>
            </w:r>
          </w:p>
        </w:tc>
        <w:tc>
          <w:tcPr>
            <w:tcW w:w="233"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0.6</w:t>
            </w:r>
          </w:p>
        </w:tc>
        <w:tc>
          <w:tcPr>
            <w:tcW w:w="159" w:type="dxa"/>
            <w:tcBorders/>
            <w:shd w:fill="CCEEFF" w:val="clear"/>
            <w:vAlign w:val="bottom"/>
          </w:tcPr>
          <w:p>
            <w:pPr>
              <w:pStyle w:val="TableContents"/>
              <w:spacing w:before="0" w:after="283"/>
              <w:rPr/>
            </w:pPr>
            <w:r>
              <w:rPr/>
              <w:t> </w:t>
            </w:r>
          </w:p>
        </w:tc>
      </w:tr>
      <w:tr>
        <w:trPr/>
        <w:tc>
          <w:tcPr>
            <w:tcW w:w="4961"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598" w:type="dxa"/>
            <w:tcBorders/>
            <w:shd w:fill="auto" w:val="clear"/>
            <w:vAlign w:val="bottom"/>
          </w:tcPr>
          <w:p>
            <w:pPr>
              <w:pStyle w:val="TableContents"/>
              <w:pBdr>
                <w:top w:val="single" w:sz="2" w:space="1" w:color="000000"/>
              </w:pBdr>
              <w:spacing w:before="0" w:after="0"/>
              <w:rPr/>
            </w:pPr>
            <w:r>
              <w:rPr/>
              <w:t> </w:t>
            </w:r>
          </w:p>
        </w:tc>
        <w:tc>
          <w:tcPr>
            <w:tcW w:w="233" w:type="dxa"/>
            <w:tcBorders/>
            <w:shd w:fill="auto" w:val="clear"/>
            <w:vAlign w:val="center"/>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61" w:type="dxa"/>
            <w:tcBorders/>
            <w:shd w:fill="auto" w:val="clear"/>
          </w:tcPr>
          <w:p>
            <w:pPr>
              <w:pStyle w:val="TableContents"/>
              <w:spacing w:before="0" w:after="0"/>
              <w:rPr>
                <w:rFonts w:ascii="Times New Roman" w:hAnsi="Times New Roman"/>
                <w:sz w:val="20"/>
              </w:rPr>
            </w:pPr>
            <w:r>
              <w:rPr>
                <w:rFonts w:ascii="Times New Roman" w:hAnsi="Times New Roman"/>
                <w:sz w:val="20"/>
              </w:rPr>
              <w:t>Adjusted EBITDA</w:t>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598" w:type="dxa"/>
            <w:tcBorders/>
            <w:shd w:fill="auto" w:val="clear"/>
            <w:vAlign w:val="bottom"/>
          </w:tcPr>
          <w:p>
            <w:pPr>
              <w:pStyle w:val="TableContents"/>
              <w:spacing w:before="0" w:after="283"/>
              <w:jc w:val="right"/>
              <w:rPr/>
            </w:pPr>
            <w:r>
              <w:rPr/>
              <w:t>7.0</w:t>
            </w:r>
          </w:p>
        </w:tc>
        <w:tc>
          <w:tcPr>
            <w:tcW w:w="233"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801" w:type="dxa"/>
            <w:tcBorders/>
            <w:shd w:fill="auto" w:val="clear"/>
            <w:vAlign w:val="bottom"/>
          </w:tcPr>
          <w:p>
            <w:pPr>
              <w:pStyle w:val="TableContents"/>
              <w:spacing w:before="0" w:after="283"/>
              <w:jc w:val="right"/>
              <w:rPr/>
            </w:pPr>
            <w:r>
              <w:rPr/>
              <w:t>1.9</w:t>
            </w:r>
          </w:p>
        </w:tc>
        <w:tc>
          <w:tcPr>
            <w:tcW w:w="159" w:type="dxa"/>
            <w:tcBorders/>
            <w:shd w:fill="auto" w:val="clear"/>
            <w:vAlign w:val="bottom"/>
          </w:tcPr>
          <w:p>
            <w:pPr>
              <w:pStyle w:val="TableContents"/>
              <w:spacing w:before="0" w:after="283"/>
              <w:rPr/>
            </w:pPr>
            <w:r>
              <w:rPr/>
              <w:t> </w:t>
            </w:r>
          </w:p>
        </w:tc>
      </w:tr>
      <w:tr>
        <w:trPr/>
        <w:tc>
          <w:tcPr>
            <w:tcW w:w="4961"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double" w:sz="6" w:space="1" w:color="000000"/>
              </w:pBdr>
              <w:spacing w:before="0" w:after="0"/>
              <w:rPr/>
            </w:pPr>
            <w:r>
              <w:rPr/>
              <w:t> </w:t>
            </w:r>
          </w:p>
        </w:tc>
        <w:tc>
          <w:tcPr>
            <w:tcW w:w="598" w:type="dxa"/>
            <w:tcBorders/>
            <w:shd w:fill="auto" w:val="clear"/>
            <w:vAlign w:val="bottom"/>
          </w:tcPr>
          <w:p>
            <w:pPr>
              <w:pStyle w:val="TableContents"/>
              <w:pBdr>
                <w:top w:val="double" w:sz="6" w:space="1" w:color="000000"/>
              </w:pBdr>
              <w:spacing w:before="0" w:after="0"/>
              <w:rPr/>
            </w:pPr>
            <w:r>
              <w:rPr/>
              <w:t> </w:t>
            </w:r>
          </w:p>
        </w:tc>
        <w:tc>
          <w:tcPr>
            <w:tcW w:w="233" w:type="dxa"/>
            <w:tcBorders/>
            <w:shd w:fill="auto" w:val="clear"/>
            <w:vAlign w:val="center"/>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double" w:sz="6" w:space="1" w:color="000000"/>
              </w:pBdr>
              <w:spacing w:before="0" w:after="0"/>
              <w:rPr/>
            </w:pPr>
            <w:r>
              <w:rPr/>
              <w:t> </w:t>
            </w:r>
          </w:p>
        </w:tc>
        <w:tc>
          <w:tcPr>
            <w:tcW w:w="80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885"/>
        <w:gridCol w:w="368"/>
        <w:gridCol w:w="301"/>
        <w:gridCol w:w="950"/>
        <w:gridCol w:w="275"/>
        <w:gridCol w:w="282"/>
        <w:gridCol w:w="421"/>
        <w:gridCol w:w="1343"/>
        <w:gridCol w:w="275"/>
        <w:gridCol w:w="282"/>
        <w:gridCol w:w="181"/>
        <w:gridCol w:w="731"/>
        <w:gridCol w:w="278"/>
      </w:tblGrid>
      <w:tr>
        <w:trPr/>
        <w:tc>
          <w:tcPr>
            <w:tcW w:w="288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5041"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Three Months</w:t>
            </w:r>
            <w:r>
              <w:rPr/>
              <w:br/>
            </w:r>
            <w:r>
              <w:rPr>
                <w:b/>
              </w:rPr>
              <w:t>Ended March 31,</w:t>
            </w:r>
            <w:r>
              <w:rPr/>
              <w:br/>
            </w:r>
            <w:r>
              <w:rPr>
                <w:b/>
              </w:rPr>
              <w:t>2023</w:t>
            </w:r>
          </w:p>
        </w:tc>
        <w:tc>
          <w:tcPr>
            <w:tcW w:w="278" w:type="dxa"/>
            <w:tcBorders/>
            <w:shd w:fill="auto"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7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Platform and</w:t>
              <w:br/>
              <w:t>Usage-Based Fee</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Revenue</w:t>
            </w:r>
          </w:p>
        </w:tc>
        <w:tc>
          <w:tcPr>
            <w:tcW w:w="278"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76.3</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1343" w:type="dxa"/>
            <w:tcBorders/>
            <w:shd w:fill="CCEEFF" w:val="clear"/>
            <w:vAlign w:val="bottom"/>
          </w:tcPr>
          <w:p>
            <w:pPr>
              <w:pStyle w:val="TableContents"/>
              <w:spacing w:before="0" w:after="283"/>
              <w:jc w:val="right"/>
              <w:rPr/>
            </w:pPr>
            <w:r>
              <w:rPr/>
              <w:t>18.1</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31" w:type="dxa"/>
            <w:tcBorders/>
            <w:shd w:fill="CCEEFF" w:val="clear"/>
            <w:vAlign w:val="bottom"/>
          </w:tcPr>
          <w:p>
            <w:pPr>
              <w:pStyle w:val="TableContents"/>
              <w:spacing w:before="0" w:after="283"/>
              <w:jc w:val="right"/>
              <w:rPr/>
            </w:pPr>
            <w:r>
              <w:rPr/>
              <w:t>94.4</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Adjusted to exclude gross up for:</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134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731"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Pass-through cost for printing and mailing</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(4.9</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pPr>
            <w:r>
              <w:rPr/>
              <w:t>(4.9</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Marketing fees</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(0.4</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(0.4</w:t>
            </w:r>
          </w:p>
        </w:tc>
        <w:tc>
          <w:tcPr>
            <w:tcW w:w="278" w:type="dxa"/>
            <w:tcBorders/>
            <w:shd w:fill="auto"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950"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1343"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731" w:type="dxa"/>
            <w:tcBorders/>
            <w:shd w:fill="auto" w:val="clear"/>
            <w:vAlign w:val="bottom"/>
          </w:tcPr>
          <w:p>
            <w:pPr>
              <w:pStyle w:val="TableContents"/>
              <w:pBdr>
                <w:top w:val="single" w:sz="2" w:space="1" w:color="000000"/>
              </w:pBdr>
              <w:spacing w:before="0" w:after="0"/>
              <w:rPr/>
            </w:pPr>
            <w:r>
              <w:rPr/>
              <w:t> </w:t>
            </w:r>
          </w:p>
        </w:tc>
        <w:tc>
          <w:tcPr>
            <w:tcW w:w="278" w:type="dxa"/>
            <w:tcBorders/>
            <w:shd w:fill="auto" w:val="clear"/>
            <w:vAlign w:val="center"/>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75.9</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1343" w:type="dxa"/>
            <w:tcBorders/>
            <w:shd w:fill="CCEEFF" w:val="clear"/>
            <w:vAlign w:val="bottom"/>
          </w:tcPr>
          <w:p>
            <w:pPr>
              <w:pStyle w:val="TableContents"/>
              <w:spacing w:before="0" w:after="283"/>
              <w:jc w:val="right"/>
              <w:rPr/>
            </w:pPr>
            <w:r>
              <w:rPr/>
              <w:t>13.2</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31" w:type="dxa"/>
            <w:tcBorders/>
            <w:shd w:fill="CCEEFF" w:val="clear"/>
            <w:vAlign w:val="bottom"/>
          </w:tcPr>
          <w:p>
            <w:pPr>
              <w:pStyle w:val="TableContents"/>
              <w:spacing w:before="0" w:after="283"/>
              <w:jc w:val="right"/>
              <w:rPr/>
            </w:pPr>
            <w:r>
              <w:rPr/>
              <w:t>89.1</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double" w:sz="6" w:space="1" w:color="000000"/>
              </w:pBdr>
              <w:spacing w:before="0" w:after="0"/>
              <w:rPr/>
            </w:pPr>
            <w:r>
              <w:rPr/>
              <w:t> </w:t>
            </w:r>
          </w:p>
        </w:tc>
        <w:tc>
          <w:tcPr>
            <w:tcW w:w="950" w:type="dxa"/>
            <w:tcBorders/>
            <w:shd w:fill="auto" w:val="clear"/>
            <w:vAlign w:val="bottom"/>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1343" w:type="dxa"/>
            <w:tcBorders/>
            <w:shd w:fill="auto" w:val="clear"/>
            <w:vAlign w:val="bottom"/>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double" w:sz="6" w:space="1" w:color="000000"/>
              </w:pBdr>
              <w:spacing w:before="0" w:after="0"/>
              <w:rPr/>
            </w:pPr>
            <w:r>
              <w:rPr/>
              <w:t> </w:t>
            </w:r>
          </w:p>
        </w:tc>
        <w:tc>
          <w:tcPr>
            <w:tcW w:w="731" w:type="dxa"/>
            <w:tcBorders/>
            <w:shd w:fill="auto" w:val="clear"/>
            <w:vAlign w:val="bottom"/>
          </w:tcPr>
          <w:p>
            <w:pPr>
              <w:pStyle w:val="TableContents"/>
              <w:pBdr>
                <w:top w:val="double" w:sz="6" w:space="1" w:color="000000"/>
              </w:pBdr>
              <w:spacing w:before="0" w:after="0"/>
              <w:rPr/>
            </w:pPr>
            <w:r>
              <w:rPr/>
              <w:t> </w:t>
            </w:r>
          </w:p>
        </w:tc>
        <w:tc>
          <w:tcPr>
            <w:tcW w:w="278" w:type="dxa"/>
            <w:tcBorders/>
            <w:shd w:fill="auto" w:val="clear"/>
            <w:vAlign w:val="center"/>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Percentage of Revenue</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80.8</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19.2</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100.0</w:t>
            </w:r>
          </w:p>
        </w:tc>
        <w:tc>
          <w:tcPr>
            <w:tcW w:w="278"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Percentage of Revenue Less Ancillary Services</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85.2</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14.8</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pPr>
            <w:r>
              <w:rPr/>
              <w:t>100.0</w:t>
            </w:r>
          </w:p>
        </w:tc>
        <w:tc>
          <w:tcPr>
            <w:tcW w:w="278" w:type="dxa"/>
            <w:tcBorders/>
            <w:shd w:fill="CCEEFF" w:val="clear"/>
            <w:vAlign w:val="bottom"/>
          </w:tcPr>
          <w:p>
            <w:pPr>
              <w:pStyle w:val="TableContents"/>
              <w:spacing w:before="0" w:after="283"/>
              <w:rPr/>
            </w:pPr>
            <w:r>
              <w:rPr/>
              <w:t>% </w:t>
            </w:r>
          </w:p>
        </w:tc>
      </w:tr>
      <w:tr>
        <w:trPr>
          <w:trHeight w:val="240" w:hRule="atLeast"/>
        </w:trPr>
        <w:tc>
          <w:tcPr>
            <w:tcW w:w="2885" w:type="dxa"/>
            <w:tcBorders/>
            <w:shd w:fill="auto" w:val="clear"/>
            <w:vAlign w:val="center"/>
          </w:tcPr>
          <w:p>
            <w:pPr>
              <w:pStyle w:val="TableContents"/>
              <w:spacing w:before="0" w:after="283"/>
              <w:rPr>
                <w:sz w:val="4"/>
                <w:szCs w:val="4"/>
              </w:rPr>
            </w:pPr>
            <w:r>
              <w:rPr>
                <w:sz w:val="4"/>
                <w:szCs w:val="4"/>
              </w:rPr>
            </w:r>
          </w:p>
        </w:tc>
        <w:tc>
          <w:tcPr>
            <w:tcW w:w="5687" w:type="dxa"/>
            <w:gridSpan w:val="12"/>
            <w:tcBorders/>
            <w:shd w:fill="auto" w:val="clear"/>
            <w:vAlign w:val="center"/>
          </w:tcPr>
          <w:p>
            <w:pPr>
              <w:pStyle w:val="TableContents"/>
              <w:spacing w:before="0" w:after="283"/>
              <w:rPr>
                <w:sz w:val="4"/>
                <w:szCs w:val="4"/>
              </w:rPr>
            </w:pPr>
            <w:r>
              <w:rPr>
                <w:sz w:val="4"/>
                <w:szCs w:val="4"/>
              </w:rPr>
            </w:r>
          </w:p>
        </w:tc>
      </w:tr>
      <w:tr>
        <w:trPr/>
        <w:tc>
          <w:tcPr>
            <w:tcW w:w="288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5041"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Three Months</w:t>
            </w:r>
            <w:r>
              <w:rPr/>
              <w:br/>
            </w:r>
            <w:r>
              <w:rPr>
                <w:b/>
              </w:rPr>
              <w:t>Ended March 31,</w:t>
            </w:r>
            <w:r>
              <w:rPr/>
              <w:br/>
            </w:r>
            <w:r>
              <w:rPr>
                <w:b/>
              </w:rPr>
              <w:t>2022</w:t>
            </w:r>
          </w:p>
        </w:tc>
        <w:tc>
          <w:tcPr>
            <w:tcW w:w="278" w:type="dxa"/>
            <w:tcBorders/>
            <w:shd w:fill="auto"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76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Platform and</w:t>
            </w:r>
            <w:r>
              <w:rPr/>
              <w:br/>
            </w:r>
            <w:r>
              <w:rPr>
                <w:b/>
              </w:rPr>
              <w:t>Usage-Based Fee</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Revenue</w:t>
            </w:r>
          </w:p>
        </w:tc>
        <w:tc>
          <w:tcPr>
            <w:tcW w:w="278"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48.7</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1343" w:type="dxa"/>
            <w:tcBorders/>
            <w:shd w:fill="CCEEFF" w:val="clear"/>
            <w:vAlign w:val="bottom"/>
          </w:tcPr>
          <w:p>
            <w:pPr>
              <w:pStyle w:val="TableContents"/>
              <w:spacing w:before="0" w:after="283"/>
              <w:jc w:val="right"/>
              <w:rPr/>
            </w:pPr>
            <w:r>
              <w:rPr/>
              <w:t>15.9</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31" w:type="dxa"/>
            <w:tcBorders/>
            <w:shd w:fill="CCEEFF" w:val="clear"/>
            <w:vAlign w:val="bottom"/>
          </w:tcPr>
          <w:p>
            <w:pPr>
              <w:pStyle w:val="TableContents"/>
              <w:spacing w:before="0" w:after="283"/>
              <w:jc w:val="right"/>
              <w:rPr/>
            </w:pPr>
            <w:r>
              <w:rPr/>
              <w:t>64.6</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Adjusted to exclude gross up for:</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134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731"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Pass-through cost for printing and mailing</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(4.9</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pPr>
            <w:r>
              <w:rPr/>
              <w:t>(4.9</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Marketing fees</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(0.4</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(0.4</w:t>
            </w:r>
          </w:p>
        </w:tc>
        <w:tc>
          <w:tcPr>
            <w:tcW w:w="278" w:type="dxa"/>
            <w:tcBorders/>
            <w:shd w:fill="auto"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950"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1343"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731" w:type="dxa"/>
            <w:tcBorders/>
            <w:shd w:fill="auto" w:val="clear"/>
            <w:vAlign w:val="bottom"/>
          </w:tcPr>
          <w:p>
            <w:pPr>
              <w:pStyle w:val="TableContents"/>
              <w:pBdr>
                <w:top w:val="single" w:sz="2" w:space="1" w:color="000000"/>
              </w:pBdr>
              <w:spacing w:before="0" w:after="0"/>
              <w:rPr/>
            </w:pPr>
            <w:r>
              <w:rPr/>
              <w:t> </w:t>
            </w:r>
          </w:p>
        </w:tc>
        <w:tc>
          <w:tcPr>
            <w:tcW w:w="278" w:type="dxa"/>
            <w:tcBorders/>
            <w:shd w:fill="auto" w:val="clear"/>
            <w:vAlign w:val="center"/>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48.3</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1343" w:type="dxa"/>
            <w:tcBorders/>
            <w:shd w:fill="CCEEFF" w:val="clear"/>
            <w:vAlign w:val="bottom"/>
          </w:tcPr>
          <w:p>
            <w:pPr>
              <w:pStyle w:val="TableContents"/>
              <w:spacing w:before="0" w:after="283"/>
              <w:jc w:val="right"/>
              <w:rPr/>
            </w:pPr>
            <w:r>
              <w:rPr/>
              <w:t>11.0</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731" w:type="dxa"/>
            <w:tcBorders/>
            <w:shd w:fill="CCEEFF" w:val="clear"/>
            <w:vAlign w:val="bottom"/>
          </w:tcPr>
          <w:p>
            <w:pPr>
              <w:pStyle w:val="TableContents"/>
              <w:spacing w:before="0" w:after="283"/>
              <w:jc w:val="right"/>
              <w:rPr/>
            </w:pPr>
            <w:r>
              <w:rPr/>
              <w:t>59.3</w:t>
            </w:r>
          </w:p>
        </w:tc>
        <w:tc>
          <w:tcPr>
            <w:tcW w:w="278" w:type="dxa"/>
            <w:tcBorders/>
            <w:shd w:fill="CCEEFF" w:val="clear"/>
            <w:vAlign w:val="bottom"/>
          </w:tcPr>
          <w:p>
            <w:pPr>
              <w:pStyle w:val="TableContents"/>
              <w:spacing w:before="0" w:after="283"/>
              <w:rPr/>
            </w:pPr>
            <w:r>
              <w:rPr/>
              <w:t> </w:t>
            </w:r>
          </w:p>
        </w:tc>
      </w:tr>
      <w:tr>
        <w:trPr/>
        <w:tc>
          <w:tcPr>
            <w:tcW w:w="288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double" w:sz="6" w:space="1" w:color="000000"/>
              </w:pBdr>
              <w:spacing w:before="0" w:after="0"/>
              <w:rPr/>
            </w:pPr>
            <w:r>
              <w:rPr/>
              <w:t> </w:t>
            </w:r>
          </w:p>
        </w:tc>
        <w:tc>
          <w:tcPr>
            <w:tcW w:w="950" w:type="dxa"/>
            <w:tcBorders/>
            <w:shd w:fill="auto" w:val="clear"/>
            <w:vAlign w:val="bottom"/>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1343" w:type="dxa"/>
            <w:tcBorders/>
            <w:shd w:fill="auto" w:val="clear"/>
            <w:vAlign w:val="bottom"/>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double" w:sz="6" w:space="1" w:color="000000"/>
              </w:pBdr>
              <w:spacing w:before="0" w:after="0"/>
              <w:rPr/>
            </w:pPr>
            <w:r>
              <w:rPr/>
              <w:t> </w:t>
            </w:r>
          </w:p>
        </w:tc>
        <w:tc>
          <w:tcPr>
            <w:tcW w:w="731" w:type="dxa"/>
            <w:tcBorders/>
            <w:shd w:fill="auto" w:val="clear"/>
            <w:vAlign w:val="bottom"/>
          </w:tcPr>
          <w:p>
            <w:pPr>
              <w:pStyle w:val="TableContents"/>
              <w:pBdr>
                <w:top w:val="double" w:sz="6" w:space="1" w:color="000000"/>
              </w:pBdr>
              <w:spacing w:before="0" w:after="0"/>
              <w:rPr/>
            </w:pPr>
            <w:r>
              <w:rPr/>
              <w:t> </w:t>
            </w:r>
          </w:p>
        </w:tc>
        <w:tc>
          <w:tcPr>
            <w:tcW w:w="278" w:type="dxa"/>
            <w:tcBorders/>
            <w:shd w:fill="auto" w:val="clear"/>
            <w:vAlign w:val="center"/>
          </w:tcPr>
          <w:p>
            <w:pPr>
              <w:pStyle w:val="TableContents"/>
              <w:spacing w:before="0" w:after="283"/>
              <w:rPr/>
            </w:pPr>
            <w:r>
              <w:rPr/>
              <w:t> </w:t>
            </w:r>
          </w:p>
        </w:tc>
      </w:tr>
      <w:tr>
        <w:trPr/>
        <w:tc>
          <w:tcPr>
            <w:tcW w:w="2885" w:type="dxa"/>
            <w:tcBorders/>
            <w:shd w:fill="auto" w:val="clear"/>
          </w:tcPr>
          <w:p>
            <w:pPr>
              <w:pStyle w:val="TableContents"/>
              <w:spacing w:before="0" w:after="0"/>
              <w:rPr>
                <w:rFonts w:ascii="Times New Roman" w:hAnsi="Times New Roman"/>
                <w:sz w:val="20"/>
              </w:rPr>
            </w:pPr>
            <w:r>
              <w:rPr>
                <w:rFonts w:ascii="Times New Roman" w:hAnsi="Times New Roman"/>
                <w:sz w:val="20"/>
              </w:rPr>
              <w:t>Percentage of Revenue</w:t>
            </w:r>
          </w:p>
        </w:tc>
        <w:tc>
          <w:tcPr>
            <w:tcW w:w="36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75.4</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343" w:type="dxa"/>
            <w:tcBorders/>
            <w:shd w:fill="auto" w:val="clear"/>
            <w:vAlign w:val="bottom"/>
          </w:tcPr>
          <w:p>
            <w:pPr>
              <w:pStyle w:val="TableContents"/>
              <w:spacing w:before="0" w:after="283"/>
              <w:jc w:val="right"/>
              <w:rPr/>
            </w:pPr>
            <w:r>
              <w:rPr/>
              <w:t>24.6</w:t>
            </w:r>
          </w:p>
        </w:tc>
        <w:tc>
          <w:tcPr>
            <w:tcW w:w="27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pPr>
            <w:r>
              <w:rPr/>
              <w:t>100.0</w:t>
            </w:r>
          </w:p>
        </w:tc>
        <w:tc>
          <w:tcPr>
            <w:tcW w:w="278"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Percentage of Revenue Less Ancillary Services</w:t>
            </w:r>
          </w:p>
        </w:tc>
        <w:tc>
          <w:tcPr>
            <w:tcW w:w="36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81.5</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343" w:type="dxa"/>
            <w:tcBorders/>
            <w:shd w:fill="CCEEFF" w:val="clear"/>
            <w:vAlign w:val="bottom"/>
          </w:tcPr>
          <w:p>
            <w:pPr>
              <w:pStyle w:val="TableContents"/>
              <w:spacing w:before="0" w:after="283"/>
              <w:jc w:val="right"/>
              <w:rPr/>
            </w:pPr>
            <w:r>
              <w:rPr/>
              <w:t>18.5</w:t>
            </w:r>
          </w:p>
        </w:tc>
        <w:tc>
          <w:tcPr>
            <w:tcW w:w="27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pPr>
            <w:r>
              <w:rPr/>
              <w:t>100.0</w:t>
            </w:r>
          </w:p>
        </w:tc>
        <w:tc>
          <w:tcPr>
            <w:tcW w:w="278" w:type="dxa"/>
            <w:tcBorders/>
            <w:shd w:fill="CCEEFF"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Revenue Less Ancillary Services at Constant Currency: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807"/>
        <w:gridCol w:w="302"/>
        <w:gridCol w:w="215"/>
        <w:gridCol w:w="680"/>
        <w:gridCol w:w="238"/>
        <w:gridCol w:w="325"/>
        <w:gridCol w:w="215"/>
        <w:gridCol w:w="684"/>
        <w:gridCol w:w="155"/>
        <w:gridCol w:w="264"/>
        <w:gridCol w:w="162"/>
        <w:gridCol w:w="1245"/>
        <w:gridCol w:w="280"/>
      </w:tblGrid>
      <w:tr>
        <w:trPr/>
        <w:tc>
          <w:tcPr>
            <w:tcW w:w="3807"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380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2357"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07" w:type="dxa"/>
            <w:gridSpan w:val="2"/>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r>
      <w:tr>
        <w:trPr/>
        <w:tc>
          <w:tcPr>
            <w:tcW w:w="380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23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Growth Rate</w:t>
            </w:r>
          </w:p>
        </w:tc>
        <w:tc>
          <w:tcPr>
            <w:tcW w:w="280" w:type="dxa"/>
            <w:tcBorders/>
            <w:shd w:fill="auto" w:val="clear"/>
            <w:vAlign w:val="bottom"/>
          </w:tcPr>
          <w:p>
            <w:pPr>
              <w:pStyle w:val="TableContents"/>
              <w:spacing w:before="0" w:after="283"/>
              <w:rPr/>
            </w:pPr>
            <w:r>
              <w:rPr/>
              <w:t> </w:t>
            </w:r>
          </w:p>
        </w:tc>
      </w:tr>
      <w:tr>
        <w:trP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30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680" w:type="dxa"/>
            <w:tcBorders/>
            <w:shd w:fill="CCEEFF" w:val="clear"/>
            <w:vAlign w:val="bottom"/>
          </w:tcPr>
          <w:p>
            <w:pPr>
              <w:pStyle w:val="TableContents"/>
              <w:spacing w:before="0" w:after="283"/>
              <w:jc w:val="right"/>
              <w:rPr/>
            </w:pPr>
            <w:r>
              <w:rPr/>
              <w:t>94.4</w:t>
            </w:r>
          </w:p>
        </w:tc>
        <w:tc>
          <w:tcPr>
            <w:tcW w:w="238"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684" w:type="dxa"/>
            <w:tcBorders/>
            <w:shd w:fill="CCEEFF" w:val="clear"/>
            <w:vAlign w:val="bottom"/>
          </w:tcPr>
          <w:p>
            <w:pPr>
              <w:pStyle w:val="TableContents"/>
              <w:spacing w:before="0" w:after="283"/>
              <w:jc w:val="right"/>
              <w:rPr/>
            </w:pPr>
            <w:r>
              <w:rPr/>
              <w:t>64.6</w:t>
            </w:r>
          </w:p>
        </w:tc>
        <w:tc>
          <w:tcPr>
            <w:tcW w:w="15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46.1</w:t>
            </w:r>
          </w:p>
        </w:tc>
        <w:tc>
          <w:tcPr>
            <w:tcW w:w="280" w:type="dxa"/>
            <w:tcBorders/>
            <w:shd w:fill="CCEEFF" w:val="clear"/>
            <w:vAlign w:val="bottom"/>
          </w:tcPr>
          <w:p>
            <w:pPr>
              <w:pStyle w:val="TableContents"/>
              <w:spacing w:before="0" w:after="283"/>
              <w:rPr/>
            </w:pPr>
            <w:r>
              <w:rPr/>
              <w:t>% </w:t>
            </w:r>
          </w:p>
        </w:tc>
      </w:tr>
      <w:tr>
        <w:trPr/>
        <w:tc>
          <w:tcPr>
            <w:tcW w:w="3807" w:type="dxa"/>
            <w:tcBorders/>
            <w:shd w:fill="auto" w:val="clear"/>
          </w:tcPr>
          <w:p>
            <w:pPr>
              <w:pStyle w:val="TableContents"/>
              <w:spacing w:before="0" w:after="0"/>
              <w:rPr>
                <w:rFonts w:ascii="Times New Roman" w:hAnsi="Times New Roman"/>
                <w:sz w:val="20"/>
              </w:rPr>
            </w:pPr>
            <w:r>
              <w:rPr>
                <w:rFonts w:ascii="Times New Roman" w:hAnsi="Times New Roman"/>
                <w:sz w:val="20"/>
              </w:rPr>
              <w:t>Ancillary services</w:t>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(5.3</w:t>
            </w:r>
          </w:p>
        </w:tc>
        <w:tc>
          <w:tcPr>
            <w:tcW w:w="23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(5.3</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r>
      <w:tr>
        <w:trPr/>
        <w:tc>
          <w:tcPr>
            <w:tcW w:w="3807"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238"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30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89.1</w:t>
            </w:r>
          </w:p>
        </w:tc>
        <w:tc>
          <w:tcPr>
            <w:tcW w:w="238"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59.3</w:t>
            </w:r>
          </w:p>
        </w:tc>
        <w:tc>
          <w:tcPr>
            <w:tcW w:w="15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50.3</w:t>
            </w:r>
          </w:p>
        </w:tc>
        <w:tc>
          <w:tcPr>
            <w:tcW w:w="280" w:type="dxa"/>
            <w:tcBorders/>
            <w:shd w:fill="CCEEFF" w:val="clear"/>
            <w:vAlign w:val="bottom"/>
          </w:tcPr>
          <w:p>
            <w:pPr>
              <w:pStyle w:val="TableContents"/>
              <w:spacing w:before="0" w:after="283"/>
              <w:rPr/>
            </w:pPr>
            <w:r>
              <w:rPr/>
              <w:t>% </w:t>
            </w:r>
          </w:p>
        </w:tc>
      </w:tr>
      <w:tr>
        <w:trPr/>
        <w:tc>
          <w:tcPr>
            <w:tcW w:w="3807"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80" w:type="dxa"/>
            <w:tcBorders/>
            <w:shd w:fill="auto" w:val="clear"/>
            <w:vAlign w:val="bottom"/>
          </w:tcPr>
          <w:p>
            <w:pPr>
              <w:pStyle w:val="TableContents"/>
              <w:pBdr>
                <w:top w:val="double" w:sz="6" w:space="1" w:color="000000"/>
              </w:pBdr>
              <w:spacing w:before="0" w:after="0"/>
              <w:rPr/>
            </w:pPr>
            <w:r>
              <w:rPr/>
              <w:t> </w:t>
            </w:r>
          </w:p>
        </w:tc>
        <w:tc>
          <w:tcPr>
            <w:tcW w:w="238"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8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0"/>
              <w:rPr/>
            </w:pPr>
            <w:r>
              <w:rPr/>
              <w:t> </w:t>
            </w:r>
          </w:p>
        </w:tc>
        <w:tc>
          <w:tcPr>
            <w:tcW w:w="1245"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3807" w:type="dxa"/>
            <w:tcBorders/>
            <w:shd w:fill="auto" w:val="clear"/>
          </w:tcPr>
          <w:p>
            <w:pPr>
              <w:pStyle w:val="TableContents"/>
              <w:spacing w:before="0" w:after="0"/>
              <w:rPr>
                <w:rFonts w:ascii="Times New Roman" w:hAnsi="Times New Roman"/>
                <w:sz w:val="20"/>
              </w:rPr>
            </w:pPr>
            <w:r>
              <w:rPr>
                <w:rFonts w:ascii="Times New Roman" w:hAnsi="Times New Roman"/>
                <w:sz w:val="20"/>
              </w:rPr>
              <w:t>Effects of foreign currency rate fluctuations</w:t>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3.8</w:t>
            </w:r>
          </w:p>
        </w:tc>
        <w:tc>
          <w:tcPr>
            <w:tcW w:w="23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r>
      <w:tr>
        <w:trPr/>
        <w:tc>
          <w:tcPr>
            <w:tcW w:w="3807"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238"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r>
        <w:trPr/>
        <w:tc>
          <w:tcPr>
            <w:tcW w:w="3807"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 at Constant Currency</w:t>
            </w:r>
          </w:p>
        </w:tc>
        <w:tc>
          <w:tcPr>
            <w:tcW w:w="30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680" w:type="dxa"/>
            <w:tcBorders/>
            <w:shd w:fill="CCEEFF" w:val="clear"/>
            <w:vAlign w:val="bottom"/>
          </w:tcPr>
          <w:p>
            <w:pPr>
              <w:pStyle w:val="TableContents"/>
              <w:spacing w:before="0" w:after="283"/>
              <w:jc w:val="right"/>
              <w:rPr/>
            </w:pPr>
            <w:r>
              <w:rPr/>
              <w:t>92.9</w:t>
            </w:r>
          </w:p>
        </w:tc>
        <w:tc>
          <w:tcPr>
            <w:tcW w:w="238"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684" w:type="dxa"/>
            <w:tcBorders/>
            <w:shd w:fill="CCEEFF" w:val="clear"/>
            <w:vAlign w:val="bottom"/>
          </w:tcPr>
          <w:p>
            <w:pPr>
              <w:pStyle w:val="TableContents"/>
              <w:spacing w:before="0" w:after="283"/>
              <w:jc w:val="right"/>
              <w:rPr/>
            </w:pPr>
            <w:r>
              <w:rPr/>
              <w:t>59.3</w:t>
            </w:r>
          </w:p>
        </w:tc>
        <w:tc>
          <w:tcPr>
            <w:tcW w:w="15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right"/>
              <w:rPr/>
            </w:pPr>
            <w:r>
              <w:rPr/>
              <w:t>56.7</w:t>
            </w:r>
          </w:p>
        </w:tc>
        <w:tc>
          <w:tcPr>
            <w:tcW w:w="280" w:type="dxa"/>
            <w:tcBorders/>
            <w:shd w:fill="CCEEFF" w:val="clear"/>
            <w:vAlign w:val="bottom"/>
          </w:tcPr>
          <w:p>
            <w:pPr>
              <w:pStyle w:val="TableContents"/>
              <w:spacing w:before="0" w:after="283"/>
              <w:rPr/>
            </w:pPr>
            <w:r>
              <w:rPr/>
              <w:t>% </w:t>
            </w:r>
          </w:p>
        </w:tc>
      </w:tr>
      <w:tr>
        <w:trPr/>
        <w:tc>
          <w:tcPr>
            <w:tcW w:w="3807"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80" w:type="dxa"/>
            <w:tcBorders/>
            <w:shd w:fill="auto" w:val="clear"/>
            <w:vAlign w:val="bottom"/>
          </w:tcPr>
          <w:p>
            <w:pPr>
              <w:pStyle w:val="TableContents"/>
              <w:pBdr>
                <w:top w:val="double" w:sz="6" w:space="1" w:color="000000"/>
              </w:pBdr>
              <w:spacing w:before="0" w:after="0"/>
              <w:rPr/>
            </w:pPr>
            <w:r>
              <w:rPr/>
              <w:t> </w:t>
            </w:r>
          </w:p>
        </w:tc>
        <w:tc>
          <w:tcPr>
            <w:tcW w:w="238"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8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0"/>
              <w:rPr/>
            </w:pPr>
            <w:r>
              <w:rPr/>
              <w:t> </w:t>
            </w:r>
          </w:p>
        </w:tc>
        <w:tc>
          <w:tcPr>
            <w:tcW w:w="1245" w:type="dxa"/>
            <w:tcBorders/>
            <w:shd w:fill="auto" w:val="clear"/>
            <w:vAlign w:val="bottom"/>
          </w:tcPr>
          <w:p>
            <w:pPr>
              <w:pStyle w:val="TableContents"/>
              <w:pBdr>
                <w:top w:val="double" w:sz="6" w:space="1" w:color="000000"/>
              </w:pBdr>
              <w:spacing w:before="0" w:after="0"/>
              <w:rPr/>
            </w:pPr>
            <w:r>
              <w:rPr/>
              <w:t> </w:t>
            </w:r>
          </w:p>
        </w:tc>
        <w:tc>
          <w:tcPr>
            <w:tcW w:w="28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632"/>
        <w:gridCol w:w="193"/>
        <w:gridCol w:w="357"/>
        <w:gridCol w:w="1135"/>
        <w:gridCol w:w="398"/>
        <w:gridCol w:w="362"/>
        <w:gridCol w:w="357"/>
        <w:gridCol w:w="1139"/>
        <w:gridCol w:w="155"/>
        <w:gridCol w:w="181"/>
        <w:gridCol w:w="271"/>
        <w:gridCol w:w="1089"/>
        <w:gridCol w:w="301"/>
        <w:gridCol w:w="291"/>
        <w:gridCol w:w="272"/>
        <w:gridCol w:w="1093"/>
        <w:gridCol w:w="162"/>
      </w:tblGrid>
      <w:tr>
        <w:trPr/>
        <w:tc>
          <w:tcPr>
            <w:tcW w:w="163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401" w:type="dxa"/>
            <w:gridSpan w:val="14"/>
            <w:tcBorders/>
            <w:shd w:fill="auto" w:val="clear"/>
            <w:vAlign w:val="bottom"/>
          </w:tcPr>
          <w:p>
            <w:pPr>
              <w:pStyle w:val="TableContents"/>
              <w:spacing w:before="0" w:after="283"/>
              <w:jc w:val="center"/>
              <w:rPr>
                <w:b/>
              </w:rPr>
            </w:pPr>
            <w:r>
              <w:rPr>
                <w:b/>
              </w:rPr>
              <w:t>Guidance</w:t>
            </w:r>
          </w:p>
        </w:tc>
        <w:tc>
          <w:tcPr>
            <w:tcW w:w="162" w:type="dxa"/>
            <w:tcBorders/>
            <w:shd w:fill="auto" w:val="clear"/>
            <w:vAlign w:val="bottom"/>
          </w:tcPr>
          <w:p>
            <w:pPr>
              <w:pStyle w:val="TableContents"/>
              <w:spacing w:before="0" w:after="283"/>
              <w:rPr/>
            </w:pPr>
            <w:r>
              <w:rPr/>
              <w:t> </w:t>
            </w:r>
          </w:p>
        </w:tc>
      </w:tr>
      <w:tr>
        <w:trPr/>
        <w:tc>
          <w:tcPr>
            <w:tcW w:w="16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74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June 30, 2023</w:t>
            </w:r>
          </w:p>
        </w:tc>
        <w:tc>
          <w:tcPr>
            <w:tcW w:w="15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31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 2023</w:t>
            </w:r>
          </w:p>
        </w:tc>
        <w:tc>
          <w:tcPr>
            <w:tcW w:w="162" w:type="dxa"/>
            <w:tcBorders/>
            <w:shd w:fill="auto" w:val="clear"/>
            <w:vAlign w:val="bottom"/>
          </w:tcPr>
          <w:p>
            <w:pPr>
              <w:pStyle w:val="TableContents"/>
              <w:spacing w:before="0" w:after="283"/>
              <w:rPr/>
            </w:pPr>
            <w:r>
              <w:rPr/>
              <w:t> </w:t>
            </w:r>
          </w:p>
        </w:tc>
      </w:tr>
      <w:tr>
        <w:trPr/>
        <w:tc>
          <w:tcPr>
            <w:tcW w:w="163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4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39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15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301"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3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162" w:type="dxa"/>
            <w:tcBorders/>
            <w:shd w:fill="auto" w:val="clear"/>
            <w:vAlign w:val="bottom"/>
          </w:tcPr>
          <w:p>
            <w:pPr>
              <w:pStyle w:val="TableContents"/>
              <w:spacing w:before="0" w:after="283"/>
              <w:rPr/>
            </w:pPr>
            <w:r>
              <w:rPr/>
              <w:t> </w:t>
            </w:r>
          </w:p>
        </w:tc>
      </w:tr>
      <w:tr>
        <w:trPr/>
        <w:tc>
          <w:tcPr>
            <w:tcW w:w="1632"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193"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w:t>
            </w:r>
          </w:p>
        </w:tc>
        <w:tc>
          <w:tcPr>
            <w:tcW w:w="1135" w:type="dxa"/>
            <w:tcBorders/>
            <w:shd w:fill="CCEEFF" w:val="clear"/>
            <w:vAlign w:val="bottom"/>
          </w:tcPr>
          <w:p>
            <w:pPr>
              <w:pStyle w:val="TableContents"/>
              <w:spacing w:before="0" w:after="283"/>
              <w:jc w:val="right"/>
              <w:rPr/>
            </w:pPr>
            <w:r>
              <w:rPr/>
              <w:t>76.0</w:t>
            </w:r>
          </w:p>
        </w:tc>
        <w:tc>
          <w:tcPr>
            <w:tcW w:w="398"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w:t>
            </w:r>
          </w:p>
        </w:tc>
        <w:tc>
          <w:tcPr>
            <w:tcW w:w="1139" w:type="dxa"/>
            <w:tcBorders/>
            <w:shd w:fill="CCEEFF" w:val="clear"/>
            <w:vAlign w:val="bottom"/>
          </w:tcPr>
          <w:p>
            <w:pPr>
              <w:pStyle w:val="TableContents"/>
              <w:spacing w:before="0" w:after="283"/>
              <w:jc w:val="right"/>
              <w:rPr/>
            </w:pPr>
            <w:r>
              <w:rPr/>
              <w:t>81.0</w:t>
            </w:r>
          </w:p>
        </w:tc>
        <w:tc>
          <w:tcPr>
            <w:tcW w:w="15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380.0</w:t>
            </w:r>
          </w:p>
        </w:tc>
        <w:tc>
          <w:tcPr>
            <w:tcW w:w="30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093" w:type="dxa"/>
            <w:tcBorders/>
            <w:shd w:fill="CCEEFF" w:val="clear"/>
            <w:vAlign w:val="bottom"/>
          </w:tcPr>
          <w:p>
            <w:pPr>
              <w:pStyle w:val="TableContents"/>
              <w:spacing w:before="0" w:after="283"/>
              <w:jc w:val="right"/>
              <w:rPr/>
            </w:pPr>
            <w:r>
              <w:rPr/>
              <w:t>398.0</w:t>
            </w:r>
          </w:p>
        </w:tc>
        <w:tc>
          <w:tcPr>
            <w:tcW w:w="162" w:type="dxa"/>
            <w:tcBorders/>
            <w:shd w:fill="CCEEFF" w:val="clear"/>
            <w:vAlign w:val="bottom"/>
          </w:tcPr>
          <w:p>
            <w:pPr>
              <w:pStyle w:val="TableContents"/>
              <w:spacing w:before="0" w:after="283"/>
              <w:rPr/>
            </w:pPr>
            <w:r>
              <w:rPr/>
              <w:t> </w:t>
            </w:r>
          </w:p>
        </w:tc>
      </w:tr>
      <w:tr>
        <w:trPr/>
        <w:tc>
          <w:tcPr>
            <w:tcW w:w="1632" w:type="dxa"/>
            <w:tcBorders/>
            <w:shd w:fill="auto" w:val="clear"/>
          </w:tcPr>
          <w:p>
            <w:pPr>
              <w:pStyle w:val="TableContents"/>
              <w:spacing w:before="0" w:after="0"/>
              <w:rPr>
                <w:rFonts w:ascii="Times New Roman" w:hAnsi="Times New Roman"/>
                <w:sz w:val="20"/>
              </w:rPr>
            </w:pPr>
            <w:r>
              <w:rPr>
                <w:rFonts w:ascii="Times New Roman" w:hAnsi="Times New Roman"/>
                <w:sz w:val="20"/>
              </w:rPr>
              <w:t>Adjusted to exclude gross up for:</w:t>
            </w:r>
          </w:p>
        </w:tc>
        <w:tc>
          <w:tcPr>
            <w:tcW w:w="19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sz w:val="4"/>
                <w:szCs w:val="4"/>
              </w:rPr>
            </w:pPr>
            <w:r>
              <w:rPr>
                <w:sz w:val="4"/>
                <w:szCs w:val="4"/>
              </w:rPr>
            </w:r>
          </w:p>
        </w:tc>
        <w:tc>
          <w:tcPr>
            <w:tcW w:w="1135"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sz w:val="4"/>
                <w:szCs w:val="4"/>
              </w:rPr>
            </w:pPr>
            <w:r>
              <w:rPr>
                <w:sz w:val="4"/>
                <w:szCs w:val="4"/>
              </w:rPr>
            </w:r>
          </w:p>
        </w:tc>
        <w:tc>
          <w:tcPr>
            <w:tcW w:w="11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sz w:val="4"/>
                <w:szCs w:val="4"/>
              </w:rPr>
            </w:pPr>
            <w:r>
              <w:rPr>
                <w:sz w:val="4"/>
                <w:szCs w:val="4"/>
              </w:rPr>
            </w:r>
          </w:p>
        </w:tc>
        <w:tc>
          <w:tcPr>
            <w:tcW w:w="108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sz w:val="4"/>
                <w:szCs w:val="4"/>
              </w:rPr>
            </w:pPr>
            <w:r>
              <w:rPr>
                <w:sz w:val="4"/>
                <w:szCs w:val="4"/>
              </w:rPr>
            </w:r>
          </w:p>
        </w:tc>
        <w:tc>
          <w:tcPr>
            <w:tcW w:w="1093"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1632" w:type="dxa"/>
            <w:tcBorders/>
            <w:shd w:fill="CCEEFF" w:val="clear"/>
          </w:tcPr>
          <w:p>
            <w:pPr>
              <w:pStyle w:val="TableContents"/>
              <w:spacing w:before="0" w:after="0"/>
              <w:rPr>
                <w:rFonts w:ascii="Times New Roman" w:hAnsi="Times New Roman"/>
                <w:sz w:val="20"/>
              </w:rPr>
            </w:pPr>
            <w:r>
              <w:rPr>
                <w:rFonts w:ascii="Times New Roman" w:hAnsi="Times New Roman"/>
                <w:sz w:val="20"/>
              </w:rPr>
              <w:t>Pass through cost for printing and mailing</w:t>
            </w:r>
          </w:p>
        </w:tc>
        <w:tc>
          <w:tcPr>
            <w:tcW w:w="193"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pPr>
            <w:r>
              <w:rPr/>
              <w:t>(4.9</w:t>
            </w:r>
          </w:p>
        </w:tc>
        <w:tc>
          <w:tcPr>
            <w:tcW w:w="398"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(5.7</w:t>
            </w:r>
          </w:p>
        </w:tc>
        <w:tc>
          <w:tcPr>
            <w:tcW w:w="15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(18.4</w:t>
            </w:r>
          </w:p>
        </w:tc>
        <w:tc>
          <w:tcPr>
            <w:tcW w:w="30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(25.7</w:t>
            </w:r>
          </w:p>
        </w:tc>
        <w:tc>
          <w:tcPr>
            <w:tcW w:w="162" w:type="dxa"/>
            <w:tcBorders/>
            <w:shd w:fill="CCEEFF" w:val="clear"/>
            <w:vAlign w:val="bottom"/>
          </w:tcPr>
          <w:p>
            <w:pPr>
              <w:pStyle w:val="TableContents"/>
              <w:spacing w:before="0" w:after="283"/>
              <w:rPr/>
            </w:pPr>
            <w:r>
              <w:rPr/>
              <w:t>) </w:t>
            </w:r>
          </w:p>
        </w:tc>
      </w:tr>
      <w:tr>
        <w:trPr/>
        <w:tc>
          <w:tcPr>
            <w:tcW w:w="1632" w:type="dxa"/>
            <w:tcBorders/>
            <w:shd w:fill="auto" w:val="clear"/>
          </w:tcPr>
          <w:p>
            <w:pPr>
              <w:pStyle w:val="TableContents"/>
              <w:spacing w:before="0" w:after="0"/>
              <w:rPr>
                <w:rFonts w:ascii="Times New Roman" w:hAnsi="Times New Roman"/>
                <w:sz w:val="20"/>
              </w:rPr>
            </w:pPr>
            <w:r>
              <w:rPr>
                <w:rFonts w:ascii="Times New Roman" w:hAnsi="Times New Roman"/>
                <w:sz w:val="20"/>
              </w:rPr>
              <w:t>Marketing fees</w:t>
            </w:r>
          </w:p>
        </w:tc>
        <w:tc>
          <w:tcPr>
            <w:tcW w:w="19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pPr>
            <w:r>
              <w:rPr/>
              <w:t>(0.1</w:t>
            </w:r>
          </w:p>
        </w:tc>
        <w:tc>
          <w:tcPr>
            <w:tcW w:w="39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(0.3</w:t>
            </w:r>
          </w:p>
        </w:tc>
        <w:tc>
          <w:tcPr>
            <w:tcW w:w="15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(1.6</w:t>
            </w:r>
          </w:p>
        </w:tc>
        <w:tc>
          <w:tcPr>
            <w:tcW w:w="301"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(2.3</w:t>
            </w:r>
          </w:p>
        </w:tc>
        <w:tc>
          <w:tcPr>
            <w:tcW w:w="162" w:type="dxa"/>
            <w:tcBorders/>
            <w:shd w:fill="auto" w:val="clear"/>
            <w:vAlign w:val="bottom"/>
          </w:tcPr>
          <w:p>
            <w:pPr>
              <w:pStyle w:val="TableContents"/>
              <w:spacing w:before="0" w:after="283"/>
              <w:rPr/>
            </w:pPr>
            <w:r>
              <w:rPr/>
              <w:t>) </w:t>
            </w:r>
          </w:p>
        </w:tc>
      </w:tr>
      <w:tr>
        <w:trPr/>
        <w:tc>
          <w:tcPr>
            <w:tcW w:w="1632"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pBdr>
                <w:top w:val="single" w:sz="2" w:space="1" w:color="000000"/>
              </w:pBdr>
              <w:spacing w:before="0" w:after="0"/>
              <w:rPr/>
            </w:pPr>
            <w:r>
              <w:rPr/>
              <w:t> </w:t>
            </w:r>
          </w:p>
        </w:tc>
        <w:tc>
          <w:tcPr>
            <w:tcW w:w="1135" w:type="dxa"/>
            <w:tcBorders/>
            <w:shd w:fill="auto" w:val="clear"/>
            <w:vAlign w:val="bottom"/>
          </w:tcPr>
          <w:p>
            <w:pPr>
              <w:pStyle w:val="TableContents"/>
              <w:pBdr>
                <w:top w:val="single" w:sz="2" w:space="1" w:color="000000"/>
              </w:pBdr>
              <w:spacing w:before="0" w:after="0"/>
              <w:rPr/>
            </w:pPr>
            <w:r>
              <w:rPr/>
              <w:t> </w:t>
            </w:r>
          </w:p>
        </w:tc>
        <w:tc>
          <w:tcPr>
            <w:tcW w:w="398"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pBdr>
                <w:top w:val="single" w:sz="2" w:space="1" w:color="000000"/>
              </w:pBdr>
              <w:spacing w:before="0" w:after="0"/>
              <w:rPr/>
            </w:pPr>
            <w:r>
              <w:rPr/>
              <w:t> </w:t>
            </w:r>
          </w:p>
        </w:tc>
        <w:tc>
          <w:tcPr>
            <w:tcW w:w="11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pBdr>
                <w:top w:val="single" w:sz="2" w:space="1" w:color="000000"/>
              </w:pBdr>
              <w:spacing w:before="0" w:after="0"/>
              <w:rPr/>
            </w:pPr>
            <w:r>
              <w:rPr/>
              <w:t> </w:t>
            </w:r>
          </w:p>
        </w:tc>
        <w:tc>
          <w:tcPr>
            <w:tcW w:w="1089" w:type="dxa"/>
            <w:tcBorders/>
            <w:shd w:fill="auto" w:val="clear"/>
            <w:vAlign w:val="bottom"/>
          </w:tcPr>
          <w:p>
            <w:pPr>
              <w:pStyle w:val="TableContents"/>
              <w:pBdr>
                <w:top w:val="single" w:sz="2" w:space="1" w:color="000000"/>
              </w:pBdr>
              <w:spacing w:before="0" w:after="0"/>
              <w:rPr/>
            </w:pPr>
            <w:r>
              <w:rPr/>
              <w:t> </w:t>
            </w:r>
          </w:p>
        </w:tc>
        <w:tc>
          <w:tcPr>
            <w:tcW w:w="301"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pBdr>
                <w:top w:val="single" w:sz="2" w:space="1" w:color="000000"/>
              </w:pBdr>
              <w:spacing w:before="0" w:after="0"/>
              <w:rPr/>
            </w:pPr>
            <w:r>
              <w:rPr/>
              <w:t> </w:t>
            </w:r>
          </w:p>
        </w:tc>
        <w:tc>
          <w:tcPr>
            <w:tcW w:w="109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632" w:type="dxa"/>
            <w:tcBorders/>
            <w:shd w:fill="CCEEFF" w:val="clear"/>
          </w:tcPr>
          <w:p>
            <w:pPr>
              <w:pStyle w:val="TableContents"/>
              <w:spacing w:before="0" w:after="0"/>
              <w:rPr>
                <w:rFonts w:ascii="Times New Roman" w:hAnsi="Times New Roman"/>
                <w:sz w:val="20"/>
              </w:rPr>
            </w:pPr>
            <w:r>
              <w:rPr>
                <w:rFonts w:ascii="Times New Roman" w:hAnsi="Times New Roman"/>
                <w:sz w:val="20"/>
              </w:rPr>
              <w:t>Revenue Less Ancillary Services</w:t>
            </w:r>
          </w:p>
        </w:tc>
        <w:tc>
          <w:tcPr>
            <w:tcW w:w="193"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w:t>
            </w:r>
          </w:p>
        </w:tc>
        <w:tc>
          <w:tcPr>
            <w:tcW w:w="1135" w:type="dxa"/>
            <w:tcBorders/>
            <w:shd w:fill="CCEEFF" w:val="clear"/>
            <w:vAlign w:val="bottom"/>
          </w:tcPr>
          <w:p>
            <w:pPr>
              <w:pStyle w:val="TableContents"/>
              <w:spacing w:before="0" w:after="283"/>
              <w:jc w:val="right"/>
              <w:rPr/>
            </w:pPr>
            <w:r>
              <w:rPr/>
              <w:t>71.0</w:t>
            </w:r>
          </w:p>
        </w:tc>
        <w:tc>
          <w:tcPr>
            <w:tcW w:w="398"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w:t>
            </w:r>
          </w:p>
        </w:tc>
        <w:tc>
          <w:tcPr>
            <w:tcW w:w="1139" w:type="dxa"/>
            <w:tcBorders/>
            <w:shd w:fill="CCEEFF" w:val="clear"/>
            <w:vAlign w:val="bottom"/>
          </w:tcPr>
          <w:p>
            <w:pPr>
              <w:pStyle w:val="TableContents"/>
              <w:spacing w:before="0" w:after="283"/>
              <w:jc w:val="right"/>
              <w:rPr/>
            </w:pPr>
            <w:r>
              <w:rPr/>
              <w:t>75.0</w:t>
            </w:r>
          </w:p>
        </w:tc>
        <w:tc>
          <w:tcPr>
            <w:tcW w:w="15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360.0</w:t>
            </w:r>
          </w:p>
        </w:tc>
        <w:tc>
          <w:tcPr>
            <w:tcW w:w="30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093" w:type="dxa"/>
            <w:tcBorders/>
            <w:shd w:fill="CCEEFF" w:val="clear"/>
            <w:vAlign w:val="bottom"/>
          </w:tcPr>
          <w:p>
            <w:pPr>
              <w:pStyle w:val="TableContents"/>
              <w:spacing w:before="0" w:after="283"/>
              <w:jc w:val="right"/>
              <w:rPr/>
            </w:pPr>
            <w:r>
              <w:rPr/>
              <w:t>370.0</w:t>
            </w:r>
          </w:p>
        </w:tc>
        <w:tc>
          <w:tcPr>
            <w:tcW w:w="162" w:type="dxa"/>
            <w:tcBorders/>
            <w:shd w:fill="CCEEFF" w:val="clear"/>
            <w:vAlign w:val="bottom"/>
          </w:tcPr>
          <w:p>
            <w:pPr>
              <w:pStyle w:val="TableContents"/>
              <w:spacing w:before="0" w:after="283"/>
              <w:rPr/>
            </w:pPr>
            <w:r>
              <w:rPr/>
              <w:t> </w:t>
            </w:r>
          </w:p>
        </w:tc>
      </w:tr>
      <w:tr>
        <w:trPr/>
        <w:tc>
          <w:tcPr>
            <w:tcW w:w="1632"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pBdr>
                <w:top w:val="double" w:sz="6" w:space="1" w:color="000000"/>
              </w:pBdr>
              <w:spacing w:before="0" w:after="0"/>
              <w:rPr/>
            </w:pPr>
            <w:r>
              <w:rPr/>
              <w:t> </w:t>
            </w:r>
          </w:p>
        </w:tc>
        <w:tc>
          <w:tcPr>
            <w:tcW w:w="1135" w:type="dxa"/>
            <w:tcBorders/>
            <w:shd w:fill="auto" w:val="clear"/>
            <w:vAlign w:val="bottom"/>
          </w:tcPr>
          <w:p>
            <w:pPr>
              <w:pStyle w:val="TableContents"/>
              <w:pBdr>
                <w:top w:val="double" w:sz="6" w:space="1" w:color="000000"/>
              </w:pBdr>
              <w:spacing w:before="0" w:after="0"/>
              <w:rPr/>
            </w:pPr>
            <w:r>
              <w:rPr/>
              <w:t> </w:t>
            </w:r>
          </w:p>
        </w:tc>
        <w:tc>
          <w:tcPr>
            <w:tcW w:w="398"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pBdr>
                <w:top w:val="double" w:sz="6" w:space="1" w:color="000000"/>
              </w:pBdr>
              <w:spacing w:before="0" w:after="0"/>
              <w:rPr/>
            </w:pPr>
            <w:r>
              <w:rPr/>
              <w:t> </w:t>
            </w:r>
          </w:p>
        </w:tc>
        <w:tc>
          <w:tcPr>
            <w:tcW w:w="11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pBdr>
                <w:top w:val="double" w:sz="6" w:space="1" w:color="000000"/>
              </w:pBdr>
              <w:spacing w:before="0" w:after="0"/>
              <w:rPr/>
            </w:pPr>
            <w:r>
              <w:rPr/>
              <w:t> </w:t>
            </w:r>
          </w:p>
        </w:tc>
        <w:tc>
          <w:tcPr>
            <w:tcW w:w="1089" w:type="dxa"/>
            <w:tcBorders/>
            <w:shd w:fill="auto" w:val="clear"/>
            <w:vAlign w:val="bottom"/>
          </w:tcPr>
          <w:p>
            <w:pPr>
              <w:pStyle w:val="TableContents"/>
              <w:pBdr>
                <w:top w:val="double" w:sz="6" w:space="1" w:color="000000"/>
              </w:pBdr>
              <w:spacing w:before="0" w:after="0"/>
              <w:rPr/>
            </w:pPr>
            <w:r>
              <w:rPr/>
              <w:t> </w:t>
            </w:r>
          </w:p>
        </w:tc>
        <w:tc>
          <w:tcPr>
            <w:tcW w:w="301" w:type="dxa"/>
            <w:tcBorders/>
            <w:shd w:fill="auto" w:val="clear"/>
            <w:vAlign w:val="cente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pBdr>
                <w:top w:val="double" w:sz="6" w:space="1" w:color="000000"/>
              </w:pBdr>
              <w:spacing w:before="0" w:after="0"/>
              <w:rPr/>
            </w:pPr>
            <w:r>
              <w:rPr/>
              <w:t> </w:t>
            </w:r>
          </w:p>
        </w:tc>
        <w:tc>
          <w:tcPr>
            <w:tcW w:w="109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632" w:type="dxa"/>
            <w:tcBorders/>
            <w:shd w:fill="auto" w:val="clear"/>
          </w:tcPr>
          <w:p>
            <w:pPr>
              <w:pStyle w:val="TableContents"/>
              <w:spacing w:before="0" w:after="0"/>
              <w:rPr>
                <w:rFonts w:ascii="Times New Roman" w:hAnsi="Times New Roman"/>
                <w:sz w:val="20"/>
              </w:rPr>
            </w:pPr>
            <w:r>
              <w:rPr>
                <w:rFonts w:ascii="Times New Roman" w:hAnsi="Times New Roman"/>
                <w:sz w:val="20"/>
              </w:rPr>
              <w:t>Adjusted EBITDA</w:t>
            </w:r>
          </w:p>
        </w:tc>
        <w:tc>
          <w:tcPr>
            <w:tcW w:w="193"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w:t>
            </w:r>
          </w:p>
        </w:tc>
        <w:tc>
          <w:tcPr>
            <w:tcW w:w="1135" w:type="dxa"/>
            <w:tcBorders/>
            <w:shd w:fill="auto" w:val="clear"/>
            <w:vAlign w:val="bottom"/>
          </w:tcPr>
          <w:p>
            <w:pPr>
              <w:pStyle w:val="TableContents"/>
              <w:spacing w:before="0" w:after="283"/>
              <w:jc w:val="right"/>
              <w:rPr/>
            </w:pPr>
            <w:r>
              <w:rPr/>
              <w:t>(5.0</w:t>
            </w:r>
          </w:p>
        </w:tc>
        <w:tc>
          <w:tcPr>
            <w:tcW w:w="39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w:t>
            </w:r>
          </w:p>
        </w:tc>
        <w:tc>
          <w:tcPr>
            <w:tcW w:w="1139" w:type="dxa"/>
            <w:tcBorders/>
            <w:shd w:fill="auto" w:val="clear"/>
            <w:vAlign w:val="bottom"/>
          </w:tcPr>
          <w:p>
            <w:pPr>
              <w:pStyle w:val="TableContents"/>
              <w:spacing w:before="0" w:after="283"/>
              <w:jc w:val="right"/>
              <w:rPr/>
            </w:pPr>
            <w:r>
              <w:rPr/>
              <w:t>(3.0</w:t>
            </w:r>
          </w:p>
        </w:tc>
        <w:tc>
          <w:tcPr>
            <w:tcW w:w="15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w:t>
            </w:r>
          </w:p>
        </w:tc>
        <w:tc>
          <w:tcPr>
            <w:tcW w:w="1089" w:type="dxa"/>
            <w:tcBorders/>
            <w:shd w:fill="auto" w:val="clear"/>
            <w:vAlign w:val="bottom"/>
          </w:tcPr>
          <w:p>
            <w:pPr>
              <w:pStyle w:val="TableContents"/>
              <w:spacing w:before="0" w:after="283"/>
              <w:jc w:val="right"/>
              <w:rPr/>
            </w:pPr>
            <w:r>
              <w:rPr/>
              <w:t>30.0</w:t>
            </w:r>
          </w:p>
        </w:tc>
        <w:tc>
          <w:tcPr>
            <w:tcW w:w="301"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w:t>
            </w:r>
          </w:p>
        </w:tc>
        <w:tc>
          <w:tcPr>
            <w:tcW w:w="1093" w:type="dxa"/>
            <w:tcBorders/>
            <w:shd w:fill="auto" w:val="clear"/>
            <w:vAlign w:val="bottom"/>
          </w:tcPr>
          <w:p>
            <w:pPr>
              <w:pStyle w:val="TableContents"/>
              <w:spacing w:before="0" w:after="283"/>
              <w:jc w:val="right"/>
              <w:rPr/>
            </w:pPr>
            <w:r>
              <w:rPr/>
              <w:t>36.0</w:t>
            </w:r>
          </w:p>
        </w:tc>
        <w:tc>
          <w:tcPr>
            <w:tcW w:w="162" w:type="dxa"/>
            <w:tcBorders/>
            <w:shd w:fill="auto" w:val="clear"/>
            <w:vAlign w:val="bottom"/>
          </w:tcPr>
          <w:p>
            <w:pPr>
              <w:pStyle w:val="TableContents"/>
              <w:spacing w:before="0" w:after="283"/>
              <w:rPr/>
            </w:pPr>
            <w:r>
              <w:rPr/>
              <w:t> </w:t>
            </w:r>
          </w:p>
        </w:tc>
      </w:tr>
    </w:tbl>
    <w:p>
      <w:pPr>
        <w:pStyle w:val="TextBody"/>
        <w:jc w:val="center"/>
        <w:rPr/>
      </w:pPr>
      <w:r>
        <w:br w:type="page"/>
      </w:r>
      <w:bookmarkStart w:id="4" w:name="d421098dex992.htm"/>
      <w:bookmarkStart w:id="5" w:name="ksd421098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Exhibit 99.2 Q1 2023 Earnings Supplement May 9, 2023</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 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2022 and Quarterly Report on Form 10-Q for the quarter ended September 30, 2022, which is on file with the Securities and Exchange Commission (SEC) and available on the SEC's website at www.sec.gov. Additional factors may be described in those sections of Flywire’s Quarterly Report on Form 10-Q for the quarter ended March 31, 2023, expected to be filed with the SEC in the second quarter of 2023.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Certain information contained in this presentation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verified by any independent source. The information in this presentation is provided only as of May 9, 2023,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relied upon the exception in item 10(e)(1)(i)(B) of Regulation S-K and has not provided a quantitative reconciliation from forecasted adjusted EBITDA to forecasted GAAP net income (loss) or to forecasted GAAP income (loss) before income taxes, because it is unable without making unreasonable efforts, to calculate certain reconciling items with confidence. These items include but are not limited to income taxes which are directly impacted by unpredictable fluctuations in the market price of the company's stock. 2</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Execution Fulfillment Our mission is to deliver the most important and complex payments 3</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Q1 2023 Performance 4</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GAAP Financial Highlights Q1 2023 $94.4 M 61.8% $(3.7)M Revenue Gross Margin Net Loss 5</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Key Operating Metrics (Non-GAAP) Q1 2023 $7.0M $5.7B $89.1M 67.2% 1 1 1,2 +50.3% (30) bps +35.8% Total Revenue Less Adjusted Adjusted Payment Ancillary Gross EBITDA Volume Services Margin 1. Represents Y-o-Y Growth as compared to Q1 2022 2. Prior year Adjusted Gross Profit and Adjusted Gross Margin have been recast to align with the updated methodology as described in the Appendix. See appendix for reconciliation to GAAP amounts 6</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Growth Strategies Grow with Grow with Expand our Expand to Pursue strategic existing new ecosystem new industries, &amp; value- clients clients through channel geographies &amp; enhancing partnerships products acquisitions 100%+ YoY 124% 170+ 2022 average New clients in Q1 Growth annual dollar-based 2023 Agent Payments net retention rate Volume in Q1 2023 7</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GROWTH with NEW CLIENTS Our partnership with Flywire is extremely important at UCLA. As the #1 public university we welcome students from all over the world. With this diversity also comes diverse Client Overview banking and we need to make sure all of our students can ● Public research university easily pay tuition. Flywire provides A+ service to us and to founded in 1881 ● 31,000+ undergraduate our students. We are confident Flywire will continue to students and 14,000+ support UCLA students and families in the best way possible. graduate students, many of whom have an international visa status BIANCA CAULFIELD Manager, UCLA Payment Solutions &amp; Compliance Flywire Solution Implemented Cross-border payments solution for UCLA’s Main Campus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EXPAND ECOSYSTEM through CHANNEL PARTNERS + Flywire and Ellucian teams have been working Channel Partner Overview closely to deliver an improved integration and an innovative customer experience. Flywire’s ● Student information systems (SIS), finance &amp; HR, recruiting, retention &amp; analytics solutions provider for higher education powerful global payments network and sector ● Supports 2,700+ colleges/ universities across 50 countries payments software, integrated with Ellucian’s suite of products, will deliver significant Flywire Relationship improvements for institutions around the ● Flywire named 2022 Ellucian Partner of the Year for world. Integration Excellence ● Flywire integrates directly into Ellucian’s new Payment API Layer, Ellucian Payment Service, helping universities ZACH TUSSING automatically power transactions, ranging from initial Director of Partnerships at Ellucian application fees, all the way through to international or domestic tuition payments and setting up payment plans ● Flywire’s direct integrations with Ellucian can accelerate the implementation process for institutions, providing a more engaging, flexible experience for students and families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Outlook 10</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Q2 2023 Outlook* $71 – $75 M ($5) - ($3) M 1 Revenue Less Adjusted EBITDA Ancillary Services 1. Flywire has relied upon the exception in item 10(e)(1)(i)(B) of Regulation S-K and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*Assumes foreign exchange rates prevailing as of March 31, 2023 11</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FY 2023 Outlook* $360 - $370M $30 - 36M 1 Revenue Less Adjusted EBITDA Ancillary Services 1. Flywire has relied upon the exception in item 10(e)(1)(i)(B) of Regulation S-K and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12 *Assumes foreign exchange rates prevailing as of March 31, 2023</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Appendix 13</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Revenue Less Ancillary Services at Constant Currency* $USD in Millions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Revenue Less Ancillary Services &amp; Adjusted Gross Margin Reconciliations *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15 $USD in Millions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Revenue Disaggregation by Revenue Type 16 $USD in Millions</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Net Loss to Adjusted EBITDA Reconciliation $USD in Millions 17</w:t>
      </w:r>
      <w:r>
        <w:br w:type="page"/>
      </w:r>
    </w:p>
    <w:p>
      <w:pPr>
        <w:pStyle w:val="HorizontalLine"/>
        <w:pBdr>
          <w:bottom w:val="double" w:sz="6" w:space="0" w:color="808080"/>
        </w:pBdr>
        <w:rPr/>
      </w:pPr>
      <w:r>
        <w:rPr/>
      </w:r>
    </w:p>
    <w:p>
      <w:pPr>
        <w:pStyle w:val="TextBody"/>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Reconciliation of Revenue to Revenue Less Ancillary Services Guidance $USD in Millions 18</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36</Pages>
  <Words>6932</Words>
  <CharactersWithSpaces>46759</CharactersWithSpaces>
  <Paragraphs>2421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