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yw-20251231.htm"/>
      <w:bookmarkStart w:id="1" w:name="ksflyw20251231"/>
      <w:bookmarkEnd w:id="0"/>
      <w:bookmarkEnd w:id="1"/>
      <w:r>
        <w:rPr/>
        <w:t> </w:t>
      </w:r>
    </w:p>
    <w:p>
      <w:pPr>
        <w:pStyle w:val="TextBody"/>
        <w:pBdr>
          <w:top w:val="double" w:sz="4" w:space="1" w:color="000000"/>
        </w:pBdr>
        <w:bidi w:val="0"/>
        <w:jc w:val="left"/>
        <w:rPr/>
      </w:pPr>
      <w:r>
        <w:rPr/>
        <w:t> </w:t>
      </w:r>
    </w:p>
    <w:p>
      <w:pPr>
        <w:pStyle w:val="TextBody"/>
        <w:bidi w:val="0"/>
        <w:jc w:val="center"/>
        <w:rPr>
          <w:rFonts w:ascii="Arial" w:hAnsi="Arial"/>
          <w:b/>
          <w:color w:val="000000"/>
          <w:sz w:val="30"/>
        </w:rPr>
      </w:pPr>
      <w:r>
        <w:rPr>
          <w:rFonts w:ascii="Arial" w:hAnsi="Arial"/>
          <w:b/>
          <w:color w:val="000000"/>
          <w:sz w:val="30"/>
        </w:rPr>
        <w:t>UNITED STATES</w:t>
      </w:r>
    </w:p>
    <w:p>
      <w:pPr>
        <w:pStyle w:val="TextBody"/>
        <w:bidi w:val="0"/>
        <w:jc w:val="center"/>
        <w:rPr>
          <w:rFonts w:ascii="Arial" w:hAnsi="Arial"/>
          <w:b/>
          <w:color w:val="000000"/>
          <w:sz w:val="30"/>
        </w:rPr>
      </w:pPr>
      <w:r>
        <w:rPr>
          <w:rFonts w:ascii="Arial" w:hAnsi="Arial"/>
          <w:b/>
          <w:color w:val="000000"/>
          <w:sz w:val="30"/>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Arial" w:hAnsi="Arial"/>
          <w:b/>
          <w:color w:val="000000"/>
          <w:sz w:val="34"/>
        </w:rPr>
      </w:pPr>
      <w:r>
        <w:rPr>
          <w:rFonts w:ascii="Arial" w:hAnsi="Arial"/>
          <w:b/>
          <w:color w:val="000000"/>
          <w:sz w:val="34"/>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Arial" w:hAnsi="Arial"/>
          <w:b/>
          <w:color w:val="000000"/>
          <w:sz w:val="14"/>
        </w:rPr>
        <w:t>(Mark One)</w:t>
      </w:r>
      <w:r>
        <w:rPr>
          <w:rFonts w:ascii="Times New Roman" w:hAnsi="Times New Roman"/>
          <w:color w:val="000000"/>
          <w:sz w:val="20"/>
        </w:rPr>
        <w:t xml:space="preserve">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60" w:after="283"/>
        <w:jc w:val="center"/>
        <w:rPr>
          <w:rFonts w:ascii="Arial" w:hAnsi="Arial"/>
          <w:b/>
          <w:color w:val="000000"/>
          <w:sz w:val="16"/>
        </w:rPr>
      </w:pPr>
      <w:r>
        <w:rPr>
          <w:rFonts w:ascii="Arial" w:hAnsi="Arial"/>
          <w:b/>
          <w:color w:val="000000"/>
          <w:sz w:val="16"/>
        </w:rPr>
        <w:t>For the fiscal year ended December 31, 2025</w:t>
      </w:r>
    </w:p>
    <w:p>
      <w:pPr>
        <w:pStyle w:val="TextBody"/>
        <w:bidi w:val="0"/>
        <w:spacing w:before="60" w:after="283"/>
        <w:jc w:val="center"/>
        <w:rPr>
          <w:rFonts w:ascii="Times New Roman" w:hAnsi="Times New Roman"/>
          <w:sz w:val="20"/>
        </w:rPr>
      </w:pPr>
      <w:r>
        <w:rPr>
          <w:rFonts w:ascii="Arial" w:hAnsi="Arial"/>
          <w:b/>
          <w:color w:val="000000"/>
          <w:sz w:val="16"/>
        </w:rPr>
        <w:t>OR</w:t>
      </w:r>
      <w:r>
        <w:rPr>
          <w:rFonts w:ascii="Times New Roman" w:hAnsi="Times New Roman"/>
          <w:color w:val="000000"/>
          <w:sz w:val="20"/>
        </w:rPr>
        <w:t xml:space="preserve"> </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6"/>
              </w:rPr>
            </w:pPr>
            <w:r>
              <w:rPr>
                <w:rFonts w:ascii="Arial" w:hAnsi="Arial"/>
                <w:b/>
                <w:color w:val="000000"/>
                <w:sz w:val="16"/>
              </w:rPr>
              <w:t>TRANSITION REPORT PURSUANT TO SECTION 13 OR 15(d) OF THE SECURITIES EXCHANGE ACT OF 1934</w:t>
            </w:r>
            <w:r>
              <w:rPr>
                <w:rFonts w:ascii="Times New Roman" w:hAnsi="Times New Roman"/>
                <w:color w:val="000000"/>
                <w:sz w:val="16"/>
              </w:rPr>
              <w:t xml:space="preserve"> </w:t>
            </w:r>
          </w:p>
          <w:p>
            <w:pPr>
              <w:pStyle w:val="TableContents"/>
              <w:bidi w:val="0"/>
              <w:spacing w:before="60" w:after="283"/>
              <w:jc w:val="left"/>
              <w:rPr>
                <w:rFonts w:ascii="Times New Roman" w:hAnsi="Times New Roman"/>
                <w:sz w:val="16"/>
              </w:rPr>
            </w:pPr>
            <w:r>
              <w:rPr>
                <w:rFonts w:ascii="Arial" w:hAnsi="Arial"/>
                <w:b/>
                <w:color w:val="000000"/>
                <w:sz w:val="16"/>
              </w:rPr>
              <w:t>FOR THE TRANSITION PERIOD FROM TO</w:t>
            </w:r>
            <w:r>
              <w:rPr>
                <w:rFonts w:ascii="Times New Roman" w:hAnsi="Times New Roman"/>
                <w:color w:val="000000"/>
                <w:sz w:val="16"/>
              </w:rPr>
              <w:t xml:space="preserve"> </w:t>
            </w:r>
          </w:p>
        </w:tc>
      </w:tr>
    </w:tbl>
    <w:p>
      <w:pPr>
        <w:pStyle w:val="TextBody"/>
        <w:bidi w:val="0"/>
        <w:spacing w:before="60" w:after="283"/>
        <w:jc w:val="center"/>
        <w:rPr>
          <w:rFonts w:ascii="Arial" w:hAnsi="Arial"/>
          <w:b/>
          <w:color w:val="000000"/>
          <w:sz w:val="18"/>
        </w:rPr>
      </w:pPr>
      <w:r>
        <w:rPr>
          <w:rFonts w:ascii="Arial" w:hAnsi="Arial"/>
          <w:b/>
          <w:color w:val="000000"/>
          <w:sz w:val="18"/>
        </w:rPr>
        <w:t>Commission File Number 001-40430</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Arial" w:hAnsi="Arial"/>
          <w:b/>
          <w:color w:val="000000"/>
          <w:sz w:val="40"/>
        </w:rPr>
        <w:t>FLYWIRE CORPORATION</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8" w:space="1" w:color="000000"/>
        </w:pBdr>
        <w:bidi w:val="0"/>
        <w:jc w:val="center"/>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27-0690799</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(I.R.S. Employer</w:t>
            </w:r>
          </w:p>
          <w:p>
            <w:pPr>
              <w:pStyle w:val="TableContents"/>
              <w:bidi w:val="0"/>
              <w:spacing w:before="0" w:after="283"/>
              <w:jc w:val="center"/>
              <w:rPr>
                <w:rFonts w:ascii="Arial" w:hAnsi="Arial"/>
                <w:b/>
                <w:color w:val="000000"/>
                <w:sz w:val="14"/>
              </w:rPr>
            </w:pP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141 Tremont St #10</w:t>
            </w:r>
          </w:p>
          <w:p>
            <w:pPr>
              <w:pStyle w:val="TableContents"/>
              <w:bidi w:val="0"/>
              <w:spacing w:before="0" w:after="20"/>
              <w:jc w:val="center"/>
              <w:rPr>
                <w:rFonts w:ascii="Arial" w:hAnsi="Arial"/>
                <w:b/>
                <w:color w:val="000000"/>
                <w:sz w:val="18"/>
              </w:rPr>
            </w:pPr>
            <w:r>
              <w:rPr>
                <w:rFonts w:ascii="Arial" w:hAnsi="Arial"/>
                <w:b/>
                <w:color w:val="000000"/>
                <w:sz w:val="18"/>
              </w:rPr>
              <w:t>Boston, MA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02111</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60" w:after="283"/>
        <w:jc w:val="center"/>
        <w:rPr>
          <w:rFonts w:ascii="Arial" w:hAnsi="Arial"/>
          <w:b/>
          <w:color w:val="000000"/>
          <w:sz w:val="16"/>
        </w:rPr>
      </w:pPr>
      <w:r>
        <w:rPr>
          <w:rFonts w:ascii="Arial" w:hAnsi="Arial"/>
          <w:b/>
          <w:color w:val="000000"/>
          <w:sz w:val="16"/>
        </w:rPr>
        <w:t>Registrant’s telephone number, including area code: (617) 329-4524</w:t>
      </w:r>
    </w:p>
    <w:p>
      <w:pPr>
        <w:pStyle w:val="TextBody"/>
        <w:pBdr>
          <w:bottom w:val="single" w:sz="8" w:space="1" w:color="000000"/>
        </w:pBdr>
        <w:bidi w:val="0"/>
        <w:jc w:val="center"/>
        <w:rPr/>
      </w:pPr>
      <w:r>
        <w:rPr/>
        <w:t> </w:t>
      </w:r>
    </w:p>
    <w:p>
      <w:pPr>
        <w:pStyle w:val="TextBody"/>
        <w:bidi w:val="0"/>
        <w:spacing w:before="60" w:after="283"/>
        <w:jc w:val="left"/>
        <w:rPr>
          <w:rFonts w:ascii="Arial" w:hAnsi="Arial"/>
          <w:color w:val="000000"/>
          <w:sz w:val="16"/>
        </w:rPr>
      </w:pPr>
      <w:r>
        <w:rPr>
          <w:rFonts w:ascii="Arial" w:hAnsi="Arial"/>
          <w:color w:val="000000"/>
          <w:sz w:val="16"/>
        </w:rPr>
        <w:t>Securities registered pursuant to Section 12(b) of the Act:</w:t>
      </w:r>
    </w:p>
    <w:p>
      <w:pPr>
        <w:pStyle w:val="TextBody"/>
        <w:bidi w:val="0"/>
        <w:jc w:val="left"/>
        <w:rPr/>
      </w:pPr>
      <w:r>
        <w:rPr/>
        <w:t> </w:t>
      </w:r>
    </w:p>
    <w:tbl>
      <w:tblPr>
        <w:tblW w:w="8965" w:type="dxa"/>
        <w:jc w:val="left"/>
        <w:tblInd w:w="0" w:type="dxa"/>
        <w:tblLayout w:type="fixed"/>
        <w:tblCellMar>
          <w:top w:w="28" w:type="dxa"/>
          <w:left w:w="28" w:type="dxa"/>
          <w:bottom w:w="28" w:type="dxa"/>
          <w:right w:w="28" w:type="dxa"/>
        </w:tblCellMar>
      </w:tblPr>
      <w:tblGrid>
        <w:gridCol w:w="4096"/>
        <w:gridCol w:w="146"/>
        <w:gridCol w:w="916"/>
        <w:gridCol w:w="146"/>
        <w:gridCol w:w="366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Voting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FLYW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 Nasdaq Stock Market LLC</w:t>
            </w:r>
          </w:p>
        </w:tc>
      </w:tr>
      <w:tr>
        <w:trPr/>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(Nasdaq Global Select Market)</w:t>
            </w:r>
          </w:p>
        </w:tc>
      </w:tr>
    </w:tbl>
    <w:p>
      <w:pPr>
        <w:pStyle w:val="TextBody"/>
        <w:bidi w:val="0"/>
        <w:spacing w:before="0" w:after="60"/>
        <w:jc w:val="left"/>
        <w:rPr>
          <w:rFonts w:ascii="Times New Roman" w:hAnsi="Times New Roman"/>
          <w:sz w:val="20"/>
        </w:rPr>
      </w:pPr>
      <w:r>
        <w:rPr>
          <w:rFonts w:ascii="Arial" w:hAnsi="Arial"/>
          <w:color w:val="000000"/>
          <w:sz w:val="14"/>
        </w:rPr>
        <w:t xml:space="preserve">Securities registered pursuant to Section 12(g) of the Act: </w:t>
      </w:r>
      <w:r>
        <w:rPr>
          <w:rFonts w:ascii="Arial" w:hAnsi="Arial"/>
          <w:b/>
          <w:color w:val="000000"/>
          <w:sz w:val="14"/>
        </w:rPr>
        <w:t>None</w:t>
      </w:r>
    </w:p>
    <w:p>
      <w:pPr>
        <w:pStyle w:val="TextBody"/>
        <w:bidi w:val="0"/>
        <w:spacing w:before="0" w:after="60"/>
        <w:jc w:val="left"/>
        <w:rPr>
          <w:rFonts w:ascii="Times New Roman" w:hAnsi="Times New Roman"/>
          <w:sz w:val="20"/>
        </w:rPr>
      </w:pPr>
      <w:r>
        <w:rPr>
          <w:rFonts w:ascii="Arial" w:hAnsi="Arial"/>
          <w:color w:val="000000"/>
          <w:sz w:val="14"/>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Arial" w:hAnsi="Arial"/>
          <w:caps/>
          <w:color w:val="000000"/>
          <w:sz w:val="14"/>
        </w:rPr>
        <w:t>N</w:t>
      </w:r>
      <w:r>
        <w:rPr>
          <w:rFonts w:ascii="Arial" w:hAnsi="Arial"/>
          <w:color w:val="000000"/>
          <w:sz w:val="14"/>
        </w:rPr>
        <w:t xml:space="preserve">o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Arial" w:hAnsi="Arial"/>
          <w:color w:val="000000"/>
          <w:sz w:val="14"/>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Arial" w:hAnsi="Arial"/>
          <w:caps/>
          <w:color w:val="000000"/>
          <w:sz w:val="14"/>
        </w:rPr>
        <w:t>N</w:t>
      </w:r>
      <w:r>
        <w:rPr>
          <w:rFonts w:ascii="Arial" w:hAnsi="Arial"/>
          <w:color w:val="000000"/>
          <w:sz w:val="14"/>
        </w:rPr>
        <w:t>o</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Arial" w:hAnsi="Arial"/>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4"/>
        </w:rPr>
        <w:t xml:space="preserve">No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Arial" w:hAnsi="Arial"/>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4"/>
        </w:rPr>
        <w:t xml:space="preserve">No </w:t>
      </w:r>
      <w:r>
        <w:rPr>
          <w:rFonts w:ascii="Times New Roman" w:hAnsi="Times New Roman"/>
          <w:color w:val="000000"/>
          <w:sz w:val="20"/>
        </w:rPr>
        <w:t>☐</w:t>
      </w:r>
    </w:p>
    <w:p>
      <w:pPr>
        <w:pStyle w:val="TextBody"/>
        <w:bidi w:val="0"/>
        <w:spacing w:before="0" w:after="60"/>
        <w:jc w:val="left"/>
        <w:rPr>
          <w:rFonts w:ascii="Arial" w:hAnsi="Arial"/>
          <w:color w:val="000000"/>
          <w:sz w:val="14"/>
        </w:rPr>
      </w:pPr>
      <w:r>
        <w:rPr>
          <w:rFonts w:ascii="Arial" w:hAnsi="Arial"/>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57" w:type="dxa"/>
        <w:jc w:val="left"/>
        <w:tblInd w:w="0" w:type="dxa"/>
        <w:tblLayout w:type="fixed"/>
        <w:tblCellMar>
          <w:top w:w="28" w:type="dxa"/>
          <w:left w:w="28" w:type="dxa"/>
          <w:bottom w:w="28" w:type="dxa"/>
          <w:right w:w="28" w:type="dxa"/>
        </w:tblCellMar>
      </w:tblPr>
      <w:tblGrid>
        <w:gridCol w:w="1501"/>
        <w:gridCol w:w="146"/>
        <w:gridCol w:w="316"/>
        <w:gridCol w:w="146"/>
        <w:gridCol w:w="1741"/>
        <w:gridCol w:w="146"/>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60"/>
        <w:jc w:val="left"/>
        <w:rPr>
          <w:rFonts w:ascii="Times New Roman" w:hAnsi="Times New Roman"/>
          <w:sz w:val="20"/>
        </w:rPr>
      </w:pPr>
      <w:r>
        <w:rPr>
          <w:rFonts w:ascii="Arial" w:hAnsi="Arial"/>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Arial" w:hAnsi="Arial"/>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Arial" w:hAnsi="Arial"/>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Arial" w:hAnsi="Arial"/>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Arial" w:hAnsi="Arial"/>
          <w:color w:val="000000"/>
          <w:sz w:val="14"/>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4"/>
        </w:rPr>
        <w:t xml:space="preserve">No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Arial" w:hAnsi="Arial"/>
          <w:color w:val="000000"/>
          <w:sz w:val="14"/>
        </w:rPr>
        <w:t>As of June 30, 2025, the last business day of the registrant’s mostly recently completed second fiscal quarter, the aggregate market value of the voting and non-voting common stock held by non-affiliates of the registrant was $1,351,794,027</w:t>
      </w:r>
      <w:r>
        <w:rPr>
          <w:rFonts w:ascii="Times New Roman" w:hAnsi="Times New Roman"/>
          <w:color w:val="000000"/>
          <w:sz w:val="20"/>
        </w:rPr>
        <w:t xml:space="preserve"> </w:t>
      </w:r>
      <w:r>
        <w:rPr>
          <w:rFonts w:ascii="Arial" w:hAnsi="Arial"/>
          <w:color w:val="000000"/>
          <w:sz w:val="14"/>
        </w:rPr>
        <w:t>based upon the closing sale price of our voting common stock of $11.70</w:t>
      </w:r>
      <w:r>
        <w:rPr>
          <w:rFonts w:ascii="Times New Roman" w:hAnsi="Times New Roman"/>
          <w:color w:val="000000"/>
          <w:sz w:val="20"/>
        </w:rPr>
        <w:t xml:space="preserve"> </w:t>
      </w:r>
      <w:r>
        <w:rPr>
          <w:rFonts w:ascii="Arial" w:hAnsi="Arial"/>
          <w:color w:val="000000"/>
          <w:sz w:val="14"/>
        </w:rPr>
        <w:t>per share on that date. Shares of voting common stock held by each executive officer, director and stockholders known by the registrant to be affiliated with such individuals based on public filings and other information known to the registrant have been excluded since such persons may be deemed affiliates.</w:t>
      </w:r>
    </w:p>
    <w:p>
      <w:pPr>
        <w:pStyle w:val="TextBody"/>
        <w:bidi w:val="0"/>
        <w:jc w:val="left"/>
        <w:rPr>
          <w:rFonts w:ascii="Times New Roman" w:hAnsi="Times New Roman"/>
          <w:sz w:val="20"/>
        </w:rPr>
      </w:pPr>
      <w:r>
        <w:rPr>
          <w:rFonts w:ascii="Arial" w:hAnsi="Arial"/>
          <w:color w:val="000000"/>
          <w:sz w:val="14"/>
        </w:rPr>
        <w:t>As of February 20, 2026, the registrant had 119,330,978</w:t>
      </w:r>
      <w:r>
        <w:rPr>
          <w:rFonts w:ascii="Times New Roman" w:hAnsi="Times New Roman"/>
          <w:color w:val="000000"/>
          <w:sz w:val="20"/>
        </w:rPr>
        <w:t xml:space="preserve"> </w:t>
      </w:r>
      <w:r>
        <w:rPr>
          <w:rFonts w:ascii="Arial" w:hAnsi="Arial"/>
          <w:color w:val="000000"/>
          <w:sz w:val="14"/>
        </w:rPr>
        <w:t>shares of voting common stock, $0.0001 par value per share, outstanding and 1,873,320</w:t>
      </w:r>
      <w:r>
        <w:rPr>
          <w:rFonts w:ascii="Times New Roman" w:hAnsi="Times New Roman"/>
          <w:color w:val="000000"/>
          <w:sz w:val="20"/>
        </w:rPr>
        <w:t xml:space="preserve"> </w:t>
      </w:r>
      <w:r>
        <w:rPr>
          <w:rFonts w:ascii="Arial" w:hAnsi="Arial"/>
          <w:color w:val="000000"/>
          <w:sz w:val="14"/>
        </w:rPr>
        <w:t>shares of non-voting common stock $0.0001 par value per share, outstanding.</w:t>
      </w:r>
    </w:p>
    <w:p>
      <w:pPr>
        <w:pStyle w:val="TextBody"/>
        <w:bidi w:val="0"/>
        <w:spacing w:before="60" w:after="60"/>
        <w:jc w:val="center"/>
        <w:rPr>
          <w:rFonts w:ascii="Arial" w:hAnsi="Arial"/>
          <w:b/>
          <w:color w:val="000000"/>
          <w:sz w:val="14"/>
        </w:rPr>
      </w:pPr>
      <w:r>
        <w:rPr>
          <w:rFonts w:ascii="Arial" w:hAnsi="Arial"/>
          <w:b/>
          <w:color w:val="000000"/>
          <w:sz w:val="14"/>
        </w:rPr>
        <w:t>DOCUMENTS INCORPORATED BY REFERENCE</w:t>
      </w:r>
    </w:p>
    <w:p>
      <w:pPr>
        <w:pStyle w:val="TextBody"/>
        <w:bidi w:val="0"/>
        <w:jc w:val="both"/>
        <w:rPr>
          <w:rFonts w:ascii="Arial" w:hAnsi="Arial"/>
          <w:color w:val="000000"/>
          <w:sz w:val="14"/>
        </w:rPr>
      </w:pPr>
      <w:r>
        <w:rPr>
          <w:rFonts w:ascii="Arial" w:hAnsi="Arial"/>
          <w:color w:val="000000"/>
          <w:sz w:val="14"/>
        </w:rPr>
        <w:t>Portions of the registrant’s proxy statement for the 2026 annual meeting of stockholders to be filed pursuant to Regulation 14A within 120 days after the registrant’s fiscal year ended December 31, 2025, are incorporated by reference in Part III of this Form 10-K.</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4"/>
        <w:gridCol w:w="8634"/>
        <w:gridCol w:w="617"/>
      </w:tblGrid>
      <w:tr>
        <w:trPr/>
        <w:tc>
          <w:tcPr>
            <w:tcW w:w="954" w:type="dxa"/>
            <w:tcBorders/>
            <w:vAlign w:val="center"/>
          </w:tcPr>
          <w:p>
            <w:pPr>
              <w:pStyle w:val="TableContents"/>
              <w:bidi w:val="0"/>
              <w:spacing w:before="0" w:after="283"/>
              <w:jc w:val="left"/>
              <w:rPr>
                <w:sz w:val="4"/>
                <w:szCs w:val="4"/>
              </w:rPr>
            </w:pPr>
            <w:r>
              <w:rPr>
                <w:sz w:val="4"/>
                <w:szCs w:val="4"/>
              </w:rPr>
            </w:r>
          </w:p>
        </w:tc>
        <w:tc>
          <w:tcPr>
            <w:tcW w:w="86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u w:val="single"/>
              </w:rPr>
            </w:pPr>
            <w:r>
              <w:rPr>
                <w:rFonts w:ascii="Arial" w:hAnsi="Arial"/>
                <w:b/>
                <w:color w:val="000000"/>
                <w:sz w:val="20"/>
                <w:u w:val="single"/>
              </w:rPr>
              <w:t>Page</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
              <w:r>
                <w:rPr>
                  <w:rStyle w:val="InternetLink"/>
                  <w:rFonts w:ascii="Arial" w:hAnsi="Arial"/>
                  <w:color w:val="0000FF"/>
                  <w:sz w:val="20"/>
                  <w:u w:val="single"/>
                </w:rPr>
                <w:t>Special Note Regarding Forward-Looking Statements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Arial" w:hAnsi="Arial"/>
                  <w:color w:val="0000FF"/>
                  <w:sz w:val="20"/>
                  <w:u w:val="single"/>
                </w:rPr>
                <w:t>Business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1A.</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27</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1B.</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Arial" w:hAnsi="Arial"/>
                  <w:color w:val="0000FF"/>
                  <w:sz w:val="20"/>
                  <w:u w:val="single"/>
                </w:rPr>
                <w:t>Unresolved Staff Comments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78</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1C.</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
              <w:r>
                <w:rPr>
                  <w:rStyle w:val="InternetLink"/>
                  <w:rFonts w:ascii="Arial" w:hAnsi="Arial"/>
                  <w:color w:val="0000FF"/>
                  <w:sz w:val="20"/>
                  <w:u w:val="single"/>
                </w:rPr>
                <w:t>Cybersecurity</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78</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2.</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Arial" w:hAnsi="Arial"/>
                  <w:color w:val="0000FF"/>
                  <w:sz w:val="20"/>
                  <w:u w:val="single"/>
                </w:rPr>
                <w:t>Properties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79</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3.</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Arial" w:hAnsi="Arial"/>
                  <w:color w:val="0000FF"/>
                  <w:sz w:val="20"/>
                  <w:u w:val="single"/>
                </w:rPr>
                <w:t>Legal Proceedings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79</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4.</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5.</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Arial" w:hAnsi="Arial"/>
                  <w:color w:val="0000FF"/>
                  <w:sz w:val="20"/>
                  <w:u w:val="single"/>
                </w:rPr>
                <w:t>Market for Registrant’s Common Equity, Related Stockholder Matters and Issuer Purchases of Equity Securities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81</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6.</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Arial" w:hAnsi="Arial"/>
                  <w:color w:val="0000FF"/>
                  <w:sz w:val="20"/>
                  <w:u w:val="single"/>
                </w:rPr>
                <w:t>[Reserved]</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82</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7.</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Arial" w:hAnsi="Arial"/>
                  <w:color w:val="0000FF"/>
                  <w:sz w:val="20"/>
                  <w:u w:val="single"/>
                </w:rPr>
                <w:t>Management’s Discussion and Analysis of Financial Condition and Results of Operations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83</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7A.</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Arial" w:hAnsi="Arial"/>
                  <w:color w:val="0000FF"/>
                  <w:sz w:val="20"/>
                  <w:u w:val="single"/>
                </w:rPr>
                <w:t>Quantitative and Qualitative Disclosures About Market Risk</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108</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8.</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and_supplementary">
              <w:r>
                <w:rPr>
                  <w:rStyle w:val="InternetLink"/>
                  <w:rFonts w:ascii="Arial" w:hAnsi="Arial"/>
                  <w:color w:val="0000FF"/>
                  <w:sz w:val="20"/>
                  <w:u w:val="single"/>
                </w:rPr>
                <w:t>Financial Statements and Supplementary Data</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110</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in_and_disagreements">
              <w:r>
                <w:rPr>
                  <w:rStyle w:val="InternetLink"/>
                  <w:rFonts w:ascii="Arial" w:hAnsi="Arial"/>
                  <w:color w:val="0000FF"/>
                  <w:sz w:val="20"/>
                  <w:u w:val="single"/>
                </w:rPr>
                <w:t>Changes in and Disagreements with Accountants on Accounting and Financial Disclosure</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157</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9A.</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_and_procedures">
              <w:r>
                <w:rPr>
                  <w:rStyle w:val="InternetLink"/>
                  <w:rFonts w:ascii="Arial" w:hAnsi="Arial"/>
                  <w:color w:val="0000FF"/>
                  <w:sz w:val="20"/>
                  <w:u w:val="single"/>
                </w:rPr>
                <w:t>Controls and Procedures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157</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9B.</w:t>
            </w:r>
          </w:p>
        </w:tc>
        <w:tc>
          <w:tcPr>
            <w:tcW w:w="863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other_information">
              <w:r>
                <w:rPr>
                  <w:rStyle w:val="InternetLink"/>
                  <w:rFonts w:ascii="Arial" w:hAnsi="Arial"/>
                  <w:color w:val="0000FF"/>
                  <w:sz w:val="20"/>
                  <w:u w:val="single"/>
                </w:rPr>
                <w:t>Other Information</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158</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9C.</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sclosure_regarding_foreign">
              <w:r>
                <w:rPr>
                  <w:rStyle w:val="InternetLink"/>
                  <w:rFonts w:ascii="Arial" w:hAnsi="Arial"/>
                  <w:color w:val="0000FF"/>
                  <w:sz w:val="20"/>
                  <w:u w:val="single"/>
                </w:rPr>
                <w:t>Disclosure Regarding Foreign Jurisdictions that Prevent Inspections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III</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10.</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Arial" w:hAnsi="Arial"/>
                  <w:color w:val="0000FF"/>
                  <w:sz w:val="20"/>
                  <w:u w:val="single"/>
                </w:rPr>
                <w:t>Directors, Executive Officers and Corporate Governance</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159</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11.</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Arial" w:hAnsi="Arial"/>
                  <w:color w:val="0000FF"/>
                  <w:sz w:val="20"/>
                  <w:u w:val="single"/>
                </w:rPr>
                <w:t>Executive Compensation</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159</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12.</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Arial" w:hAnsi="Arial"/>
                  <w:color w:val="0000FF"/>
                  <w:sz w:val="20"/>
                  <w:u w:val="single"/>
                </w:rPr>
                <w:t>Security Ownership of Certain Beneficial Owners and Management and Related Stockholder Matters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159</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13.</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Arial" w:hAnsi="Arial"/>
                  <w:color w:val="0000FF"/>
                  <w:sz w:val="20"/>
                  <w:u w:val="single"/>
                </w:rPr>
                <w:t>Certain Relationships and Related Transactions, and Director Independence</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159</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14.</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Arial" w:hAnsi="Arial"/>
                  <w:color w:val="0000FF"/>
                  <w:sz w:val="20"/>
                  <w:u w:val="single"/>
                </w:rPr>
                <w:t>Principal Accounting Fees and Services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IV</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15.</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Arial" w:hAnsi="Arial"/>
                  <w:color w:val="0000FF"/>
                  <w:sz w:val="20"/>
                  <w:u w:val="single"/>
                </w:rPr>
                <w:t>Exhibits, Financial Statement Schedules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161</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16.</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Arial" w:hAnsi="Arial"/>
                  <w:color w:val="0000FF"/>
                  <w:sz w:val="20"/>
                  <w:u w:val="single"/>
                </w:rPr>
                <w:t>Form 10-K Summary</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162</w:t>
            </w:r>
          </w:p>
        </w:tc>
      </w:tr>
      <w:tr>
        <w:trPr/>
        <w:tc>
          <w:tcPr>
            <w:tcW w:w="95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sz w:val="20"/>
        </w:rPr>
      </w:pPr>
      <w:bookmarkStart w:id="3" w:name="special_note_regarding"/>
      <w:bookmarkEnd w:id="3"/>
      <w:r>
        <w:rPr>
          <w:rFonts w:ascii="Arial" w:hAnsi="Arial"/>
          <w:b/>
          <w:color w:val="000000"/>
          <w:sz w:val="20"/>
        </w:rPr>
        <w:t>SPECIAL NOTE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This Annual Report on Form 10-K,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plan and 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cross-border expansion plans and ability to expand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anticipated trends, growth rates, and challenges in our business and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and ability to access, our cash and cash equivalents to meet our liquidity needs;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political, economic, foreign currency exchange rate, inflation, tariffs and international trade conflict, banking,</w:t>
        <w:br/>
        <w:t>legal, immigration and visa, social and health risks and public health measures that may affect cross-border commerce, education and travel, our business or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beliefs and objectives for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enhance and protect our brand;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and grow the payment volume that we process;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further attract, retain, and expand our client base;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develop new solutions and services and bring them to market in a timely and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concerning relationships with third-parties, including financial institutions and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effects of increased competition in our markets and our ability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recent and future acquisitions or investments in complementary companies, products, services, or technologies, including the expected benefits and synergies of the acquisition of Sertifi LLC (Sertifi), including the potential benefits of Sertifi’s platform, financial results and margins;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enter new client verticals and sub-verticals, including our relatively new business-to-business (B2B) sector;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anticipated technology needs and developments and our ability to address those needs and developments with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litigation and legal and regulatory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our ability to meet existing performance obligations and maintain the operability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economic and industry trends, projected growth, or trend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effects of global events and geopolitical conflict, including without limitation the hostilities in Ukraine and involving Israel, Hamas and Iran;</w:t>
      </w:r>
    </w:p>
    <w:p>
      <w:pPr>
        <w:pStyle w:val="TextBody"/>
        <w:bidi w:val="0"/>
        <w:spacing w:before="12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adapt to recommended or implemented U.S. policy changes, in particular those that impact higher education, the desire for foreign students to study in the U.S., immigration and visa policy, and changes to regulatory agencies and depth of enforcement of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adapt to changes in U.S. federal income or other tax laws or the interpretation of tax laws, including without limitation the Inflation Reduction Act of 2022 and The One Big Beautiful Bill Act of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attract and retain qualified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protect, and enhance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the security and availability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increased expenses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future market price of our common stock.</w:t>
      </w:r>
    </w:p>
    <w:p>
      <w:pPr>
        <w:pStyle w:val="TextBody"/>
        <w:bidi w:val="0"/>
        <w:spacing w:before="200" w:after="200"/>
        <w:jc w:val="left"/>
        <w:rPr>
          <w:rFonts w:ascii="Arial" w:hAnsi="Arial"/>
          <w:color w:val="000000"/>
          <w:sz w:val="20"/>
        </w:rPr>
      </w:pPr>
      <w:r>
        <w:rPr>
          <w:rFonts w:ascii="Arial" w:hAnsi="Arial"/>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Annual Report on Form 10-K. 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0" w:after="200"/>
        <w:jc w:val="left"/>
        <w:rPr>
          <w:rFonts w:ascii="Arial" w:hAnsi="Arial"/>
          <w:color w:val="000000"/>
          <w:sz w:val="20"/>
        </w:rPr>
      </w:pPr>
      <w:r>
        <w:rPr>
          <w:rFonts w:ascii="Arial" w:hAnsi="Arial"/>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jc w:val="left"/>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00" w:after="283"/>
        <w:jc w:val="left"/>
        <w:rPr>
          <w:rFonts w:ascii="Arial" w:hAnsi="Arial"/>
          <w:color w:val="000000"/>
          <w:sz w:val="20"/>
        </w:rPr>
      </w:pPr>
      <w:r>
        <w:rPr>
          <w:rFonts w:ascii="Arial" w:hAnsi="Arial"/>
          <w:color w:val="000000"/>
          <w:sz w:val="20"/>
        </w:rPr>
        <w:t>Unless otherwise noted or unless the context provides otherwise, all references in this Annual Report on Form 10-K to our “common stock” refer to our voting common stock.</w:t>
      </w:r>
    </w:p>
    <w:p>
      <w:pPr>
        <w:pStyle w:val="TextBody"/>
        <w:bidi w:val="0"/>
        <w:spacing w:before="12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PART I</w:t>
      </w:r>
    </w:p>
    <w:p>
      <w:pPr>
        <w:pStyle w:val="TextBody"/>
        <w:bidi w:val="0"/>
        <w:spacing w:before="200" w:after="283"/>
        <w:jc w:val="left"/>
        <w:rPr>
          <w:rFonts w:ascii="Arial" w:hAnsi="Arial"/>
          <w:b/>
          <w:color w:val="000000"/>
          <w:sz w:val="20"/>
        </w:rPr>
      </w:pPr>
      <w:bookmarkStart w:id="4" w:name="item_1_business"/>
      <w:bookmarkEnd w:id="4"/>
      <w:r>
        <w:rPr>
          <w:rFonts w:ascii="Arial" w:hAnsi="Arial"/>
          <w:b/>
          <w:color w:val="000000"/>
          <w:sz w:val="20"/>
        </w:rPr>
        <w:t>Item 1. Business</w:t>
      </w:r>
    </w:p>
    <w:p>
      <w:pPr>
        <w:pStyle w:val="TextBody"/>
        <w:bidi w:val="0"/>
        <w:spacing w:before="200" w:after="283"/>
        <w:jc w:val="left"/>
        <w:rPr>
          <w:rFonts w:ascii="Arial" w:hAnsi="Arial"/>
          <w:b/>
          <w:color w:val="000000"/>
          <w:sz w:val="20"/>
        </w:rPr>
      </w:pPr>
      <w:r>
        <w:rPr>
          <w:rFonts w:ascii="Arial" w:hAnsi="Arial"/>
          <w:b/>
          <w:color w:val="000000"/>
          <w:sz w:val="20"/>
        </w:rPr>
        <w:t>Our Mission</w:t>
      </w:r>
    </w:p>
    <w:p>
      <w:pPr>
        <w:pStyle w:val="TextBody"/>
        <w:bidi w:val="0"/>
        <w:spacing w:before="200" w:after="283"/>
        <w:jc w:val="left"/>
        <w:rPr>
          <w:rFonts w:ascii="Arial" w:hAnsi="Arial"/>
          <w:color w:val="000000"/>
          <w:sz w:val="20"/>
        </w:rPr>
      </w:pPr>
      <w:r>
        <w:rPr>
          <w:rFonts w:ascii="Arial" w:hAnsi="Arial"/>
          <w:color w:val="000000"/>
          <w:sz w:val="20"/>
        </w:rPr>
        <w:t>Our mission is to deliver the most important and complex payments. In an increasingly digital world, getting paid means Flywire.</w:t>
      </w:r>
    </w:p>
    <w:p>
      <w:pPr>
        <w:pStyle w:val="TextBody"/>
        <w:bidi w:val="0"/>
        <w:spacing w:before="200" w:after="283"/>
        <w:jc w:val="left"/>
        <w:rPr>
          <w:rFonts w:ascii="Arial" w:hAnsi="Arial"/>
          <w:b/>
          <w:color w:val="000000"/>
          <w:sz w:val="20"/>
        </w:rPr>
      </w:pPr>
      <w:r>
        <w:rPr>
          <w:rFonts w:ascii="Arial" w:hAnsi="Arial"/>
          <w:b/>
          <w:color w:val="000000"/>
          <w:sz w:val="20"/>
        </w:rPr>
        <w:t>Our Company</w:t>
      </w:r>
    </w:p>
    <w:p>
      <w:pPr>
        <w:pStyle w:val="TextBody"/>
        <w:bidi w:val="0"/>
        <w:spacing w:before="200" w:after="283"/>
        <w:jc w:val="left"/>
        <w:rPr>
          <w:rFonts w:ascii="Arial" w:hAnsi="Arial"/>
          <w:color w:val="000000"/>
          <w:sz w:val="20"/>
        </w:rPr>
      </w:pPr>
      <w:r>
        <w:rPr>
          <w:rFonts w:ascii="Arial" w:hAnsi="Arial"/>
          <w:color w:val="000000"/>
          <w:sz w:val="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pStyle w:val="TextBody"/>
        <w:bidi w:val="0"/>
        <w:spacing w:before="200" w:after="283"/>
        <w:jc w:val="left"/>
        <w:rPr>
          <w:rFonts w:ascii="Arial" w:hAnsi="Arial"/>
          <w:color w:val="000000"/>
          <w:sz w:val="20"/>
        </w:rPr>
      </w:pPr>
      <w:r>
        <w:rPr>
          <w:rFonts w:ascii="Arial" w:hAnsi="Arial"/>
          <w:color w:val="000000"/>
          <w:sz w:val="20"/>
        </w:rPr>
        <w:t>There have been substantial strides made in payments technology in the retail and e-commerce industries; however, massive sectors of our global economy—including education, healthcare, travel, and B2B payments—are still in the early stages of digital transformation.</w:t>
      </w:r>
    </w:p>
    <w:p>
      <w:pPr>
        <w:pStyle w:val="TextBody"/>
        <w:bidi w:val="0"/>
        <w:spacing w:before="200" w:after="283"/>
        <w:jc w:val="left"/>
        <w:rPr>
          <w:rFonts w:ascii="Arial" w:hAnsi="Arial"/>
          <w:color w:val="000000"/>
          <w:sz w:val="20"/>
        </w:rPr>
      </w:pPr>
      <w:r>
        <w:rPr>
          <w:rFonts w:ascii="Arial" w:hAnsi="Arial"/>
          <w:color w:val="000000"/>
          <w:sz w:val="20"/>
        </w:rPr>
        <w:t>Our clients, and the types of organizations we serve in education, healthcare, travel, and across B2B industries,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pStyle w:val="TextBody"/>
        <w:bidi w:val="0"/>
        <w:spacing w:before="200" w:after="283"/>
        <w:jc w:val="left"/>
        <w:rPr>
          <w:rFonts w:ascii="Arial" w:hAnsi="Arial"/>
          <w:color w:val="000000"/>
          <w:sz w:val="20"/>
        </w:rPr>
      </w:pPr>
      <w:r>
        <w:rPr>
          <w:rFonts w:ascii="Arial" w:hAnsi="Arial"/>
          <w:color w:val="000000"/>
          <w:sz w:val="20"/>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pStyle w:val="TextBody"/>
        <w:bidi w:val="0"/>
        <w:spacing w:before="200" w:after="283"/>
        <w:jc w:val="left"/>
        <w:rPr>
          <w:rFonts w:ascii="Times New Roman" w:hAnsi="Times New Roman"/>
          <w:sz w:val="20"/>
        </w:rPr>
      </w:pPr>
      <w:r>
        <w:rPr>
          <w:rFonts w:ascii="Arial" w:hAnsi="Arial"/>
          <w:color w:val="000000"/>
          <w:sz w:val="20"/>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Arial" w:hAnsi="Arial"/>
          <w:i/>
          <w:color w:val="000000"/>
          <w:sz w:val="20"/>
        </w:rPr>
        <w:t>Flywire Advantage</w:t>
      </w:r>
      <w:r>
        <w:rPr>
          <w:rFonts w:ascii="Arial" w:hAnsi="Arial"/>
          <w:color w:val="000000"/>
          <w:sz w:val="20"/>
        </w:rPr>
        <w:t>.</w:t>
      </w:r>
    </w:p>
    <w:p>
      <w:pPr>
        <w:pStyle w:val="TextBody"/>
        <w:bidi w:val="0"/>
        <w:spacing w:before="200" w:after="200"/>
        <w:jc w:val="left"/>
        <w:rPr>
          <w:rFonts w:ascii="Times New Roman" w:hAnsi="Times New Roman"/>
          <w:sz w:val="20"/>
        </w:rPr>
      </w:pPr>
      <w:r>
        <w:rPr>
          <w:rFonts w:ascii="Arial" w:hAnsi="Arial"/>
          <w:color w:val="000000"/>
          <w:sz w:val="20"/>
        </w:rPr>
        <w:t xml:space="preserve">Our </w:t>
      </w:r>
      <w:r>
        <w:rPr>
          <w:rFonts w:ascii="Arial" w:hAnsi="Arial"/>
          <w:i/>
          <w:color w:val="000000"/>
          <w:sz w:val="20"/>
        </w:rPr>
        <w:t>Flywire Advantage</w:t>
      </w:r>
      <w:r>
        <w:rPr>
          <w:rFonts w:ascii="Times New Roman" w:hAnsi="Times New Roman"/>
          <w:color w:val="000000"/>
          <w:sz w:val="20"/>
        </w:rPr>
        <w:t xml:space="preserve"> </w:t>
      </w:r>
      <w:r>
        <w:rPr>
          <w:rFonts w:ascii="Arial" w:hAnsi="Arial"/>
          <w:color w:val="000000"/>
          <w:sz w:val="20"/>
        </w:rPr>
        <w:t>is derived from three core elements: (i) our next-gen payments platform; (ii) our proprietary global payment network; and (iii) our vertical-specific software backed by our deep industry expertise.</w:t>
      </w:r>
    </w:p>
    <w:p>
      <w:pPr>
        <w:pStyle w:val="TextBody"/>
        <w:bidi w:val="0"/>
        <w:spacing w:before="12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center"/>
        <w:rPr/>
      </w:pPr>
      <w:r>
        <w:rPr/>
        <w:drawing>
          <wp:inline distT="0" distB="0" distL="0" distR="0">
            <wp:extent cx="5534025" cy="417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34025" cy="4171950"/>
                    </a:xfrm>
                    <a:prstGeom prst="rect">
                      <a:avLst/>
                    </a:prstGeom>
                  </pic:spPr>
                </pic:pic>
              </a:graphicData>
            </a:graphic>
          </wp:inline>
        </w:drawing>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Next-Gen Payments Platform. </w:t>
      </w:r>
      <w:r>
        <w:rPr>
          <w:rFonts w:ascii="Arial" w:hAnsi="Arial"/>
          <w:color w:val="000000"/>
          <w:sz w:val="20"/>
        </w:rPr>
        <w:t>Our platform improves the legacy accounts receivable value chain by facilitating global 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Proprietary Global Payment Network.</w:t>
      </w:r>
      <w:r>
        <w:rPr>
          <w:color w:val="000000"/>
        </w:rPr>
        <w:t xml:space="preserve"> </w:t>
      </w:r>
      <w:r>
        <w:rPr>
          <w:rFonts w:ascii="Arial" w:hAnsi="Arial"/>
          <w:color w:val="000000"/>
          <w:sz w:val="20"/>
        </w:rPr>
        <w:t>At the core of our business is our network of global, regional and local banking 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140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Vertical-Specific Software Backed by Deep Industry Expertise.</w:t>
      </w:r>
      <w:r>
        <w:rPr>
          <w:color w:val="000000"/>
        </w:rPr>
        <w:t xml:space="preserve"> </w:t>
      </w:r>
      <w:r>
        <w:rPr>
          <w:rFonts w:ascii="Arial" w:hAnsi="Arial"/>
          <w:color w:val="000000"/>
          <w:sz w:val="20"/>
        </w:rPr>
        <w:t xml:space="preserve">We go beyond payments by offering seamless integration 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approximately 11,000 client payment portals, each built on our shared payments platform and global payment network but tailored to our clients’ brands and needs. In addition, our software solutions include interactive dashboards to manage payments, reporting tools to streamline reconciliation </w:t>
      </w:r>
    </w:p>
    <w:p>
      <w:pPr>
        <w:pStyle w:val="TextBody"/>
        <w:bidi w:val="0"/>
        <w:spacing w:before="12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and customer communication tools to personalize and digitize engagement. This enables us to be a hub of omni-channel connectivity, augmenting the relationship between our clients and their customers.</w:t>
      </w:r>
    </w:p>
    <w:p>
      <w:pPr>
        <w:pStyle w:val="TextBody"/>
        <w:bidi w:val="0"/>
        <w:spacing w:before="200" w:after="283"/>
        <w:jc w:val="left"/>
        <w:rPr>
          <w:rFonts w:ascii="Arial" w:hAnsi="Arial"/>
          <w:color w:val="000000"/>
          <w:sz w:val="20"/>
        </w:rPr>
      </w:pPr>
      <w:r>
        <w:rPr>
          <w:rFonts w:ascii="Arial" w:hAnsi="Arial"/>
          <w:color w:val="000000"/>
          <w:sz w:val="20"/>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pStyle w:val="TextBody"/>
        <w:bidi w:val="0"/>
        <w:spacing w:before="120" w:after="283"/>
        <w:jc w:val="center"/>
        <w:rPr/>
      </w:pPr>
      <w:r>
        <w:rPr/>
        <w:drawing>
          <wp:inline distT="0" distB="0" distL="0" distR="0">
            <wp:extent cx="5981700" cy="3429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81700" cy="3429000"/>
                    </a:xfrm>
                    <a:prstGeom prst="rect">
                      <a:avLst/>
                    </a:prstGeom>
                  </pic:spPr>
                </pic:pic>
              </a:graphicData>
            </a:graphic>
          </wp:inline>
        </w:drawing>
      </w:r>
    </w:p>
    <w:p>
      <w:pPr>
        <w:pStyle w:val="TextBody"/>
        <w:bidi w:val="0"/>
        <w:spacing w:before="200" w:after="200"/>
        <w:jc w:val="left"/>
        <w:rPr>
          <w:rFonts w:ascii="Times New Roman" w:hAnsi="Times New Roman"/>
          <w:sz w:val="20"/>
        </w:rPr>
      </w:pPr>
      <w:r>
        <w:rPr>
          <w:rFonts w:ascii="Arial" w:hAnsi="Arial"/>
          <w:color w:val="000000"/>
          <w:sz w:val="20"/>
        </w:rPr>
        <w:t>The benefits of our flywheel are visible in the significant scale we have achieved to date. As of December 31, 2025, we serve approximately 5,000 clients around the world, excluding clients acquired from the Sertifi and Invoiced acquisitions. In education, we serve more than 3,200 institutions. In healthcare, we serve more than 150 healthcare systems, including four of the top 10 healthcare systems in the United States ranked by hospital size. In our travel and B2B verticals, we have a growing portfolio of approximately 1,600 clients.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Our business model is designed to encourage rapid, widespread utilization of our solutions. We enable our clients to scale the use of Flywire to an unlimited number of customers with favorable unit economics. For the years ended December 31, 2025 and 2024, we enabled over $37.6 billion and over $29.7 billion, respectively, of total payment volume across more than 140 currencies.</w:t>
      </w:r>
    </w:p>
    <w:p>
      <w:pPr>
        <w:pStyle w:val="TextBody"/>
        <w:bidi w:val="0"/>
        <w:spacing w:before="200" w:after="283"/>
        <w:jc w:val="left"/>
        <w:rPr>
          <w:rFonts w:ascii="Times New Roman" w:hAnsi="Times New Roman"/>
          <w:sz w:val="20"/>
        </w:rPr>
      </w:pPr>
      <w:r>
        <w:rPr>
          <w:rFonts w:ascii="Arial" w:hAnsi="Arial"/>
          <w:color w:val="000000"/>
          <w:sz w:val="20"/>
        </w:rPr>
        <w:t xml:space="preserve">The value of our </w:t>
      </w:r>
      <w:r>
        <w:rPr>
          <w:rFonts w:ascii="Arial" w:hAnsi="Arial"/>
          <w:i/>
          <w:color w:val="000000"/>
          <w:sz w:val="20"/>
        </w:rPr>
        <w:t>Flywire Advantage</w:t>
      </w:r>
      <w:r>
        <w:rPr>
          <w:rFonts w:ascii="Times New Roman" w:hAnsi="Times New Roman"/>
          <w:color w:val="000000"/>
          <w:sz w:val="20"/>
        </w:rPr>
        <w:t xml:space="preserve"> </w:t>
      </w:r>
      <w:r>
        <w:rPr>
          <w:rFonts w:ascii="Arial" w:hAnsi="Arial"/>
          <w:color w:val="000000"/>
          <w:sz w:val="20"/>
        </w:rPr>
        <w:t>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 healthcare. These partnerships promote organic referral and lead generation opportunities and enhance our indirect sales strategy.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also reach clients through our direct channel. Our domain-experienced sales and relationship management teams bring vertical expertise and regional and local reach that drives high dollar-based net retention. For the years ended December 31, 2025, 2024, and 2023, our annual net dollar-based retention rate was approximately 110%, 114%, and 125%, respectively. We calculate the annual net dollar-based retention rate for a given year based on the weighted average of the quarterly net dollar-based retention rates for each quarter in that year. We calculate the quarterly net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 In addition, our client and customer service combines high-tech and high-touch functions backed by 24x7 multilingual customer support, resulting in high client and customer satisfaction.</w:t>
      </w:r>
    </w:p>
    <w:p>
      <w:pPr>
        <w:pStyle w:val="TextBody"/>
        <w:bidi w:val="0"/>
        <w:spacing w:before="200" w:after="283"/>
        <w:jc w:val="left"/>
        <w:rPr>
          <w:rFonts w:ascii="Arial" w:hAnsi="Arial"/>
          <w:color w:val="000000"/>
          <w:sz w:val="20"/>
        </w:rPr>
      </w:pPr>
      <w:r>
        <w:rPr>
          <w:rFonts w:ascii="Arial" w:hAnsi="Arial"/>
          <w:color w:val="000000"/>
          <w:sz w:val="20"/>
        </w:rPr>
        <w:t>We have grown rapidly since our founding. We generated revenue of $623.0 million, $492.1 million, and $403.1 million for the years ended December 31, 2025, 2024, and 2023, respectively, and reported net income of $13.5 million and $2.9 million for the years ended December 31, 2025 and 2024, respectively, and net loss of $8.6 million for the year ended December 31, 2023. In February 2025, we acquired Sertifi, a vertical software and payments platform digitizing hospitality-specific workflows and associated payments. In August 2024, we acquired Invoiced, a U.S.-based software as a service (SaaS) B2B company that provides accounts receivable software that automates all aspects of billing, collections, payments, reporting and forecasting within a single online platform. In November 2023, we acquired Learning Information Systems Pty Ltd.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w:t>
      </w:r>
    </w:p>
    <w:p>
      <w:pPr>
        <w:pStyle w:val="TextBody"/>
        <w:bidi w:val="0"/>
        <w:spacing w:before="200" w:after="283"/>
        <w:jc w:val="left"/>
        <w:rPr>
          <w:rFonts w:ascii="Times New Roman" w:hAnsi="Times New Roman"/>
          <w:sz w:val="20"/>
        </w:rPr>
      </w:pPr>
      <w:r>
        <w:rPr>
          <w:rFonts w:ascii="Arial" w:hAnsi="Arial"/>
          <w:b/>
          <w:color w:val="000000"/>
          <w:sz w:val="20"/>
        </w:rPr>
        <w:t>Benefits of the Flywire Advantage to Our Clients and Their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Benefits of the Flywire Advantage to Our Clients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Modern customer-focused payment experience.</w:t>
      </w:r>
      <w:r>
        <w:rPr>
          <w:color w:val="000000"/>
        </w:rPr>
        <w:t xml:space="preserve"> </w:t>
      </w:r>
      <w:r>
        <w:rPr>
          <w:rFonts w:ascii="Arial" w:hAnsi="Arial"/>
          <w:color w:val="000000"/>
          <w:sz w:val="20"/>
        </w:rPr>
        <w:t xml:space="preserve">We enable a convenient and secure online payment experience which can be configured by country, currency, client, and vertical. Our personalization engine leverages our data and applies artificial intelligence (AI) and machine learning (ML)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Simplify payments complexity.</w:t>
      </w:r>
      <w:r>
        <w:rPr>
          <w:color w:val="000000"/>
        </w:rPr>
        <w:t xml:space="preserve"> </w:t>
      </w:r>
      <w:r>
        <w:rPr>
          <w:rFonts w:ascii="Arial" w:hAnsi="Arial"/>
          <w:color w:val="000000"/>
          <w:sz w:val="20"/>
        </w:rPr>
        <w:t xml:space="preserve">We address complexity in payments by providing our clients with a “one-stop shop” offering, 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Processing cost savings and enhanced payments yield.</w:t>
      </w:r>
      <w:r>
        <w:rPr>
          <w:color w:val="000000"/>
        </w:rPr>
        <w:t xml:space="preserve"> </w:t>
      </w:r>
      <w:r>
        <w:rPr>
          <w:rFonts w:ascii="Arial" w:hAnsi="Arial"/>
          <w:color w:val="000000"/>
          <w:sz w:val="20"/>
        </w:rPr>
        <w:t xml:space="preserve">We leverage our significant global volume and in-house currency 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Ease of integration.</w:t>
      </w:r>
      <w:r>
        <w:rPr>
          <w:color w:val="000000"/>
        </w:rPr>
        <w:t xml:space="preserve"> </w:t>
      </w:r>
      <w:r>
        <w:rPr>
          <w:rFonts w:ascii="Arial" w:hAnsi="Arial"/>
          <w:color w:val="000000"/>
          <w:sz w:val="20"/>
        </w:rPr>
        <w:t xml:space="preserve">Built on open architecture, Flywire integrates with existing systems and technology, allowing clients to consolidate transactions and accounts, automate payment plans and cash management, and optimize processing through aligned billing-related tools. This ease of integration enables our clients to serve their customers better and faster, increasing satisfaction while reducing costs.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Trusted expertise and a trusted brand.</w:t>
      </w:r>
      <w:r>
        <w:rPr>
          <w:color w:val="000000"/>
        </w:rPr>
        <w:t xml:space="preserve"> </w:t>
      </w:r>
      <w:r>
        <w:rPr>
          <w:rFonts w:ascii="Arial" w:hAnsi="Arial"/>
          <w:color w:val="000000"/>
          <w:sz w:val="20"/>
        </w:rPr>
        <w:t xml:space="preserve">Our clients and their customers view Flywire as a trusted technology partner. With 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 </w:t>
      </w:r>
    </w:p>
    <w:p>
      <w:pPr>
        <w:pStyle w:val="TextBody"/>
        <w:bidi w:val="0"/>
        <w:spacing w:before="12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i/>
          <w:color w:val="000000"/>
          <w:sz w:val="20"/>
        </w:rPr>
        <w:t>Benefits of the Flywire Advantage to Our Clients’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digital-first customer experience is designed to make the process of paying invoices simple. For our clients’ customers, key benefits of our solutions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Superior and simple payment experiences.</w:t>
      </w:r>
      <w:r>
        <w:rPr>
          <w:color w:val="000000"/>
        </w:rPr>
        <w:t xml:space="preserve"> </w:t>
      </w:r>
      <w:r>
        <w:rPr>
          <w:rFonts w:ascii="Arial" w:hAnsi="Arial"/>
          <w:color w:val="000000"/>
          <w:sz w:val="20"/>
        </w:rPr>
        <w:t xml:space="preserve">Our customer value proposition is simple: we provide a fast and nearly 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Customer preference.</w:t>
      </w:r>
      <w:r>
        <w:rPr>
          <w:color w:val="000000"/>
        </w:rPr>
        <w:t xml:space="preserve"> </w:t>
      </w:r>
      <w:r>
        <w:rPr>
          <w:rFonts w:ascii="Arial" w:hAnsi="Arial"/>
          <w:color w:val="000000"/>
          <w:sz w:val="20"/>
        </w:rPr>
        <w:t xml:space="preserve">Using Flywire, our clients’ customers can choose their preferred payment method, currency, and communication channel, such as SMS, chat, email, text, or phone. We make it possible to accept and settle payments in over 240 countries and territories and in more than 140 currencies, so our clients’ customers can choose the way they pay using local payment methods that they are most comfortable using.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Flexible on-demand payment options.</w:t>
      </w:r>
      <w:r>
        <w:rPr>
          <w:color w:val="000000"/>
        </w:rPr>
        <w:t xml:space="preserve"> </w:t>
      </w:r>
      <w:r>
        <w:rPr>
          <w:rFonts w:ascii="Arial" w:hAnsi="Arial"/>
          <w:color w:val="000000"/>
          <w:sz w:val="20"/>
        </w:rPr>
        <w:t xml:space="preserve">We believe we provide favorable and transparent payment plans that can lead to 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Customer confidence.</w:t>
      </w:r>
      <w:r>
        <w:rPr>
          <w:color w:val="000000"/>
        </w:rPr>
        <w:t xml:space="preserve"> </w:t>
      </w:r>
      <w:r>
        <w:rPr>
          <w:rFonts w:ascii="Arial" w:hAnsi="Arial"/>
          <w:color w:val="000000"/>
          <w:sz w:val="20"/>
        </w:rPr>
        <w:t xml:space="preserve">Navigating the world of complex cross-border payments can be overwhelming for our clients’ customers. With our superior customer experience including around the clock multilingual support, we believe that we give customers the confidence that their payments are delivered securely, accurately, and on time. </w:t>
      </w:r>
    </w:p>
    <w:p>
      <w:pPr>
        <w:pStyle w:val="TextBody"/>
        <w:bidi w:val="0"/>
        <w:spacing w:before="200" w:after="283"/>
        <w:jc w:val="left"/>
        <w:rPr>
          <w:rFonts w:ascii="Times New Roman" w:hAnsi="Times New Roman"/>
          <w:sz w:val="20"/>
        </w:rPr>
      </w:pPr>
      <w:r>
        <w:rPr>
          <w:rFonts w:ascii="Arial" w:hAnsi="Arial"/>
          <w:b/>
          <w:color w:val="000000"/>
          <w:sz w:val="20"/>
        </w:rPr>
        <w:t>How Our Flywire Advantage Works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 xml:space="preserve">To achieve this, we leverage our </w:t>
      </w:r>
      <w:r>
        <w:rPr>
          <w:rFonts w:ascii="Arial" w:hAnsi="Arial"/>
          <w:i/>
          <w:color w:val="000000"/>
          <w:sz w:val="20"/>
        </w:rPr>
        <w:t>Flywire Advantage</w:t>
      </w:r>
      <w:r>
        <w:rPr>
          <w:rFonts w:ascii="Times New Roman" w:hAnsi="Times New Roman"/>
          <w:color w:val="000000"/>
          <w:sz w:val="20"/>
        </w:rPr>
        <w:t xml:space="preserve"> </w:t>
      </w:r>
      <w:r>
        <w:rPr>
          <w:rFonts w:ascii="Arial" w:hAnsi="Arial"/>
          <w:color w:val="000000"/>
          <w:sz w:val="20"/>
        </w:rPr>
        <w:t>and its three core elements: (i) our next-gen payments platform; (ii) our proprietary global payment network; and (iii) our vertical-specific software backed by our deep industry expertise.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Next-Gen Payments Platform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For the years ended December 31, 2025 and 2024, we enabled over $37.6 billion and over $29.7 billion, respectively, in total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designed our next-gen payments platform to be: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Integrated.</w:t>
      </w:r>
      <w:r>
        <w:rPr>
          <w:color w:val="000000"/>
        </w:rPr>
        <w:t xml:space="preserve"> </w:t>
      </w:r>
      <w:r>
        <w:rPr>
          <w:rFonts w:ascii="Arial" w:hAnsi="Arial"/>
          <w:color w:val="000000"/>
          <w:sz w:val="20"/>
        </w:rPr>
        <w:t xml:space="preserve">Fully unified and seamlessly connected to a broad range of core operating systems, facilitating easy data capture and compatibility across a broad range of solutions;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Flexible.</w:t>
      </w:r>
      <w:r>
        <w:rPr>
          <w:color w:val="000000"/>
        </w:rPr>
        <w:t xml:space="preserve"> </w:t>
      </w:r>
      <w:r>
        <w:rPr>
          <w:rFonts w:ascii="Arial" w:hAnsi="Arial"/>
          <w:color w:val="000000"/>
          <w:sz w:val="20"/>
        </w:rPr>
        <w:t xml:space="preserve">Supports complex workflows and payment experiences for both in-country domestic and cross-border payments;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Secure.</w:t>
      </w:r>
      <w:r>
        <w:rPr>
          <w:color w:val="000000"/>
        </w:rPr>
        <w:t xml:space="preserve"> </w:t>
      </w:r>
      <w:r>
        <w:rPr>
          <w:rFonts w:ascii="Arial" w:hAnsi="Arial"/>
          <w:color w:val="000000"/>
          <w:sz w:val="20"/>
        </w:rPr>
        <w:t xml:space="preserve">Leverages Payment Card Industry-validated Point-to-Point Encryption tokenization and other best-in-class and regulatory-compliant security measures. </w:t>
      </w:r>
    </w:p>
    <w:p>
      <w:pPr>
        <w:pStyle w:val="TextBody"/>
        <w:bidi w:val="0"/>
        <w:spacing w:before="200" w:after="283"/>
        <w:jc w:val="left"/>
        <w:rPr>
          <w:rFonts w:ascii="Times New Roman" w:hAnsi="Times New Roman"/>
          <w:sz w:val="20"/>
        </w:rPr>
      </w:pPr>
      <w:r>
        <w:rPr>
          <w:rFonts w:ascii="Arial" w:hAnsi="Arial"/>
          <w:color w:val="000000"/>
          <w:sz w:val="20"/>
        </w:rPr>
        <w:t>By utilizing predictive analytics, ML and AI, we handle the complexities of money movement across borders while providing fast, compliant, and transparent receipt of payments. Our ML and AI enabled fraud detection risk engine has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trained against millions of automated clearing house (ACH), check, card, and wire transactions. As a result, the enhanced power of our risk engine enables us to mitigate fraud.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enhanced invoicing, settlement and reconciliation tools that simplify billing and customer payments and better manage cash flow and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end-to-end processing, from authorization to clearing to settlement and reconciliation;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turnkey solution for enhanced and secure single sign-on and checkout;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recurring, split and flexible payment options, including robust payment plan logic that can be tailored in our vertical-specific implementations;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unified reporting and analytics tools through direct integrations to client back-end infrastructure. </w:t>
      </w:r>
    </w:p>
    <w:p>
      <w:pPr>
        <w:pStyle w:val="TextBody"/>
        <w:bidi w:val="0"/>
        <w:spacing w:before="200" w:after="283"/>
        <w:jc w:val="left"/>
        <w:rPr>
          <w:rFonts w:ascii="Times New Roman" w:hAnsi="Times New Roman"/>
          <w:sz w:val="20"/>
        </w:rPr>
      </w:pPr>
      <w:r>
        <w:rPr>
          <w:rFonts w:ascii="Arial" w:hAnsi="Arial"/>
          <w:color w:val="000000"/>
          <w:sz w:val="20"/>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6105525" cy="2924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05525" cy="2924175"/>
                    </a:xfrm>
                    <a:prstGeom prst="rect">
                      <a:avLst/>
                    </a:prstGeom>
                  </pic:spPr>
                </pic:pic>
              </a:graphicData>
            </a:graphic>
          </wp:inline>
        </w:drawing>
      </w:r>
    </w:p>
    <w:p>
      <w:pPr>
        <w:pStyle w:val="TextBody"/>
        <w:bidi w:val="0"/>
        <w:jc w:val="left"/>
        <w:rPr>
          <w:rFonts w:ascii="Times New Roman" w:hAnsi="Times New Roman"/>
          <w:sz w:val="20"/>
        </w:rPr>
      </w:pPr>
      <w:r>
        <w:rPr>
          <w:rFonts w:ascii="Arial" w:hAnsi="Arial"/>
          <w:color w:val="000000"/>
          <w:sz w:val="20"/>
        </w:rPr>
        <w:t>In addition to international expansion, we are accelerating the growth of our in-country domestic accounts receivable business with the goal of both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Proprietary Global Payment Network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believe our receive-side network sets us apart. Flywire clients, no matter the vertical or market they are in, can receive a single daily payment in their preferred currency that aggregates and reconciles all their customer payments made via Flywire from around the globe—across approximately 6,000 geographic corridors for 2025 representing transaction flows between payers and payees.</w:t>
      </w:r>
    </w:p>
    <w:p>
      <w:pPr>
        <w:pStyle w:val="TextBody"/>
        <w:bidi w:val="0"/>
        <w:jc w:val="left"/>
        <w:rPr>
          <w:rFonts w:ascii="Arial" w:hAnsi="Arial"/>
          <w:color w:val="000000"/>
          <w:sz w:val="20"/>
        </w:rPr>
      </w:pPr>
      <w:r>
        <w:rPr>
          <w:rFonts w:ascii="Arial" w:hAnsi="Arial"/>
          <w:color w:val="000000"/>
          <w:sz w:val="20"/>
        </w:rPr>
        <w:t>Once our clients are connected to our global payment network, they can leverage an extended range of services and capabilities,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Transaction routing optimized for cost, risk and compliance management.</w:t>
      </w:r>
      <w:r>
        <w:rPr>
          <w:color w:val="000000"/>
        </w:rPr>
        <w:t xml:space="preserve"> </w:t>
      </w:r>
      <w:r>
        <w:rPr>
          <w:rFonts w:ascii="Arial" w:hAnsi="Arial"/>
          <w:color w:val="000000"/>
          <w:sz w:val="20"/>
        </w:rPr>
        <w:t>We leverage the “plug and play” configuration of 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Local clearing capabilities. </w:t>
      </w:r>
      <w:r>
        <w:rPr>
          <w:rFonts w:ascii="Arial" w:hAnsi="Arial"/>
          <w:color w:val="000000"/>
          <w:sz w:val="20"/>
        </w:rPr>
        <w:t>Our clients’ customers have the ability to authorize and clear transactions in over 240 countries 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Ecosystem of alternative payment methods.</w:t>
      </w:r>
      <w:r>
        <w:rPr>
          <w:color w:val="000000"/>
        </w:rPr>
        <w:t xml:space="preserve"> </w:t>
      </w:r>
      <w:r>
        <w:rPr>
          <w:rFonts w:ascii="Arial" w:hAnsi="Arial"/>
          <w:color w:val="000000"/>
          <w:sz w:val="20"/>
        </w:rPr>
        <w:t>We offer a myriad of alternative payment methods, such as Alipay, Boleto, PayPal / Venmo, and Trustly, to allow our clients’ customers to choose how they pay. We believe this helps promote greater adoption of our payments platform, higher levels of engagement and satisfaction, and increased value across our ecosystem.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Global pay-out.</w:t>
      </w:r>
      <w:r>
        <w:rPr>
          <w:color w:val="000000"/>
        </w:rPr>
        <w:t xml:space="preserve"> </w:t>
      </w:r>
      <w:r>
        <w:rPr>
          <w:rFonts w:ascii="Arial" w:hAnsi="Arial"/>
          <w:color w:val="000000"/>
          <w:sz w:val="20"/>
        </w:rPr>
        <w:t>We enable our clients to automate disbursements and seamlessly settle in over 140 currencies via pay-out options including local currency bank deposits. We believe we are able to settle pay-out more quickly given our end-to-end control and visibility of the transaction process.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Tailored and scalable regulatory and compliance</w:t>
      </w:r>
      <w:r>
        <w:rPr>
          <w:color w:val="000000"/>
        </w:rPr>
        <w:t xml:space="preserve"> </w:t>
      </w:r>
      <w:r>
        <w:rPr>
          <w:rFonts w:ascii="Arial" w:hAnsi="Arial"/>
          <w:b/>
          <w:color w:val="000000"/>
          <w:sz w:val="20"/>
        </w:rPr>
        <w:t>infrastructure.</w:t>
      </w:r>
      <w:r>
        <w:rPr>
          <w:color w:val="000000"/>
        </w:rPr>
        <w:t xml:space="preserve"> </w:t>
      </w:r>
      <w:r>
        <w:rPr>
          <w:rFonts w:ascii="Arial" w:hAnsi="Arial"/>
          <w:color w:val="000000"/>
          <w:sz w:val="20"/>
        </w:rPr>
        <w:t>This foundational element underpins our global payment network. We have fraud and transaction monitoring tools designed to accommodate multiple industry verticals. We combine this with the application of know-your customer (KYC) and anti-money laundering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pStyle w:val="TextBody"/>
        <w:bidi w:val="0"/>
        <w:spacing w:before="200" w:after="283"/>
        <w:jc w:val="left"/>
        <w:rPr>
          <w:rFonts w:ascii="Arial" w:hAnsi="Arial"/>
          <w:b/>
          <w:i/>
          <w:color w:val="000000"/>
          <w:sz w:val="20"/>
        </w:rPr>
      </w:pPr>
      <w:r>
        <w:rPr>
          <w:rFonts w:ascii="Arial" w:hAnsi="Arial"/>
          <w:b/>
          <w:i/>
          <w:color w:val="000000"/>
          <w:sz w:val="20"/>
        </w:rPr>
        <w:t>Vertical-Specific Software Backed by Deep Industry Expertise</w:t>
      </w:r>
    </w:p>
    <w:p>
      <w:pPr>
        <w:pStyle w:val="TextBody"/>
        <w:bidi w:val="0"/>
        <w:spacing w:before="200" w:after="283"/>
        <w:jc w:val="left"/>
        <w:rPr>
          <w:rFonts w:ascii="Arial" w:hAnsi="Arial"/>
          <w:color w:val="000000"/>
          <w:sz w:val="20"/>
        </w:rPr>
      </w:pPr>
      <w:r>
        <w:rPr>
          <w:rFonts w:ascii="Arial" w:hAnsi="Arial"/>
          <w:color w:val="000000"/>
          <w:sz w:val="20"/>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pStyle w:val="TextBody"/>
        <w:bidi w:val="0"/>
        <w:spacing w:before="200" w:after="283"/>
        <w:jc w:val="left"/>
        <w:rPr>
          <w:rFonts w:ascii="Arial" w:hAnsi="Arial"/>
          <w:color w:val="000000"/>
          <w:sz w:val="20"/>
        </w:rPr>
      </w:pPr>
      <w:r>
        <w:rPr>
          <w:rFonts w:ascii="Arial" w:hAnsi="Arial"/>
          <w:color w:val="000000"/>
          <w:sz w:val="20"/>
        </w:rPr>
        <w:t>We offer deep integration within our clients’ existing apps and workflows for seamless payment acceptance and reconciliation. Our integrations, supported by our application programming interfaces (APIs), include some of the largest and most recognized accounting and enterprise resource planning (ERP) systems, such as Ellucian Company, L.P., Workday, and Tribal in education, Epic Systems Corporation in healthcare, Rezdy Pty Ltd in travel, and Oracle Corporation and Workday in B2B payments. Through these integrations, our clients are able to reduce the number of banks and technology and payment providers on which they rely, while achieving faster settlements and lower wire and transaction fees.</w:t>
      </w:r>
    </w:p>
    <w:p>
      <w:pPr>
        <w:pStyle w:val="TextBody"/>
        <w:bidi w:val="0"/>
        <w:spacing w:before="200" w:after="283"/>
        <w:jc w:val="left"/>
        <w:rPr>
          <w:rFonts w:ascii="Arial" w:hAnsi="Arial"/>
          <w:color w:val="000000"/>
          <w:sz w:val="20"/>
        </w:rPr>
      </w:pPr>
      <w:r>
        <w:rPr>
          <w:rFonts w:ascii="Arial" w:hAnsi="Arial"/>
          <w:color w:val="000000"/>
          <w:sz w:val="20"/>
        </w:rPr>
        <w:t>Specific features of our vertical-specific software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Vertical-specific</w:t>
      </w:r>
      <w:r>
        <w:rPr>
          <w:color w:val="000000"/>
        </w:rPr>
        <w:t xml:space="preserve"> </w:t>
      </w:r>
      <w:r>
        <w:rPr>
          <w:rFonts w:ascii="Arial" w:hAnsi="Arial"/>
          <w:b/>
          <w:color w:val="000000"/>
          <w:sz w:val="20"/>
        </w:rPr>
        <w:t>digital workflows.</w:t>
      </w:r>
      <w:r>
        <w:rPr>
          <w:color w:val="000000"/>
        </w:rPr>
        <w:t xml:space="preserve"> </w:t>
      </w:r>
      <w:r>
        <w:rPr>
          <w:rFonts w:ascii="Arial" w:hAnsi="Arial"/>
          <w:color w:val="000000"/>
          <w:sz w:val="20"/>
        </w:rPr>
        <w:t xml:space="preserve">We help our clients automate the accounts receivable process from creation of an invoice 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w:t>
      </w:r>
    </w:p>
    <w:p>
      <w:pPr>
        <w:pStyle w:val="TextBody"/>
        <w:bidi w:val="0"/>
        <w:spacing w:before="12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outflows by indicating when invoices are delivered, opened, and paid. Our robust reporting tools provide our clients with a real time overview of their business’ payments profile.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Integration and synchronization to core and industry specific systems.</w:t>
      </w:r>
      <w:r>
        <w:rPr>
          <w:color w:val="000000"/>
        </w:rPr>
        <w:t xml:space="preserve"> </w:t>
      </w:r>
      <w:r>
        <w:rPr>
          <w:rFonts w:ascii="Arial" w:hAnsi="Arial"/>
          <w:color w:val="000000"/>
          <w:sz w:val="20"/>
        </w:rPr>
        <w:t>Our software is designed to automate accounts receivable reconciliation by synchronizing customer transactions with our client’s accounting and ERP systems. Our synchronization capabilities substantially reduce double data-entry and increase efficiency.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Real-time access.</w:t>
      </w:r>
      <w:r>
        <w:rPr>
          <w:color w:val="000000"/>
        </w:rPr>
        <w:t xml:space="preserve"> </w:t>
      </w:r>
      <w:r>
        <w:rPr>
          <w:rFonts w:ascii="Arial" w:hAnsi="Arial"/>
          <w:color w:val="000000"/>
          <w:sz w:val="20"/>
        </w:rPr>
        <w:t>By leveraging our data, our clients can access real-time invoice and payment status updates, facilitate seamless communication with customers and easily track payments from their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Predictive analytics.</w:t>
      </w:r>
      <w:r>
        <w:rPr>
          <w:color w:val="000000"/>
        </w:rPr>
        <w:t xml:space="preserve"> </w:t>
      </w:r>
      <w:r>
        <w:rPr>
          <w:rFonts w:ascii="Arial" w:hAnsi="Arial"/>
          <w:color w:val="000000"/>
          <w:sz w:val="20"/>
        </w:rPr>
        <w:t>We have robust predictive analytics capabilities to assess payment transactions across our client base 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pStyle w:val="TextBody"/>
        <w:bidi w:val="0"/>
        <w:spacing w:before="200" w:after="283"/>
        <w:jc w:val="left"/>
        <w:rPr>
          <w:rFonts w:ascii="Arial" w:hAnsi="Arial"/>
          <w:color w:val="000000"/>
          <w:sz w:val="20"/>
        </w:rPr>
      </w:pPr>
      <w:r>
        <w:rPr>
          <w:rFonts w:ascii="Arial" w:hAnsi="Arial"/>
          <w:color w:val="000000"/>
          <w:sz w:val="20"/>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pStyle w:val="TextBody"/>
        <w:bidi w:val="0"/>
        <w:jc w:val="center"/>
        <w:rPr/>
      </w:pPr>
      <w:r>
        <w:rPr/>
        <w:drawing>
          <wp:inline distT="0" distB="0" distL="0" distR="0">
            <wp:extent cx="3362325" cy="402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62325" cy="4029075"/>
                    </a:xfrm>
                    <a:prstGeom prst="rect">
                      <a:avLst/>
                    </a:prstGeom>
                  </pic:spPr>
                </pic:pic>
              </a:graphicData>
            </a:graphic>
          </wp:inline>
        </w:drawing>
      </w:r>
    </w:p>
    <w:p>
      <w:pPr>
        <w:pStyle w:val="TextBody"/>
        <w:bidi w:val="0"/>
        <w:spacing w:before="200" w:after="200"/>
        <w:jc w:val="left"/>
        <w:rPr>
          <w:rFonts w:ascii="Arial" w:hAnsi="Arial"/>
          <w:b/>
          <w:color w:val="000000"/>
          <w:sz w:val="20"/>
        </w:rPr>
      </w:pPr>
      <w:r>
        <w:rPr>
          <w:rFonts w:ascii="Arial" w:hAnsi="Arial"/>
          <w:b/>
          <w:color w:val="000000"/>
          <w:sz w:val="20"/>
        </w:rPr>
        <w:t>Our Industry</w:t>
      </w:r>
    </w:p>
    <w:p>
      <w:pPr>
        <w:pStyle w:val="TextBody"/>
        <w:bidi w:val="0"/>
        <w:jc w:val="left"/>
        <w:rPr>
          <w:rFonts w:ascii="Arial" w:hAnsi="Arial"/>
          <w:color w:val="000000"/>
          <w:sz w:val="20"/>
        </w:rPr>
      </w:pPr>
      <w:r>
        <w:rPr>
          <w:rFonts w:ascii="Arial" w:hAnsi="Arial"/>
          <w:color w:val="000000"/>
          <w:sz w:val="20"/>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pStyle w:val="TextBody"/>
        <w:bidi w:val="0"/>
        <w:spacing w:before="12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Globalization—and the rise of a “borderless” economy—requires global, cross-border and local payment and regulatory expertise</w:t>
      </w:r>
    </w:p>
    <w:p>
      <w:pPr>
        <w:pStyle w:val="TextBody"/>
        <w:bidi w:val="0"/>
        <w:spacing w:before="200" w:after="283"/>
        <w:jc w:val="left"/>
        <w:rPr>
          <w:rFonts w:ascii="Arial" w:hAnsi="Arial"/>
          <w:color w:val="000000"/>
          <w:sz w:val="20"/>
        </w:rPr>
      </w:pPr>
      <w:r>
        <w:rPr>
          <w:rFonts w:ascii="Arial" w:hAnsi="Arial"/>
          <w:color w:val="000000"/>
          <w:sz w:val="20"/>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pStyle w:val="TextBody"/>
        <w:bidi w:val="0"/>
        <w:spacing w:before="200" w:after="283"/>
        <w:jc w:val="left"/>
        <w:rPr>
          <w:rFonts w:ascii="Arial" w:hAnsi="Arial"/>
          <w:color w:val="000000"/>
          <w:sz w:val="20"/>
        </w:rPr>
      </w:pPr>
      <w:r>
        <w:rPr>
          <w:rFonts w:ascii="Arial" w:hAnsi="Arial"/>
          <w:color w:val="000000"/>
          <w:sz w:val="20"/>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pStyle w:val="TextBody"/>
        <w:bidi w:val="0"/>
        <w:spacing w:before="200" w:after="283"/>
        <w:jc w:val="left"/>
        <w:rPr>
          <w:rFonts w:ascii="Arial" w:hAnsi="Arial"/>
          <w:b/>
          <w:i/>
          <w:color w:val="000000"/>
          <w:sz w:val="20"/>
        </w:rPr>
      </w:pPr>
      <w:r>
        <w:rPr>
          <w:rFonts w:ascii="Arial" w:hAnsi="Arial"/>
          <w:b/>
          <w:i/>
          <w:color w:val="000000"/>
          <w:sz w:val="20"/>
        </w:rPr>
        <w:t>The shift to software-integrated digital payments is accelerating</w:t>
      </w:r>
    </w:p>
    <w:p>
      <w:pPr>
        <w:pStyle w:val="TextBody"/>
        <w:bidi w:val="0"/>
        <w:spacing w:before="200" w:after="283"/>
        <w:jc w:val="left"/>
        <w:rPr>
          <w:rFonts w:ascii="Arial" w:hAnsi="Arial"/>
          <w:color w:val="000000"/>
          <w:sz w:val="20"/>
        </w:rPr>
      </w:pPr>
      <w:r>
        <w:rPr>
          <w:rFonts w:ascii="Arial" w:hAnsi="Arial"/>
          <w:color w:val="000000"/>
          <w:sz w:val="20"/>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pStyle w:val="TextBody"/>
        <w:bidi w:val="0"/>
        <w:spacing w:before="200" w:after="283"/>
        <w:jc w:val="left"/>
        <w:rPr>
          <w:rFonts w:ascii="Arial" w:hAnsi="Arial"/>
          <w:b/>
          <w:i/>
          <w:color w:val="000000"/>
          <w:sz w:val="20"/>
        </w:rPr>
      </w:pPr>
      <w:r>
        <w:rPr>
          <w:rFonts w:ascii="Arial" w:hAnsi="Arial"/>
          <w:b/>
          <w:i/>
          <w:color w:val="000000"/>
          <w:sz w:val="20"/>
        </w:rPr>
        <w:t>Legacy payment and accounts receivable management infrastructure has significant limitations and is ripe for innovation</w:t>
      </w:r>
    </w:p>
    <w:p>
      <w:pPr>
        <w:pStyle w:val="TextBody"/>
        <w:bidi w:val="0"/>
        <w:spacing w:before="200" w:after="283"/>
        <w:jc w:val="left"/>
        <w:rPr>
          <w:rFonts w:ascii="Arial" w:hAnsi="Arial"/>
          <w:color w:val="000000"/>
          <w:sz w:val="20"/>
        </w:rPr>
      </w:pPr>
      <w:r>
        <w:rPr>
          <w:rFonts w:ascii="Arial" w:hAnsi="Arial"/>
          <w:color w:val="000000"/>
          <w:sz w:val="20"/>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Paper-based. </w:t>
      </w:r>
      <w:r>
        <w:rPr>
          <w:rFonts w:ascii="Arial" w:hAnsi="Arial"/>
          <w:color w:val="000000"/>
          <w:sz w:val="20"/>
        </w:rPr>
        <w:t>The accounts receivable process, from creation of an invoice to delivery to the customer, is most often still dependent on paper. This paper-based workflow not only results in payment flows that are slow, error-prone, and less secure, but is also costly for businesses. According to studies that we commissioned, 43% of businesses surveyed lost 4-5% of revenue each month due to payment inefficiencies and 76% experience lost opportunity cost due to time spent dealing with accounts receivable challenges. We digitize and automate the accounts receivable process from start to finish, allowing clients to rely on our solutions and save on their accounts receivable transaction and processing costs.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Manual. </w:t>
      </w:r>
      <w:r>
        <w:rPr>
          <w:rFonts w:ascii="Arial" w:hAnsi="Arial"/>
          <w:color w:val="000000"/>
          <w:sz w:val="20"/>
        </w:rPr>
        <w:t>Legacy workflows require manual input of employees at every stage of the accounts receivable process: from opening 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American Productivity and Quality Center (APQC). Our clients can easily leverage our solutions for traditional back-office tasks, with less manual labor involved from start to finish.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Disparate. </w:t>
      </w:r>
      <w:r>
        <w:rPr>
          <w:rFonts w:ascii="Arial" w:hAnsi="Arial"/>
          <w:color w:val="000000"/>
          <w:sz w:val="20"/>
        </w:rPr>
        <w:t>Many businesses deal with multiple accounting and reconciliation systems to process a single transaction flow. 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pStyle w:val="TextBody"/>
        <w:bidi w:val="0"/>
        <w:spacing w:before="12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Lacking functionality and capabilities that drive value. </w:t>
      </w:r>
      <w:r>
        <w:rPr>
          <w:rFonts w:ascii="Arial" w:hAnsi="Arial"/>
          <w:color w:val="000000"/>
          <w:sz w:val="20"/>
        </w:rPr>
        <w:t>A large number of businesses attempt to use their current accounting 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pStyle w:val="TextBody"/>
        <w:bidi w:val="0"/>
        <w:spacing w:before="200" w:after="283"/>
        <w:jc w:val="left"/>
        <w:rPr>
          <w:rFonts w:ascii="Arial" w:hAnsi="Arial"/>
          <w:b/>
          <w:i/>
          <w:color w:val="000000"/>
          <w:sz w:val="20"/>
        </w:rPr>
      </w:pPr>
      <w:r>
        <w:rPr>
          <w:rFonts w:ascii="Arial" w:hAnsi="Arial"/>
          <w:b/>
          <w:i/>
          <w:color w:val="000000"/>
          <w:sz w:val="20"/>
        </w:rPr>
        <w:t>Accelerating digitization of B2B payments</w:t>
      </w:r>
    </w:p>
    <w:p>
      <w:pPr>
        <w:pStyle w:val="TextBody"/>
        <w:bidi w:val="0"/>
        <w:spacing w:before="200" w:after="283"/>
        <w:jc w:val="left"/>
        <w:rPr>
          <w:rFonts w:ascii="Arial" w:hAnsi="Arial"/>
          <w:color w:val="000000"/>
          <w:sz w:val="20"/>
        </w:rPr>
      </w:pPr>
      <w:r>
        <w:rPr>
          <w:rFonts w:ascii="Arial" w:hAnsi="Arial"/>
          <w:color w:val="000000"/>
          <w:sz w:val="20"/>
        </w:rPr>
        <w:t>We believe the B2B payments market remains one of the largest untapped opportunities in the payments industry. Few payments and software companies have a complete invoice-to-cash with embedded payments solution, including accounts receivable software, omni-channel offerings, cross-border capabilities and other value-added services. Most often, providers only offer one or two of these capabilities and require clients to employ other piecemeal point solutions. The unique combination of our unified invoice-to-cash software, backed by our payments platform and proprietary global payment network enables us to design and deliver a comprehensive suite of solutions that help our business clients get paid by their customers.</w:t>
      </w:r>
    </w:p>
    <w:p>
      <w:pPr>
        <w:pStyle w:val="TextBody"/>
        <w:bidi w:val="0"/>
        <w:spacing w:before="200" w:after="283"/>
        <w:jc w:val="left"/>
        <w:rPr>
          <w:rFonts w:ascii="Arial" w:hAnsi="Arial"/>
          <w:b/>
          <w:color w:val="000000"/>
          <w:sz w:val="20"/>
        </w:rPr>
      </w:pPr>
      <w:r>
        <w:rPr>
          <w:rFonts w:ascii="Arial" w:hAnsi="Arial"/>
          <w:b/>
          <w:color w:val="000000"/>
          <w:sz w:val="20"/>
        </w:rPr>
        <w:t>Our Market Opportunity</w:t>
      </w:r>
    </w:p>
    <w:p>
      <w:pPr>
        <w:pStyle w:val="TextBody"/>
        <w:bidi w:val="0"/>
        <w:spacing w:before="200" w:after="283"/>
        <w:jc w:val="left"/>
        <w:rPr>
          <w:rFonts w:ascii="Arial" w:hAnsi="Arial"/>
          <w:color w:val="000000"/>
          <w:sz w:val="20"/>
        </w:rPr>
      </w:pPr>
      <w:r>
        <w:rPr>
          <w:rFonts w:ascii="Arial" w:hAnsi="Arial"/>
          <w:color w:val="000000"/>
          <w:sz w:val="20"/>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pStyle w:val="TextBody"/>
        <w:bidi w:val="0"/>
        <w:spacing w:before="200" w:after="283"/>
        <w:jc w:val="left"/>
        <w:rPr>
          <w:rFonts w:ascii="Arial" w:hAnsi="Arial"/>
          <w:color w:val="000000"/>
          <w:sz w:val="20"/>
        </w:rPr>
      </w:pPr>
      <w:r>
        <w:rPr>
          <w:rFonts w:ascii="Arial" w:hAnsi="Arial"/>
          <w:color w:val="000000"/>
          <w:sz w:val="20"/>
        </w:rPr>
        <w:t>Many industries still lack the digital payments infrastructure that is necessary to meet customer demand and solve operational inefficiencies. For example, the majority of healthcare payments are still made by check. Likewise, in education, budget shortfalls along with rising tuition costs, have added financial strain and created collections problems. Despite these shortfalls, the demand for domestic and cross-border money movement continues to accelerate and global payments present one of the largest market opportunities.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pStyle w:val="TextBody"/>
        <w:bidi w:val="0"/>
        <w:spacing w:before="200" w:after="283"/>
        <w:jc w:val="left"/>
        <w:rPr>
          <w:rFonts w:ascii="Arial" w:hAnsi="Arial"/>
          <w:b/>
          <w:color w:val="000000"/>
          <w:sz w:val="20"/>
        </w:rPr>
      </w:pPr>
      <w:r>
        <w:rPr>
          <w:rFonts w:ascii="Arial" w:hAnsi="Arial"/>
          <w:b/>
          <w:color w:val="000000"/>
          <w:sz w:val="20"/>
        </w:rPr>
        <w:t>Our Growth Strategy</w:t>
      </w:r>
    </w:p>
    <w:p>
      <w:pPr>
        <w:pStyle w:val="TextBody"/>
        <w:bidi w:val="0"/>
        <w:spacing w:before="200" w:after="283"/>
        <w:jc w:val="left"/>
        <w:rPr>
          <w:rFonts w:ascii="Arial" w:hAnsi="Arial"/>
          <w:color w:val="000000"/>
          <w:sz w:val="20"/>
        </w:rPr>
      </w:pPr>
      <w:r>
        <w:rPr>
          <w:rFonts w:ascii="Arial" w:hAnsi="Arial"/>
          <w:color w:val="000000"/>
          <w:sz w:val="20"/>
        </w:rPr>
        <w:t>We believe we have a significant opportunity to build on our success and momentum to date. The key elements of our growth strategy include:</w:t>
      </w:r>
    </w:p>
    <w:p>
      <w:pPr>
        <w:pStyle w:val="TextBody"/>
        <w:bidi w:val="0"/>
        <w:spacing w:before="200" w:after="283"/>
        <w:jc w:val="left"/>
        <w:rPr>
          <w:rFonts w:ascii="Arial" w:hAnsi="Arial"/>
          <w:b/>
          <w:i/>
          <w:color w:val="000000"/>
          <w:sz w:val="20"/>
        </w:rPr>
      </w:pPr>
      <w:r>
        <w:rPr>
          <w:rFonts w:ascii="Arial" w:hAnsi="Arial"/>
          <w:b/>
          <w:i/>
          <w:color w:val="000000"/>
          <w:sz w:val="20"/>
        </w:rPr>
        <w:t>Expand Our Client Reach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Grow with existing clients. </w:t>
      </w:r>
      <w:r>
        <w:rPr>
          <w:rFonts w:ascii="Arial" w:hAnsi="Arial"/>
          <w:color w:val="000000"/>
          <w:sz w:val="20"/>
        </w:rPr>
        <w:t>We intend to continue to become a more integral part of our clients’ businesses as the number of our clients’ customers who utilize our solutions increases. Our track record of organic growth with our clients is demonstrated by our three-year average annual net dollar-based retention rate, which averaged approximately 116% for the years ended December 31, 2023 through December 31, 2025. As our clients transform and digitize their operational workflows, we plan to encourage them to add additional solutions, such as tailored invoicing, payment plans, and eStore marketplace.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Continue to win new clients. </w:t>
      </w:r>
      <w:r>
        <w:rPr>
          <w:rFonts w:ascii="Arial" w:hAnsi="Arial"/>
          <w:color w:val="000000"/>
          <w:sz w:val="20"/>
        </w:rPr>
        <w:t>We plan to expand our sales and marketing efforts to increase brand awareness and highlight the value of our solutions. We believe this will attract new clients to Flywire and as we add more clients, we can accelerate the effects of our flywheel.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Increase payments platform monetization. </w:t>
      </w:r>
      <w:r>
        <w:rPr>
          <w:rFonts w:ascii="Arial" w:hAnsi="Arial"/>
          <w:color w:val="000000"/>
          <w:sz w:val="20"/>
        </w:rPr>
        <w:t xml:space="preserve">We have the opportunity to offer additional complementary payment services to our clients’ customers in support of our clients’ business goals. We intend to leverage our </w:t>
      </w:r>
      <w:r>
        <w:rPr>
          <w:rFonts w:ascii="Arial" w:hAnsi="Arial"/>
          <w:i/>
          <w:color w:val="000000"/>
          <w:sz w:val="20"/>
        </w:rPr>
        <w:t>Flywire Advantage</w:t>
      </w:r>
      <w:r>
        <w:rPr>
          <w:color w:val="000000"/>
        </w:rPr>
        <w:t xml:space="preserve"> </w:t>
      </w:r>
      <w:r>
        <w:rPr>
          <w:rFonts w:ascii="Arial" w:hAnsi="Arial"/>
          <w:color w:val="000000"/>
          <w:sz w:val="20"/>
        </w:rPr>
        <w:t>by expanding the number of use cases we can address such as handling payables in education, business invoices in hospitals, and commissions in travel.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Expand our solution portfolio. </w:t>
      </w:r>
      <w:r>
        <w:rPr>
          <w:rFonts w:ascii="Arial" w:hAnsi="Arial"/>
          <w:color w:val="000000"/>
          <w:sz w:val="20"/>
        </w:rPr>
        <w:t>We expect to continue investing in our solution portfolio by expanding the breadth and depth of our payments and software capabilities.</w:t>
      </w:r>
    </w:p>
    <w:p>
      <w:pPr>
        <w:pStyle w:val="TextBody"/>
        <w:bidi w:val="0"/>
        <w:spacing w:before="12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i/>
          <w:color w:val="000000"/>
          <w:sz w:val="20"/>
        </w:rPr>
      </w:pPr>
      <w:r>
        <w:rPr>
          <w:rFonts w:ascii="Arial" w:hAnsi="Arial"/>
          <w:b/>
          <w:i/>
          <w:color w:val="000000"/>
          <w:sz w:val="20"/>
        </w:rPr>
        <w:t>Expand Our Ecosystem Through Channel Partnerships</w:t>
      </w:r>
    </w:p>
    <w:p>
      <w:pPr>
        <w:pStyle w:val="TextBody"/>
        <w:bidi w:val="0"/>
        <w:spacing w:before="0" w:after="200"/>
        <w:jc w:val="left"/>
        <w:rPr>
          <w:rFonts w:ascii="Arial" w:hAnsi="Arial"/>
          <w:color w:val="000000"/>
          <w:sz w:val="20"/>
        </w:rPr>
      </w:pPr>
      <w:r>
        <w:rPr>
          <w:rFonts w:ascii="Arial" w:hAnsi="Arial"/>
          <w:color w:val="000000"/>
          <w:sz w:val="20"/>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pStyle w:val="TextBody"/>
        <w:bidi w:val="0"/>
        <w:jc w:val="left"/>
        <w:rPr>
          <w:rFonts w:ascii="Arial" w:hAnsi="Arial"/>
          <w:b/>
          <w:i/>
          <w:color w:val="000000"/>
          <w:sz w:val="20"/>
        </w:rPr>
      </w:pPr>
      <w:r>
        <w:rPr>
          <w:rFonts w:ascii="Arial" w:hAnsi="Arial"/>
          <w:b/>
          <w:i/>
          <w:color w:val="000000"/>
          <w:sz w:val="20"/>
        </w:rPr>
        <w:t>Expand to New Verticals and Geographies</w:t>
      </w:r>
    </w:p>
    <w:p>
      <w:pPr>
        <w:pStyle w:val="TextBody"/>
        <w:bidi w:val="0"/>
        <w:spacing w:before="200" w:after="283"/>
        <w:jc w:val="left"/>
        <w:rPr>
          <w:rFonts w:ascii="Times New Roman" w:hAnsi="Times New Roman"/>
          <w:sz w:val="20"/>
        </w:rPr>
      </w:pPr>
      <w:r>
        <w:rPr>
          <w:rFonts w:ascii="Arial" w:hAnsi="Arial"/>
          <w:color w:val="000000"/>
          <w:sz w:val="20"/>
        </w:rPr>
        <w:t xml:space="preserve">We leverage our </w:t>
      </w:r>
      <w:r>
        <w:rPr>
          <w:rFonts w:ascii="Arial" w:hAnsi="Arial"/>
          <w:i/>
          <w:color w:val="000000"/>
          <w:sz w:val="20"/>
        </w:rPr>
        <w:t>Flywire Advantage</w:t>
      </w:r>
      <w:r>
        <w:rPr>
          <w:rFonts w:ascii="Times New Roman" w:hAnsi="Times New Roman"/>
          <w:color w:val="000000"/>
          <w:sz w:val="20"/>
        </w:rPr>
        <w:t xml:space="preserve"> </w:t>
      </w:r>
      <w:r>
        <w:rPr>
          <w:rFonts w:ascii="Arial" w:hAnsi="Arial"/>
          <w:color w:val="000000"/>
          <w:sz w:val="20"/>
        </w:rPr>
        <w:t>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w:t>
      </w:r>
    </w:p>
    <w:p>
      <w:pPr>
        <w:pStyle w:val="TextBody"/>
        <w:bidi w:val="0"/>
        <w:spacing w:before="200" w:after="283"/>
        <w:jc w:val="left"/>
        <w:rPr>
          <w:rFonts w:ascii="Arial" w:hAnsi="Arial"/>
          <w:b/>
          <w:i/>
          <w:color w:val="000000"/>
          <w:sz w:val="20"/>
        </w:rPr>
      </w:pPr>
      <w:r>
        <w:rPr>
          <w:rFonts w:ascii="Arial" w:hAnsi="Arial"/>
          <w:b/>
          <w:i/>
          <w:color w:val="000000"/>
          <w:sz w:val="20"/>
        </w:rPr>
        <w:t>Pursue Strategic and Value-Enhancing Acquisitions</w:t>
      </w:r>
    </w:p>
    <w:p>
      <w:pPr>
        <w:pStyle w:val="TextBody"/>
        <w:bidi w:val="0"/>
        <w:spacing w:before="200" w:after="283"/>
        <w:jc w:val="left"/>
        <w:rPr>
          <w:rFonts w:ascii="Arial" w:hAnsi="Arial"/>
          <w:color w:val="000000"/>
          <w:sz w:val="20"/>
        </w:rPr>
      </w:pPr>
      <w:r>
        <w:rPr>
          <w:rFonts w:ascii="Arial" w:hAnsi="Arial"/>
          <w:color w:val="000000"/>
          <w:sz w:val="20"/>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to date the vast majority of the clients and employees from our StudyLink, Invoiced, and Sertifi acquisitions. We believe our approach and breadth of experience in integrating culturally-aligned businesses position us to maximize the value we derive from future acquisitions.</w:t>
      </w:r>
    </w:p>
    <w:p>
      <w:pPr>
        <w:pStyle w:val="TextBody"/>
        <w:bidi w:val="0"/>
        <w:spacing w:before="200" w:after="283"/>
        <w:jc w:val="left"/>
        <w:rPr>
          <w:rFonts w:ascii="Arial" w:hAnsi="Arial"/>
          <w:b/>
          <w:color w:val="000000"/>
          <w:sz w:val="20"/>
        </w:rPr>
      </w:pPr>
      <w:r>
        <w:rPr>
          <w:rFonts w:ascii="Arial" w:hAnsi="Arial"/>
          <w:b/>
          <w:color w:val="000000"/>
          <w:sz w:val="20"/>
        </w:rPr>
        <w:t>Our Business Model</w:t>
      </w:r>
    </w:p>
    <w:p>
      <w:pPr>
        <w:pStyle w:val="TextBody"/>
        <w:bidi w:val="0"/>
        <w:spacing w:before="200" w:after="283"/>
        <w:jc w:val="left"/>
        <w:rPr>
          <w:rFonts w:ascii="Arial" w:hAnsi="Arial"/>
          <w:color w:val="000000"/>
          <w:sz w:val="20"/>
        </w:rPr>
      </w:pPr>
      <w:r>
        <w:rPr>
          <w:rFonts w:ascii="Arial" w:hAnsi="Arial"/>
          <w:color w:val="000000"/>
          <w:sz w:val="20"/>
        </w:rPr>
        <w:t>We derive revenue from transactions and platform and other revenues. Each new student tuition bill, patient visit, travel journey, and business invoice is an opportunity for us to generate fees.</w:t>
      </w:r>
    </w:p>
    <w:p>
      <w:pPr>
        <w:pStyle w:val="TextBody"/>
        <w:bidi w:val="0"/>
        <w:spacing w:before="200" w:after="283"/>
        <w:jc w:val="left"/>
        <w:rPr>
          <w:rFonts w:ascii="Arial" w:hAnsi="Arial"/>
          <w:color w:val="000000"/>
          <w:sz w:val="20"/>
        </w:rPr>
      </w:pPr>
      <w:r>
        <w:rPr>
          <w:rFonts w:ascii="Arial" w:hAnsi="Arial"/>
          <w:color w:val="000000"/>
          <w:sz w:val="20"/>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pStyle w:val="TextBody"/>
        <w:bidi w:val="0"/>
        <w:spacing w:before="200" w:after="283"/>
        <w:jc w:val="left"/>
        <w:rPr>
          <w:rFonts w:ascii="Arial" w:hAnsi="Arial"/>
          <w:b/>
          <w:color w:val="000000"/>
          <w:sz w:val="20"/>
        </w:rPr>
      </w:pPr>
      <w:r>
        <w:rPr>
          <w:rFonts w:ascii="Arial" w:hAnsi="Arial"/>
          <w:b/>
          <w:color w:val="000000"/>
          <w:sz w:val="20"/>
        </w:rPr>
        <w:t>An Illustration of Our Solution</w:t>
      </w:r>
    </w:p>
    <w:p>
      <w:pPr>
        <w:pStyle w:val="TextBody"/>
        <w:bidi w:val="0"/>
        <w:spacing w:before="200" w:after="283"/>
        <w:jc w:val="left"/>
        <w:rPr>
          <w:rFonts w:ascii="Arial" w:hAnsi="Arial"/>
          <w:color w:val="000000"/>
          <w:sz w:val="20"/>
        </w:rPr>
      </w:pPr>
      <w:r>
        <w:rPr>
          <w:rFonts w:ascii="Arial" w:hAnsi="Arial"/>
          <w:color w:val="000000"/>
          <w:sz w:val="20"/>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pStyle w:val="TextBody"/>
        <w:bidi w:val="0"/>
        <w:spacing w:before="200" w:after="200"/>
        <w:jc w:val="left"/>
        <w:rPr>
          <w:rFonts w:ascii="Times New Roman" w:hAnsi="Times New Roman"/>
          <w:sz w:val="20"/>
        </w:rPr>
      </w:pPr>
      <w:r>
        <w:rPr>
          <w:rFonts w:ascii="Arial" w:hAnsi="Arial"/>
          <w:b/>
          <w:i/>
          <w:color w:val="000000"/>
          <w:sz w:val="20"/>
        </w:rPr>
        <w:t>International Payment Example:</w:t>
      </w:r>
      <w:r>
        <w:rPr>
          <w:rFonts w:ascii="Times New Roman" w:hAnsi="Times New Roman"/>
          <w:color w:val="000000"/>
          <w:sz w:val="20"/>
        </w:rPr>
        <w:t xml:space="preserve"> </w:t>
      </w:r>
      <w:r>
        <w:rPr>
          <w:rFonts w:ascii="Arial" w:hAnsi="Arial"/>
          <w:color w:val="000000"/>
          <w:sz w:val="20"/>
        </w:rPr>
        <w:t>In the first example below, a Chinese student paying their tuition to a Canadian university 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rate exposure, please see “</w:t>
      </w:r>
      <w:r>
        <w:rPr>
          <w:rFonts w:ascii="Arial" w:hAnsi="Arial"/>
          <w:i/>
          <w:color w:val="000000"/>
          <w:sz w:val="20"/>
        </w:rPr>
        <w:t>Management’s Discussion and Analysis of Financial Condition and Results of Operations - Quantitative and Qualitative Disclosures About Market Risk</w:t>
      </w:r>
      <w:r>
        <w:rPr>
          <w:rFonts w:ascii="Times New Roman" w:hAnsi="Times New Roman"/>
          <w:color w:val="000000"/>
          <w:sz w:val="20"/>
        </w:rPr>
        <w:t>”</w:t>
      </w:r>
      <w:r>
        <w:rPr>
          <w:rFonts w:ascii="Arial" w:hAnsi="Arial"/>
          <w:color w:val="000000"/>
          <w:sz w:val="20"/>
        </w:rPr>
        <w:t>.</w:t>
      </w:r>
    </w:p>
    <w:p>
      <w:pPr>
        <w:pStyle w:val="TextBody"/>
        <w:bidi w:val="0"/>
        <w:spacing w:before="12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610100" cy="3419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610100" cy="3419475"/>
                    </a:xfrm>
                    <a:prstGeom prst="rect">
                      <a:avLst/>
                    </a:prstGeom>
                  </pic:spPr>
                </pic:pic>
              </a:graphicData>
            </a:graphic>
          </wp:inline>
        </w:drawing>
      </w:r>
    </w:p>
    <w:p>
      <w:pPr>
        <w:pStyle w:val="TextBody"/>
        <w:bidi w:val="0"/>
        <w:spacing w:before="200" w:after="200"/>
        <w:jc w:val="left"/>
        <w:rPr>
          <w:rFonts w:ascii="Times New Roman" w:hAnsi="Times New Roman"/>
          <w:sz w:val="20"/>
        </w:rPr>
      </w:pPr>
      <w:r>
        <w:rPr>
          <w:rFonts w:ascii="Arial" w:hAnsi="Arial"/>
          <w:b/>
          <w:i/>
          <w:color w:val="000000"/>
          <w:sz w:val="20"/>
        </w:rPr>
        <w:t>Domestic Payment Example</w:t>
      </w:r>
      <w:r>
        <w:rPr>
          <w:rFonts w:ascii="Arial" w:hAnsi="Arial"/>
          <w:b/>
          <w:color w:val="000000"/>
          <w:sz w:val="20"/>
        </w:rPr>
        <w:t>:</w:t>
      </w:r>
      <w:r>
        <w:rPr>
          <w:rFonts w:ascii="Times New Roman" w:hAnsi="Times New Roman"/>
          <w:color w:val="000000"/>
          <w:sz w:val="20"/>
        </w:rPr>
        <w:t xml:space="preserve"> </w:t>
      </w:r>
      <w:r>
        <w:rPr>
          <w:rFonts w:ascii="Arial" w:hAnsi="Arial"/>
          <w:color w:val="000000"/>
          <w:sz w:val="20"/>
        </w:rPr>
        <w:t>The example below illustrates the process of offering payment plans to domestic students, which can be set up by either the school or the student.</w:t>
      </w:r>
    </w:p>
    <w:p>
      <w:pPr>
        <w:pStyle w:val="TextBody"/>
        <w:bidi w:val="0"/>
        <w:jc w:val="center"/>
        <w:rPr/>
      </w:pPr>
      <w:r>
        <w:rPr/>
        <w:drawing>
          <wp:inline distT="0" distB="0" distL="0" distR="0">
            <wp:extent cx="4591050" cy="3019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91050" cy="3019425"/>
                    </a:xfrm>
                    <a:prstGeom prst="rect">
                      <a:avLst/>
                    </a:prstGeom>
                  </pic:spPr>
                </pic:pic>
              </a:graphicData>
            </a:graphic>
          </wp:inline>
        </w:drawing>
      </w:r>
    </w:p>
    <w:p>
      <w:pPr>
        <w:pStyle w:val="TextBody"/>
        <w:bidi w:val="0"/>
        <w:spacing w:before="200" w:after="200"/>
        <w:jc w:val="left"/>
        <w:rPr>
          <w:rFonts w:ascii="Arial" w:hAnsi="Arial"/>
          <w:color w:val="000000"/>
          <w:sz w:val="20"/>
        </w:rPr>
      </w:pPr>
      <w:r>
        <w:rPr>
          <w:rFonts w:ascii="Arial" w:hAnsi="Arial"/>
          <w:color w:val="000000"/>
          <w:sz w:val="20"/>
        </w:rPr>
        <w:t>From the same payments platform, we manage the entire payment process for our clients with the only difference being the type of payment offering selected to meet the needs of their customers, whether that be international or domestic.</w:t>
      </w:r>
    </w:p>
    <w:p>
      <w:pPr>
        <w:pStyle w:val="TextBody"/>
        <w:bidi w:val="0"/>
        <w:spacing w:before="0" w:after="200"/>
        <w:jc w:val="left"/>
        <w:rPr>
          <w:rFonts w:ascii="Arial" w:hAnsi="Arial"/>
          <w:b/>
          <w:color w:val="000000"/>
          <w:sz w:val="20"/>
        </w:rPr>
      </w:pPr>
      <w:r>
        <w:rPr>
          <w:rFonts w:ascii="Arial" w:hAnsi="Arial"/>
          <w:b/>
          <w:color w:val="000000"/>
          <w:sz w:val="20"/>
        </w:rPr>
        <w:t>Our Go-To-Market Strategy</w:t>
      </w:r>
    </w:p>
    <w:p>
      <w:pPr>
        <w:pStyle w:val="TextBody"/>
        <w:bidi w:val="0"/>
        <w:jc w:val="left"/>
        <w:rPr>
          <w:rFonts w:ascii="Times New Roman" w:hAnsi="Times New Roman"/>
          <w:sz w:val="20"/>
        </w:rPr>
      </w:pPr>
      <w:r>
        <w:rPr>
          <w:rFonts w:ascii="Arial" w:hAnsi="Arial"/>
          <w:color w:val="000000"/>
          <w:sz w:val="20"/>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pStyle w:val="TextBody"/>
        <w:bidi w:val="0"/>
        <w:spacing w:before="200" w:after="283"/>
        <w:jc w:val="left"/>
        <w:rPr>
          <w:rFonts w:ascii="Arial" w:hAnsi="Arial"/>
          <w:color w:val="000000"/>
          <w:sz w:val="20"/>
        </w:rPr>
      </w:pPr>
      <w:r>
        <w:rPr>
          <w:rFonts w:ascii="Arial" w:hAnsi="Arial"/>
          <w:color w:val="000000"/>
          <w:sz w:val="20"/>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pStyle w:val="TextBody"/>
        <w:bidi w:val="0"/>
        <w:spacing w:before="200" w:after="283"/>
        <w:jc w:val="left"/>
        <w:rPr>
          <w:rFonts w:ascii="Arial" w:hAnsi="Arial"/>
          <w:color w:val="000000"/>
          <w:sz w:val="20"/>
        </w:rPr>
      </w:pPr>
      <w:r>
        <w:rPr>
          <w:rFonts w:ascii="Arial" w:hAnsi="Arial"/>
          <w:color w:val="000000"/>
          <w:sz w:val="20"/>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pStyle w:val="TextBody"/>
        <w:bidi w:val="0"/>
        <w:spacing w:before="200" w:after="283"/>
        <w:jc w:val="left"/>
        <w:rPr>
          <w:rFonts w:ascii="Arial" w:hAnsi="Arial"/>
          <w:color w:val="000000"/>
          <w:sz w:val="20"/>
        </w:rPr>
      </w:pPr>
      <w:r>
        <w:rPr>
          <w:rFonts w:ascii="Arial" w:hAnsi="Arial"/>
          <w:color w:val="000000"/>
          <w:sz w:val="20"/>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PLC and Oracle Heath, Inc. Additionally, Flywire has integrations with leading accounting and ERP systems, such as Workday, Oracle Corporation, Ellucian Company, L.P., Epic Systems Corporation, and Rezdy Pty Ltd.</w:t>
      </w:r>
    </w:p>
    <w:p>
      <w:pPr>
        <w:pStyle w:val="TextBody"/>
        <w:bidi w:val="0"/>
        <w:spacing w:before="200" w:after="283"/>
        <w:jc w:val="left"/>
        <w:rPr>
          <w:rFonts w:ascii="Arial" w:hAnsi="Arial"/>
          <w:b/>
          <w:color w:val="000000"/>
          <w:sz w:val="20"/>
        </w:rPr>
      </w:pPr>
      <w:r>
        <w:rPr>
          <w:rFonts w:ascii="Arial" w:hAnsi="Arial"/>
          <w:b/>
          <w:color w:val="000000"/>
          <w:sz w:val="20"/>
        </w:rPr>
        <w:t>Our Technology and Architecture</w:t>
      </w:r>
    </w:p>
    <w:p>
      <w:pPr>
        <w:pStyle w:val="TextBody"/>
        <w:bidi w:val="0"/>
        <w:spacing w:before="200" w:after="283"/>
        <w:jc w:val="left"/>
        <w:rPr>
          <w:rFonts w:ascii="Times New Roman" w:hAnsi="Times New Roman"/>
          <w:sz w:val="20"/>
        </w:rPr>
      </w:pPr>
      <w:r>
        <w:rPr>
          <w:rFonts w:ascii="Arial" w:hAnsi="Arial"/>
          <w:color w:val="000000"/>
          <w:sz w:val="20"/>
        </w:rPr>
        <w:t xml:space="preserve">Our unified technology is at the core of our </w:t>
      </w:r>
      <w:r>
        <w:rPr>
          <w:rFonts w:ascii="Arial" w:hAnsi="Arial"/>
          <w:i/>
          <w:color w:val="000000"/>
          <w:sz w:val="20"/>
        </w:rPr>
        <w:t>Flywire Advantage</w:t>
      </w:r>
      <w:r>
        <w:rPr>
          <w:rFonts w:ascii="Arial" w:hAnsi="Arial"/>
          <w:color w:val="000000"/>
          <w:sz w:val="20"/>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pStyle w:val="TextBody"/>
        <w:bidi w:val="0"/>
        <w:spacing w:before="200" w:after="283"/>
        <w:jc w:val="left"/>
        <w:rPr>
          <w:rFonts w:ascii="Arial" w:hAnsi="Arial"/>
          <w:color w:val="000000"/>
          <w:sz w:val="20"/>
        </w:rPr>
      </w:pPr>
      <w:r>
        <w:rPr>
          <w:rFonts w:ascii="Arial" w:hAnsi="Arial"/>
          <w:color w:val="000000"/>
          <w:sz w:val="20"/>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pStyle w:val="TextBody"/>
        <w:bidi w:val="0"/>
        <w:spacing w:before="12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Our technology stack is comprised of the following:</w:t>
      </w:r>
    </w:p>
    <w:p>
      <w:pPr>
        <w:pStyle w:val="TextBody"/>
        <w:bidi w:val="0"/>
        <w:jc w:val="center"/>
        <w:rPr/>
      </w:pPr>
      <w:r>
        <w:rPr/>
        <w:drawing>
          <wp:inline distT="0" distB="0" distL="0" distR="0">
            <wp:extent cx="6858000" cy="3514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514725"/>
                    </a:xfrm>
                    <a:prstGeom prst="rect">
                      <a:avLst/>
                    </a:prstGeom>
                  </pic:spPr>
                </pic:pic>
              </a:graphicData>
            </a:graphic>
          </wp:inline>
        </w:drawing>
      </w:r>
    </w:p>
    <w:p>
      <w:pPr>
        <w:pStyle w:val="TextBody"/>
        <w:bidi w:val="0"/>
        <w:jc w:val="left"/>
        <w:rPr>
          <w:rFonts w:ascii="Arial" w:hAnsi="Arial"/>
          <w:b/>
          <w:i/>
          <w:color w:val="000000"/>
          <w:sz w:val="20"/>
        </w:rPr>
      </w:pPr>
      <w:r>
        <w:rPr>
          <w:rFonts w:ascii="Arial" w:hAnsi="Arial"/>
          <w:b/>
          <w:i/>
          <w:color w:val="000000"/>
          <w:sz w:val="20"/>
        </w:rPr>
        <w:t>Payments-as-a-Service</w:t>
      </w:r>
    </w:p>
    <w:p>
      <w:pPr>
        <w:pStyle w:val="TextBody"/>
        <w:bidi w:val="0"/>
        <w:spacing w:before="200" w:after="283"/>
        <w:jc w:val="left"/>
        <w:rPr>
          <w:rFonts w:ascii="Arial" w:hAnsi="Arial"/>
          <w:color w:val="000000"/>
          <w:sz w:val="20"/>
        </w:rPr>
      </w:pPr>
      <w:r>
        <w:rPr>
          <w:rFonts w:ascii="Arial" w:hAnsi="Arial"/>
          <w:color w:val="000000"/>
          <w:sz w:val="20"/>
        </w:rPr>
        <w:t>Our next-gen payments platform includes the infrastructure required to support more than just simple money flows: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Payment services</w:t>
      </w:r>
      <w:r>
        <w:rPr>
          <w:rFonts w:ascii="Arial" w:hAnsi="Arial"/>
          <w:color w:val="000000"/>
          <w:sz w:val="20"/>
        </w:rPr>
        <w:t>. Our technology to capture the payment from our clients’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Enabling services</w:t>
      </w:r>
      <w:r>
        <w:rPr>
          <w:rFonts w:ascii="Arial" w:hAnsi="Arial"/>
          <w:color w:val="000000"/>
          <w:sz w:val="20"/>
        </w:rPr>
        <w:t>. Our proprietary pricing engine, foreign currency exchange hedging infrastructure, and ML and AI technology to manage fraud and AML risk.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Transaction processing services</w:t>
      </w:r>
      <w:r>
        <w:rPr>
          <w:rFonts w:ascii="Arial" w:hAnsi="Arial"/>
          <w:color w:val="000000"/>
          <w:sz w:val="20"/>
        </w:rPr>
        <w:t>. Our routing capabilities enabled by our automated technology to deliver on-time payments to the appropriate destination.</w:t>
      </w:r>
    </w:p>
    <w:p>
      <w:pPr>
        <w:pStyle w:val="TextBody"/>
        <w:bidi w:val="0"/>
        <w:spacing w:before="200" w:after="283"/>
        <w:jc w:val="left"/>
        <w:rPr>
          <w:rFonts w:ascii="Arial" w:hAnsi="Arial"/>
          <w:b/>
          <w:i/>
          <w:color w:val="000000"/>
          <w:sz w:val="20"/>
        </w:rPr>
      </w:pPr>
      <w:r>
        <w:rPr>
          <w:rFonts w:ascii="Arial" w:hAnsi="Arial"/>
          <w:b/>
          <w:i/>
          <w:color w:val="000000"/>
          <w:sz w:val="20"/>
        </w:rPr>
        <w:t>Software-as-a-Service</w:t>
      </w:r>
    </w:p>
    <w:p>
      <w:pPr>
        <w:pStyle w:val="TextBody"/>
        <w:bidi w:val="0"/>
        <w:spacing w:before="200" w:after="283"/>
        <w:jc w:val="left"/>
        <w:rPr>
          <w:rFonts w:ascii="Arial" w:hAnsi="Arial"/>
          <w:color w:val="000000"/>
          <w:sz w:val="20"/>
        </w:rPr>
      </w:pPr>
      <w:r>
        <w:rPr>
          <w:rFonts w:ascii="Arial" w:hAnsi="Arial"/>
          <w:color w:val="000000"/>
          <w:sz w:val="20"/>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is delivered as a software solution and leverages our AI and ML and deep analytics systems.</w:t>
      </w:r>
    </w:p>
    <w:p>
      <w:pPr>
        <w:pStyle w:val="TextBody"/>
        <w:bidi w:val="0"/>
        <w:spacing w:before="200" w:after="283"/>
        <w:jc w:val="left"/>
        <w:rPr>
          <w:rFonts w:ascii="Arial" w:hAnsi="Arial"/>
          <w:b/>
          <w:i/>
          <w:color w:val="000000"/>
          <w:sz w:val="20"/>
        </w:rPr>
      </w:pPr>
      <w:r>
        <w:rPr>
          <w:rFonts w:ascii="Arial" w:hAnsi="Arial"/>
          <w:b/>
          <w:i/>
          <w:color w:val="000000"/>
          <w:sz w:val="20"/>
        </w:rPr>
        <w:t>Public Application Programming Interface (API)</w:t>
      </w:r>
    </w:p>
    <w:p>
      <w:pPr>
        <w:pStyle w:val="TextBody"/>
        <w:bidi w:val="0"/>
        <w:spacing w:before="200" w:after="283"/>
        <w:jc w:val="left"/>
        <w:rPr>
          <w:rFonts w:ascii="Arial" w:hAnsi="Arial"/>
          <w:color w:val="000000"/>
          <w:sz w:val="20"/>
        </w:rPr>
      </w:pPr>
      <w:r>
        <w:rPr>
          <w:rFonts w:ascii="Arial" w:hAnsi="Arial"/>
          <w:color w:val="000000"/>
          <w:sz w:val="20"/>
        </w:rPr>
        <w:t>We have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pStyle w:val="TextBody"/>
        <w:bidi w:val="0"/>
        <w:spacing w:before="200" w:after="283"/>
        <w:jc w:val="left"/>
        <w:rPr>
          <w:rFonts w:ascii="Arial" w:hAnsi="Arial"/>
          <w:color w:val="000000"/>
          <w:sz w:val="20"/>
        </w:rPr>
      </w:pPr>
      <w:r>
        <w:rPr>
          <w:rFonts w:ascii="Arial" w:hAnsi="Arial"/>
          <w:color w:val="000000"/>
          <w:sz w:val="20"/>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Amazon Web Services (AWS) for our cloud redundancy, and tools such Pingdom, Cloudflare, and PagerDuty for an uninterrupted experience for our clients and their customers.</w:t>
      </w:r>
    </w:p>
    <w:p>
      <w:pPr>
        <w:pStyle w:val="TextBody"/>
        <w:bidi w:val="0"/>
        <w:spacing w:before="12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r>
        <w:rPr>
          <w:rFonts w:ascii="Arial" w:hAnsi="Arial"/>
          <w:b/>
          <w:color w:val="000000"/>
          <w:sz w:val="20"/>
        </w:rPr>
        <w:t>Our Compliance and Risk Management Foundation</w:t>
      </w:r>
    </w:p>
    <w:p>
      <w:pPr>
        <w:pStyle w:val="TextBody"/>
        <w:bidi w:val="0"/>
        <w:spacing w:before="200" w:after="283"/>
        <w:jc w:val="left"/>
        <w:rPr>
          <w:rFonts w:ascii="Times New Roman" w:hAnsi="Times New Roman"/>
          <w:sz w:val="20"/>
        </w:rPr>
      </w:pPr>
      <w:r>
        <w:rPr>
          <w:rFonts w:ascii="Arial" w:hAnsi="Arial"/>
          <w:color w:val="000000"/>
          <w:sz w:val="20"/>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w:t>
      </w:r>
      <w:r>
        <w:rPr>
          <w:rFonts w:ascii="Times New Roman" w:hAnsi="Times New Roman"/>
          <w:color w:val="FF0000"/>
          <w:sz w:val="20"/>
        </w:rPr>
        <w:t xml:space="preserve"> </w:t>
      </w:r>
      <w:r>
        <w:rPr>
          <w:rFonts w:ascii="Arial" w:hAnsi="Arial"/>
          <w:color w:val="000000"/>
          <w:sz w:val="20"/>
        </w:rPr>
        <w:t>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third-party certifications for Service Organization Control 2 (both SOC 1, Type II and SOC 2, Type II), Payment Card Industry Data Security Standard (PCI DSS), and Americans with Disabilities Act (ADA) compliance, HITRUST Common Security Framework certification (particularly relevant to our healthcare vertical), as well as systems and processes designed to ensure compliance with the General Data Protection Regulation (GDPR) in Europe, the Data Security Law (DSL) and Personal Information Protection Law (PIPL) in China, the California Consumer Protection Act (CCPA), the Personal Information Protection and Electronic Documents Act (PIPEDA) in Canada, Family Educational Rights and Privacy Act (FERPA), and Health Insurance Portability and Accountability Act (HIPAA), among others.</w:t>
      </w:r>
    </w:p>
    <w:p>
      <w:pPr>
        <w:pStyle w:val="TextBody"/>
        <w:bidi w:val="0"/>
        <w:spacing w:before="200" w:after="283"/>
        <w:jc w:val="left"/>
        <w:rPr>
          <w:rFonts w:ascii="Arial" w:hAnsi="Arial"/>
          <w:color w:val="000000"/>
          <w:sz w:val="20"/>
        </w:rPr>
      </w:pPr>
      <w:r>
        <w:rPr>
          <w:rFonts w:ascii="Arial" w:hAnsi="Arial"/>
          <w:color w:val="000000"/>
          <w:sz w:val="20"/>
        </w:rPr>
        <w:t>Our experienced team, coupled with our advanced technology and software tools, helps us navigate the challenges of global payments in a compliant manner: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Local and global regulatory regimes</w:t>
      </w:r>
      <w:r>
        <w:rPr>
          <w:rFonts w:ascii="Arial" w:hAnsi="Arial"/>
          <w:i/>
          <w:color w:val="000000"/>
          <w:sz w:val="20"/>
        </w:rPr>
        <w:t>.</w:t>
      </w:r>
      <w:r>
        <w:rPr>
          <w:color w:val="000000"/>
        </w:rPr>
        <w:t xml:space="preserve"> </w:t>
      </w:r>
      <w:r>
        <w:rPr>
          <w:rFonts w:ascii="Arial" w:hAnsi="Arial"/>
          <w:color w:val="000000"/>
          <w:sz w:val="20"/>
        </w:rPr>
        <w:t>We believe we are able to react nimbly to global and local regulatory changes that affect our business.</w:t>
      </w:r>
    </w:p>
    <w:p>
      <w:pPr>
        <w:pStyle w:val="TextBody"/>
        <w:bidi w:val="0"/>
        <w:spacing w:before="120" w:after="283"/>
        <w:jc w:val="left"/>
        <w:rPr>
          <w:rFonts w:ascii="Arial" w:hAnsi="Arial"/>
          <w:color w:val="000000"/>
          <w:sz w:val="20"/>
        </w:rPr>
      </w:pPr>
      <w:r>
        <w:rPr>
          <w:rFonts w:ascii="Arial" w:hAnsi="Arial"/>
          <w:color w:val="000000"/>
          <w:sz w:val="20"/>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Currency controls and exemptions</w:t>
      </w:r>
      <w:r>
        <w:rPr>
          <w:rFonts w:ascii="Arial" w:hAnsi="Arial"/>
          <w:i/>
          <w:color w:val="000000"/>
          <w:sz w:val="20"/>
        </w:rPr>
        <w:t>.</w:t>
      </w:r>
      <w:r>
        <w:rPr>
          <w:color w:val="000000"/>
        </w:rPr>
        <w:t xml:space="preserve"> </w:t>
      </w:r>
      <w:r>
        <w:rPr>
          <w:rFonts w:ascii="Arial" w:hAnsi="Arial"/>
          <w:color w:val="000000"/>
          <w:sz w:val="20"/>
        </w:rPr>
        <w:t>We have developed robust controls designed to comply with the requirements of handling cross-border payments. For example, in certain jurisdictions where it is required, we are able to help track and prove purpose-driven payments through digital document collection and verification integrated with our clients’ systems.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Transaction-level risks</w:t>
      </w:r>
      <w:r>
        <w:rPr>
          <w:rFonts w:ascii="Arial" w:hAnsi="Arial"/>
          <w:i/>
          <w:color w:val="000000"/>
          <w:sz w:val="20"/>
        </w:rPr>
        <w:t>.</w:t>
      </w:r>
      <w:r>
        <w:rPr>
          <w:color w:val="000000"/>
        </w:rPr>
        <w:t xml:space="preserve"> </w:t>
      </w:r>
      <w:r>
        <w:rPr>
          <w:rFonts w:ascii="Arial" w:hAnsi="Arial"/>
          <w:color w:val="000000"/>
          <w:sz w:val="20"/>
        </w:rPr>
        <w:t>Our payments platform subjects payments to a series of controls, to mitigate the risk of facilitating 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Dedicated, experienced and globally dispersed risk, information/physical security and internal audit function</w:t>
      </w:r>
      <w:r>
        <w:rPr>
          <w:rFonts w:ascii="Arial" w:hAnsi="Arial"/>
          <w:color w:val="000000"/>
          <w:sz w:val="20"/>
        </w:rPr>
        <w:t>. We have consistently maintained a dedicated risk and security team – led by our Chief Information Security Officer – that is global in nature and devises and supports Flywire’s strategy of risk reduction and business process and information protection excellence by assuring confidentiality, integrity and availability of electronic information. We have also developed an internal audit program utilizing internal and external auditors focused on policies and processes, testing our controls, and reporting on a regular basis to our Audit Committee. Among the focal points are the risk and security program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risk mitigation through outreach, awareness, internal training, assessment, policy development, and adoption of best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building and maintaining secure access protocols and network architecture;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monitoring of networks and systems to protect against, detect and eradicate malicious activity and ensure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managing continuity of operations planning for critical information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responding to security breaches to contain incidents and improve protocols;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regulatory “horizon scanning” and managing and enforcing compliance with global regulations (Sarbanes-Oxley, FERPA, PIPEDA, HIPAA, GDPR, ADA, and others);</w:t>
      </w:r>
    </w:p>
    <w:p>
      <w:pPr>
        <w:pStyle w:val="TextBody"/>
        <w:bidi w:val="0"/>
        <w:spacing w:before="12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managing physical security, health and safety (office, business travel and FlyMates);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developing and enforcing our vendor due diligence program;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responding to external audits and law enforcement enquiries, conducting internal investigations, and maintaining audit-tested risk and security certifications.</w:t>
      </w:r>
    </w:p>
    <w:p>
      <w:pPr>
        <w:pStyle w:val="TextBody"/>
        <w:bidi w:val="0"/>
        <w:spacing w:before="200" w:after="283"/>
        <w:jc w:val="left"/>
        <w:rPr>
          <w:rFonts w:ascii="Arial" w:hAnsi="Arial"/>
          <w:color w:val="000000"/>
          <w:sz w:val="20"/>
        </w:rPr>
      </w:pPr>
      <w:r>
        <w:rPr>
          <w:rFonts w:ascii="Arial" w:hAnsi="Arial"/>
          <w:color w:val="000000"/>
          <w:sz w:val="20"/>
        </w:rPr>
        <w:t>To support these areas of focus, our risk and security team has developed a foundation resting on an appropriate governance and policy structure, robust and scalable security architecture and solutions, frequent internal training of FlyMates and an expansive and continuous cyber security and incident response framework. In addition, we have FlyMates in the compliance and risk management function located around the world where we have operations to address the needs of the business in real-time.</w:t>
      </w:r>
    </w:p>
    <w:p>
      <w:pPr>
        <w:pStyle w:val="TextBody"/>
        <w:bidi w:val="0"/>
        <w:spacing w:before="200" w:after="283"/>
        <w:jc w:val="left"/>
        <w:rPr>
          <w:rFonts w:ascii="Arial" w:hAnsi="Arial"/>
          <w:b/>
          <w:color w:val="000000"/>
          <w:sz w:val="20"/>
        </w:rPr>
      </w:pPr>
      <w:r>
        <w:rPr>
          <w:rFonts w:ascii="Arial" w:hAnsi="Arial"/>
          <w:b/>
          <w:color w:val="000000"/>
          <w:sz w:val="20"/>
        </w:rPr>
        <w:t>Competition</w:t>
      </w:r>
    </w:p>
    <w:p>
      <w:pPr>
        <w:pStyle w:val="TextBody"/>
        <w:bidi w:val="0"/>
        <w:spacing w:before="200" w:after="283"/>
        <w:jc w:val="left"/>
        <w:rPr>
          <w:rFonts w:ascii="Arial" w:hAnsi="Arial"/>
          <w:color w:val="000000"/>
          <w:sz w:val="20"/>
        </w:rPr>
      </w:pPr>
      <w:r>
        <w:rPr>
          <w:rFonts w:ascii="Arial" w:hAnsi="Arial"/>
          <w:color w:val="000000"/>
          <w:sz w:val="20"/>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pStyle w:val="TextBody"/>
        <w:bidi w:val="0"/>
        <w:spacing w:before="200" w:after="283"/>
        <w:jc w:val="left"/>
        <w:rPr>
          <w:rFonts w:ascii="Arial" w:hAnsi="Arial"/>
          <w:color w:val="000000"/>
          <w:sz w:val="20"/>
        </w:rPr>
      </w:pPr>
      <w:r>
        <w:rPr>
          <w:rFonts w:ascii="Arial" w:hAnsi="Arial"/>
          <w:color w:val="000000"/>
          <w:sz w:val="20"/>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friction in client and customer experiences;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lack of a scaled global network;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limited software and payments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inability to adapt to new technology;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unsophisticated fraud prevention and risk management tools.</w:t>
      </w:r>
    </w:p>
    <w:p>
      <w:pPr>
        <w:pStyle w:val="TextBody"/>
        <w:bidi w:val="0"/>
        <w:spacing w:before="200" w:after="283"/>
        <w:jc w:val="left"/>
        <w:rPr>
          <w:rFonts w:ascii="Arial" w:hAnsi="Arial"/>
          <w:color w:val="000000"/>
          <w:sz w:val="20"/>
        </w:rPr>
      </w:pPr>
      <w:r>
        <w:rPr>
          <w:rFonts w:ascii="Arial" w:hAnsi="Arial"/>
          <w:color w:val="000000"/>
          <w:sz w:val="20"/>
        </w:rPr>
        <w:t>We believe that we compete favorably on the basis of these factors.</w:t>
      </w:r>
    </w:p>
    <w:p>
      <w:pPr>
        <w:pStyle w:val="TextBody"/>
        <w:bidi w:val="0"/>
        <w:spacing w:before="200" w:after="283"/>
        <w:jc w:val="left"/>
        <w:rPr>
          <w:rFonts w:ascii="Arial" w:hAnsi="Arial"/>
          <w:b/>
          <w:color w:val="000000"/>
          <w:sz w:val="20"/>
        </w:rPr>
      </w:pPr>
      <w:r>
        <w:rPr>
          <w:rFonts w:ascii="Arial" w:hAnsi="Arial"/>
          <w:b/>
          <w:color w:val="000000"/>
          <w:sz w:val="20"/>
        </w:rPr>
        <w:t>Intellectual Property</w:t>
      </w:r>
    </w:p>
    <w:p>
      <w:pPr>
        <w:pStyle w:val="TextBody"/>
        <w:bidi w:val="0"/>
        <w:spacing w:before="200" w:after="283"/>
        <w:jc w:val="left"/>
        <w:rPr>
          <w:rFonts w:ascii="Arial" w:hAnsi="Arial"/>
          <w:color w:val="000000"/>
          <w:sz w:val="20"/>
        </w:rPr>
      </w:pPr>
      <w:r>
        <w:rPr>
          <w:rFonts w:ascii="Arial" w:hAnsi="Arial"/>
          <w:color w:val="000000"/>
          <w:sz w:val="20"/>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FlyMates, consultants and contractors and with parties with whom we do business in order to acquire intellectual property rights developed as a result of service to Flywire, as well as to limit access to and disclosure of our proprietary information.</w:t>
      </w:r>
    </w:p>
    <w:p>
      <w:pPr>
        <w:pStyle w:val="TextBody"/>
        <w:bidi w:val="0"/>
        <w:spacing w:before="200" w:after="283"/>
        <w:jc w:val="left"/>
        <w:rPr>
          <w:rFonts w:ascii="Arial" w:hAnsi="Arial"/>
          <w:color w:val="000000"/>
          <w:sz w:val="20"/>
        </w:rPr>
      </w:pPr>
      <w:r>
        <w:rPr>
          <w:rFonts w:ascii="Arial" w:hAnsi="Arial"/>
          <w:color w:val="000000"/>
          <w:sz w:val="20"/>
        </w:rPr>
        <w:t>We actively pursue registration of our trademarks, logos, service marks, trade dress, and domain names in the United States and in other jurisdictions. As of December 31, 2025, we had 122 registered trademarks and trademark applications, and were the registered holder of a variety of U.S. and international domain names.</w:t>
      </w:r>
    </w:p>
    <w:p>
      <w:pPr>
        <w:pStyle w:val="TextBody"/>
        <w:bidi w:val="0"/>
        <w:spacing w:before="200" w:after="283"/>
        <w:jc w:val="left"/>
        <w:rPr>
          <w:rFonts w:ascii="Arial" w:hAnsi="Arial"/>
          <w:color w:val="000000"/>
          <w:sz w:val="20"/>
        </w:rPr>
      </w:pPr>
      <w:r>
        <w:rPr>
          <w:rFonts w:ascii="Arial" w:hAnsi="Arial"/>
          <w:color w:val="000000"/>
          <w:sz w:val="20"/>
        </w:rPr>
        <w:t>From time to time, we also incorporate certain intellectual property licensed from third-parties. Even if any such third-party technology was not available to us on commercially reasonable terms, we believe that alternative technologies would be available as needed.</w:t>
      </w:r>
    </w:p>
    <w:p>
      <w:pPr>
        <w:pStyle w:val="TextBody"/>
        <w:bidi w:val="0"/>
        <w:spacing w:before="200" w:after="283"/>
        <w:jc w:val="left"/>
        <w:rPr>
          <w:rFonts w:ascii="Times New Roman" w:hAnsi="Times New Roman"/>
          <w:sz w:val="20"/>
        </w:rPr>
      </w:pPr>
      <w:r>
        <w:rPr>
          <w:rFonts w:ascii="Arial" w:hAnsi="Arial"/>
          <w:color w:val="000000"/>
          <w:sz w:val="20"/>
        </w:rPr>
        <w:t>For additional information about our intellectual property and associated risks, see the section titled “</w:t>
      </w:r>
      <w:r>
        <w:rPr>
          <w:rFonts w:ascii="Arial" w:hAnsi="Arial"/>
          <w:i/>
          <w:color w:val="000000"/>
          <w:sz w:val="20"/>
        </w:rPr>
        <w:t>Risk Factors–If we fail to adequately protect our proprietary rights, our competitive position could be impaired and we may lose valuable assets, generate less revenue and incur costly litigation to protect our rights</w:t>
      </w:r>
      <w:r>
        <w:rPr>
          <w:rFonts w:ascii="Arial" w:hAnsi="Arial"/>
          <w:color w:val="000000"/>
          <w:sz w:val="20"/>
        </w:rPr>
        <w:t>.”</w:t>
      </w:r>
    </w:p>
    <w:p>
      <w:pPr>
        <w:pStyle w:val="TextBody"/>
        <w:bidi w:val="0"/>
        <w:spacing w:before="200" w:after="283"/>
        <w:jc w:val="left"/>
        <w:rPr>
          <w:rFonts w:ascii="Arial" w:hAnsi="Arial"/>
          <w:b/>
          <w:color w:val="000000"/>
          <w:sz w:val="20"/>
        </w:rPr>
      </w:pPr>
      <w:r>
        <w:rPr>
          <w:rFonts w:ascii="Arial" w:hAnsi="Arial"/>
          <w:b/>
          <w:color w:val="000000"/>
          <w:sz w:val="20"/>
        </w:rPr>
        <w:t>Regulation and Industry Standards</w:t>
      </w:r>
    </w:p>
    <w:p>
      <w:pPr>
        <w:pStyle w:val="TextBody"/>
        <w:bidi w:val="0"/>
        <w:spacing w:before="200" w:after="283"/>
        <w:jc w:val="left"/>
        <w:rPr>
          <w:rFonts w:ascii="Times New Roman" w:hAnsi="Times New Roman"/>
          <w:sz w:val="20"/>
        </w:rPr>
      </w:pPr>
      <w:r>
        <w:rPr>
          <w:rFonts w:ascii="Arial" w:hAnsi="Arial"/>
          <w:color w:val="000000"/>
          <w:sz w:val="20"/>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These descriptions are not exhaustive, and these laws, regulations and rules frequently change, are subject to differing interpretations or enforcement, and are increasing in number.</w:t>
      </w:r>
    </w:p>
    <w:p>
      <w:pPr>
        <w:pStyle w:val="TextBody"/>
        <w:bidi w:val="0"/>
        <w:spacing w:before="200" w:after="283"/>
        <w:jc w:val="left"/>
        <w:rPr>
          <w:rFonts w:ascii="Arial" w:hAnsi="Arial"/>
          <w:color w:val="000000"/>
          <w:sz w:val="20"/>
        </w:rPr>
      </w:pPr>
      <w:r>
        <w:rPr>
          <w:rFonts w:ascii="Arial" w:hAnsi="Arial"/>
          <w:color w:val="000000"/>
          <w:sz w:val="20"/>
        </w:rPr>
        <w:t>We are registered as a Money Service Business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pStyle w:val="TextBody"/>
        <w:bidi w:val="0"/>
        <w:spacing w:before="200" w:after="283"/>
        <w:jc w:val="left"/>
        <w:rPr>
          <w:rFonts w:ascii="Arial" w:hAnsi="Arial"/>
          <w:color w:val="000000"/>
          <w:sz w:val="20"/>
        </w:rPr>
      </w:pPr>
      <w:r>
        <w:rPr>
          <w:rFonts w:ascii="Arial" w:hAnsi="Arial"/>
          <w:color w:val="000000"/>
          <w:sz w:val="20"/>
        </w:rPr>
        <w:t>The BSA is the primary compendium of U.S. laws and regulations regarding AML and countering the financing of terrorism (CFT). As required under the BSA, we have implemented and continue to expand an AML and 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 and 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pStyle w:val="TextBody"/>
        <w:bidi w:val="0"/>
        <w:spacing w:before="200" w:after="283"/>
        <w:jc w:val="left"/>
        <w:rPr>
          <w:rFonts w:ascii="Arial" w:hAnsi="Arial"/>
          <w:color w:val="000000"/>
          <w:sz w:val="20"/>
        </w:rPr>
      </w:pPr>
      <w:r>
        <w:rPr>
          <w:rFonts w:ascii="Arial" w:hAnsi="Arial"/>
          <w:color w:val="000000"/>
          <w:sz w:val="20"/>
        </w:rPr>
        <w:t>If our compliance programs are found to be deficient, we could lose key relationships with banks, merchant acquirers, and other payment partners on which we rely to carry out our business. Fines, penalties or sanctions for the violation of AML and CFT laws and regulations may be severe and our efforts to remediate issues may be costly, may result in diversion of management and staff time and effort, and may still not guarantee compliance. 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pStyle w:val="TextBody"/>
        <w:bidi w:val="0"/>
        <w:spacing w:before="200" w:after="283"/>
        <w:jc w:val="left"/>
        <w:rPr>
          <w:rFonts w:ascii="Arial" w:hAnsi="Arial"/>
          <w:color w:val="000000"/>
          <w:sz w:val="20"/>
        </w:rPr>
      </w:pPr>
      <w:r>
        <w:rPr>
          <w:rFonts w:ascii="Arial" w:hAnsi="Arial"/>
          <w:color w:val="000000"/>
          <w:sz w:val="20"/>
        </w:rPr>
        <w:t>Most states in the United States require a license to offer money transmission services. We are in the process of procuring money transmitter licenses (or the statutory equivalent) in those U.S. jurisdictions that require them in order to be able to offer additional business lines in the future. We have procured and maintain money transmitter licenses in 45 U.S. jurisdictions, and actively work to comply with new license requirements as they arise. We have taken the position that Flywire’s business to date is exempt from licensure under various state money 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 and CFT programs. The adoption of new money transmitter or MSB statutes, or changes in regulators’ interpretation of existing state and federal money transmitter or MSB statutes or regulations, could subject Flywire to new registration, licensing or other requirements. Any determination that Flywire is in fact required to be licensed under such state money transmission or MSB statutes may require substantial expenditures of time and money and could lead to liability in the nature of penalties or fines, as well as cause us to be required to cease operations in some of the U.S. jurisdictions we serve.</w:t>
      </w:r>
    </w:p>
    <w:p>
      <w:pPr>
        <w:pStyle w:val="TextBody"/>
        <w:bidi w:val="0"/>
        <w:spacing w:before="200" w:after="283"/>
        <w:jc w:val="left"/>
        <w:rPr>
          <w:rFonts w:ascii="Times New Roman" w:hAnsi="Times New Roman"/>
          <w:sz w:val="20"/>
        </w:rPr>
      </w:pPr>
      <w:r>
        <w:rPr>
          <w:rFonts w:ascii="Arial" w:hAnsi="Arial"/>
          <w:color w:val="000000"/>
          <w:sz w:val="20"/>
        </w:rPr>
        <w:t>With respect to the money transmission licenses we maintain in U.S. jurisdictions, we are subjected to, among other things,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required licenses, regulatory or governmental investigations, administrative enforcement actions, civil and criminal liability, and constraints on our ability to continue to operate.</w:t>
      </w:r>
    </w:p>
    <w:p>
      <w:pPr>
        <w:pStyle w:val="TextBody"/>
        <w:bidi w:val="0"/>
        <w:spacing w:before="200" w:after="283"/>
        <w:jc w:val="left"/>
        <w:rPr>
          <w:rFonts w:ascii="Arial" w:hAnsi="Arial"/>
          <w:color w:val="000000"/>
          <w:sz w:val="20"/>
        </w:rPr>
      </w:pPr>
      <w:r>
        <w:rPr>
          <w:rFonts w:ascii="Arial" w:hAnsi="Arial"/>
          <w:color w:val="000000"/>
          <w:sz w:val="20"/>
        </w:rPr>
        <w:t>Similar regulatory requirements exist in other markets where we do business. For example, local Flywire entities are licensed as Authorised Payments Institutions in each of the United Kingdom (U.K.) (regulated by the Financial Conduct Authority (FCA)) and Lithuania (regulated by the Bank of Lithuania (BOL)), and Australia (regulated by the Australian Securities &amp; Investments Commission (ASIC)). In addition, we have secured approval for a Major Payment Institution license from the Monetary Authority of Singapore (MAS), and in Canada we are registered as an MSB with the Financial Transactions and Reports Analysis Centre of Canada. We are also registered as a foreign Electronic System Organizer in Indonesia, and licensed in Hong Kong as a Money Services Operator. When serving clients in these regulated markets, we are generally required to implement governance structures, AML and 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pStyle w:val="TextBody"/>
        <w:bidi w:val="0"/>
        <w:spacing w:before="200" w:after="283"/>
        <w:jc w:val="left"/>
        <w:rPr>
          <w:rFonts w:ascii="Arial" w:hAnsi="Arial"/>
          <w:color w:val="000000"/>
          <w:sz w:val="20"/>
        </w:rPr>
      </w:pPr>
      <w:r>
        <w:rPr>
          <w:rFonts w:ascii="Arial" w:hAnsi="Arial"/>
          <w:color w:val="000000"/>
          <w:sz w:val="20"/>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pStyle w:val="TextBody"/>
        <w:bidi w:val="0"/>
        <w:spacing w:before="200" w:after="283"/>
        <w:jc w:val="left"/>
        <w:rPr>
          <w:rFonts w:ascii="Arial" w:hAnsi="Arial"/>
          <w:color w:val="000000"/>
          <w:sz w:val="20"/>
        </w:rPr>
      </w:pPr>
      <w:r>
        <w:rPr>
          <w:rFonts w:ascii="Arial" w:hAnsi="Arial"/>
          <w:color w:val="000000"/>
          <w:sz w:val="20"/>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pStyle w:val="TextBody"/>
        <w:bidi w:val="0"/>
        <w:spacing w:before="200" w:after="283"/>
        <w:jc w:val="left"/>
        <w:rPr>
          <w:rFonts w:ascii="Arial" w:hAnsi="Arial"/>
          <w:color w:val="000000"/>
          <w:sz w:val="20"/>
        </w:rPr>
      </w:pPr>
      <w:r>
        <w:rPr>
          <w:rFonts w:ascii="Arial" w:hAnsi="Arial"/>
          <w:color w:val="000000"/>
          <w:sz w:val="20"/>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pStyle w:val="TextBody"/>
        <w:bidi w:val="0"/>
        <w:spacing w:before="200" w:after="283"/>
        <w:jc w:val="left"/>
        <w:rPr>
          <w:rFonts w:ascii="Arial" w:hAnsi="Arial"/>
          <w:color w:val="000000"/>
          <w:sz w:val="20"/>
        </w:rPr>
      </w:pPr>
      <w:r>
        <w:rPr>
          <w:rFonts w:ascii="Arial" w:hAnsi="Arial"/>
          <w:color w:val="000000"/>
          <w:sz w:val="20"/>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pStyle w:val="TextBody"/>
        <w:bidi w:val="0"/>
        <w:spacing w:before="200" w:after="283"/>
        <w:jc w:val="left"/>
        <w:rPr>
          <w:rFonts w:ascii="Times New Roman" w:hAnsi="Times New Roman"/>
          <w:sz w:val="20"/>
        </w:rPr>
      </w:pPr>
      <w:r>
        <w:rPr>
          <w:rFonts w:ascii="Arial" w:hAnsi="Arial"/>
          <w:color w:val="000000"/>
          <w:sz w:val="20"/>
        </w:rPr>
        <w:t>Flywire is also required to navigate card network rules and other requirements of self-regulatory organizations, such as ACH payment networks. We rely on our varied network of merchant acquirer relationships to access the payment card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networks such as Visa and Mastercard, which enable our acceptance of credit cards and debit cards. We pay fees to our merchant acquirers for such services.</w:t>
      </w:r>
    </w:p>
    <w:p>
      <w:pPr>
        <w:pStyle w:val="TextBody"/>
        <w:bidi w:val="0"/>
        <w:spacing w:before="200" w:after="283"/>
        <w:jc w:val="left"/>
        <w:rPr>
          <w:rFonts w:ascii="Arial" w:hAnsi="Arial"/>
          <w:color w:val="000000"/>
          <w:sz w:val="20"/>
        </w:rPr>
      </w:pPr>
      <w:r>
        <w:rPr>
          <w:rFonts w:ascii="Arial" w:hAnsi="Arial"/>
          <w:color w:val="000000"/>
          <w:sz w:val="20"/>
        </w:rPr>
        <w:t>Visa, Mastercard, and other card networks set complex and evolving rules and standards with which we must comply—often referred to as “card network rules”. We also have relationships with American Express, Japan Credit Bureau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pStyle w:val="TextBody"/>
        <w:bidi w:val="0"/>
        <w:spacing w:before="200" w:after="283"/>
        <w:jc w:val="left"/>
        <w:rPr>
          <w:rFonts w:ascii="Arial" w:hAnsi="Arial"/>
          <w:color w:val="000000"/>
          <w:sz w:val="20"/>
        </w:rPr>
      </w:pPr>
      <w:r>
        <w:rPr>
          <w:rFonts w:ascii="Arial" w:hAnsi="Arial"/>
          <w:color w:val="000000"/>
          <w:sz w:val="20"/>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pStyle w:val="TextBody"/>
        <w:bidi w:val="0"/>
        <w:spacing w:before="200" w:after="283"/>
        <w:jc w:val="left"/>
        <w:rPr>
          <w:rFonts w:ascii="Arial" w:hAnsi="Arial"/>
          <w:color w:val="000000"/>
          <w:sz w:val="20"/>
        </w:rPr>
      </w:pPr>
      <w:r>
        <w:rPr>
          <w:rFonts w:ascii="Arial" w:hAnsi="Arial"/>
          <w:color w:val="000000"/>
          <w:sz w:val="20"/>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pStyle w:val="TextBody"/>
        <w:bidi w:val="0"/>
        <w:spacing w:before="200" w:after="283"/>
        <w:jc w:val="left"/>
        <w:rPr>
          <w:rFonts w:ascii="Arial" w:hAnsi="Arial"/>
          <w:color w:val="000000"/>
          <w:sz w:val="20"/>
        </w:rPr>
      </w:pPr>
      <w:r>
        <w:rPr>
          <w:rFonts w:ascii="Arial" w:hAnsi="Arial"/>
          <w:color w:val="000000"/>
          <w:sz w:val="20"/>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pStyle w:val="TextBody"/>
        <w:bidi w:val="0"/>
        <w:spacing w:before="200" w:after="283"/>
        <w:jc w:val="left"/>
        <w:rPr>
          <w:rFonts w:ascii="Arial" w:hAnsi="Arial"/>
          <w:color w:val="000000"/>
          <w:sz w:val="20"/>
        </w:rPr>
      </w:pPr>
      <w:r>
        <w:rPr>
          <w:rFonts w:ascii="Arial" w:hAnsi="Arial"/>
          <w:color w:val="000000"/>
          <w:sz w:val="20"/>
        </w:rPr>
        <w:t>We are also subject to the National Automated Clearing House Association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pStyle w:val="TextBody"/>
        <w:bidi w:val="0"/>
        <w:spacing w:before="200" w:after="283"/>
        <w:jc w:val="left"/>
        <w:rPr>
          <w:rFonts w:ascii="Arial" w:hAnsi="Arial"/>
          <w:color w:val="000000"/>
          <w:sz w:val="20"/>
        </w:rPr>
      </w:pPr>
      <w:r>
        <w:rPr>
          <w:rFonts w:ascii="Arial" w:hAnsi="Arial"/>
          <w:color w:val="000000"/>
          <w:sz w:val="20"/>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pStyle w:val="TextBody"/>
        <w:bidi w:val="0"/>
        <w:spacing w:before="200" w:after="283"/>
        <w:jc w:val="left"/>
        <w:rPr>
          <w:rFonts w:ascii="Arial" w:hAnsi="Arial"/>
          <w:color w:val="000000"/>
          <w:sz w:val="20"/>
        </w:rPr>
      </w:pPr>
      <w:r>
        <w:rPr>
          <w:rFonts w:ascii="Arial" w:hAnsi="Arial"/>
          <w:color w:val="000000"/>
          <w:sz w:val="20"/>
        </w:rPr>
        <w:t>We collect and use a wide variety of information (including personal information) for various purposes in our business, including: (i) to help ensure the integrity of our services, (ii) to meet KYC, transaction monitoring, AML and 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pStyle w:val="TextBody"/>
        <w:bidi w:val="0"/>
        <w:spacing w:before="200" w:after="283"/>
        <w:jc w:val="left"/>
        <w:rPr>
          <w:rFonts w:ascii="Times New Roman" w:hAnsi="Times New Roman"/>
          <w:sz w:val="20"/>
        </w:rPr>
      </w:pPr>
      <w:r>
        <w:rPr>
          <w:rFonts w:ascii="Arial" w:hAnsi="Arial"/>
          <w:color w:val="000000"/>
          <w:sz w:val="20"/>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personal information, opt-out of certain personal information sharing and receive detailed information about how their personal information is used, and it imposes other requirements as well. The CCPA provides for civil penalties for violations, as well as a private right of action for data breaches. Several other states have joined California in enacting privacy and data protection legislation that impose additional obligations on businesses related to the collection, storage and utilization of third-party information, as well as the reporting of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pStyle w:val="TextBody"/>
        <w:bidi w:val="0"/>
        <w:spacing w:before="200" w:after="283"/>
        <w:jc w:val="left"/>
        <w:rPr>
          <w:rFonts w:ascii="Arial" w:hAnsi="Arial"/>
          <w:color w:val="000000"/>
          <w:sz w:val="20"/>
        </w:rPr>
      </w:pPr>
      <w:r>
        <w:rPr>
          <w:rFonts w:ascii="Arial" w:hAnsi="Arial"/>
          <w:color w:val="000000"/>
          <w:sz w:val="20"/>
        </w:rPr>
        <w:t>Many of the foreign jurisdictions where we or our clients do business, including the European Union (E.U.),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pStyle w:val="TextBody"/>
        <w:bidi w:val="0"/>
        <w:spacing w:before="200" w:after="283"/>
        <w:jc w:val="left"/>
        <w:rPr>
          <w:rFonts w:ascii="Times New Roman" w:hAnsi="Times New Roman"/>
          <w:sz w:val="20"/>
        </w:rPr>
      </w:pPr>
      <w:r>
        <w:rPr>
          <w:rFonts w:ascii="Arial" w:hAnsi="Arial"/>
          <w:color w:val="000000"/>
          <w:sz w:val="20"/>
        </w:rPr>
        <w:t xml:space="preserve">Recent legal developments have created compliance uncertainty regarding some transfers of personal information from the U.K. and EEA to locations where we or our clients operate or conduct business, including the United States and potentially Singapore. Under the GDPR, such transfers can take place only if certain conditions apply or if certain data transfer mechanisms are in place. In July 2020, the Court of Justice of the E.U. ruled in its </w:t>
      </w:r>
      <w:r>
        <w:rPr>
          <w:rFonts w:ascii="Times New Roman" w:hAnsi="Times New Roman"/>
          <w:color w:val="000000"/>
          <w:sz w:val="20"/>
        </w:rPr>
        <w:t>“</w:t>
      </w:r>
      <w:r>
        <w:rPr>
          <w:rFonts w:ascii="Arial" w:hAnsi="Arial"/>
          <w:i/>
          <w:color w:val="000000"/>
          <w:sz w:val="20"/>
        </w:rPr>
        <w:t xml:space="preserve">Schrems II” </w:t>
      </w:r>
      <w:r>
        <w:rPr>
          <w:rFonts w:ascii="Arial" w:hAnsi="Arial"/>
          <w:color w:val="000000"/>
          <w:sz w:val="20"/>
        </w:rPr>
        <w:t xml:space="preserve">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the validity of alternative data transfer mechanisms. The SCCs, though previously approved by the European Commission, have faced challenges in European courts (including being called into question in the </w:t>
      </w:r>
      <w:r>
        <w:rPr>
          <w:rFonts w:ascii="Arial" w:hAnsi="Arial"/>
          <w:i/>
          <w:color w:val="000000"/>
          <w:sz w:val="20"/>
        </w:rPr>
        <w:t xml:space="preserve">Schrems II </w:t>
      </w:r>
      <w:r>
        <w:rPr>
          <w:rFonts w:ascii="Arial" w:hAnsi="Arial"/>
          <w:color w:val="000000"/>
          <w:sz w:val="20"/>
        </w:rPr>
        <w:t xml:space="preserve">decision), and may be further challenged, suspended or invalidated for transfers to some or all countries. For example, guidance regarding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pStyle w:val="TextBody"/>
        <w:bidi w:val="0"/>
        <w:spacing w:before="200" w:after="200"/>
        <w:jc w:val="left"/>
        <w:rPr>
          <w:rFonts w:ascii="Arial" w:hAnsi="Arial"/>
          <w:color w:val="000000"/>
          <w:sz w:val="20"/>
        </w:rPr>
      </w:pPr>
      <w:r>
        <w:rPr>
          <w:rFonts w:ascii="Arial" w:hAnsi="Arial"/>
          <w:color w:val="000000"/>
          <w:sz w:val="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w:t>
      </w:r>
    </w:p>
    <w:p>
      <w:pPr>
        <w:pStyle w:val="TextBody"/>
        <w:bidi w:val="0"/>
        <w:spacing w:before="0" w:after="200"/>
        <w:jc w:val="left"/>
        <w:rPr>
          <w:rFonts w:ascii="Times New Roman" w:hAnsi="Times New Roman"/>
          <w:sz w:val="20"/>
        </w:rPr>
      </w:pPr>
      <w:r>
        <w:rPr>
          <w:rFonts w:ascii="Arial" w:hAnsi="Arial"/>
          <w:color w:val="000000"/>
          <w:sz w:val="20"/>
        </w:rPr>
        <w:t>China passed its DSL and its PIPL in 2021. Both new laws impact every business operating in or doing business with China, coupling extensive obligations with respect to the processing of all types of data, with potentially significant penalties for noncompliance. With the promulgation of the DSL and PIPL, China has tightened up regulation on collection, processing, sharing and cross-border transfer of personal data and important data such as financial data. The data security regime has an extraterritorial effect and imposes additional compliance obligations with respect to processing (in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and outside China) of personal data of Chinese individuals and other data which may be viewed sensitive or important. These regulations apply not only to our client’s payers who are Chinese nationals (such as students seeking to study abroad) but also China-based employees as well as third-party business partners.</w:t>
      </w:r>
    </w:p>
    <w:p>
      <w:pPr>
        <w:pStyle w:val="TextBody"/>
        <w:bidi w:val="0"/>
        <w:spacing w:before="0" w:after="200"/>
        <w:jc w:val="left"/>
        <w:rPr>
          <w:rFonts w:ascii="Arial" w:hAnsi="Arial"/>
          <w:color w:val="000000"/>
          <w:sz w:val="20"/>
        </w:rPr>
      </w:pPr>
      <w:r>
        <w:rPr>
          <w:rFonts w:ascii="Arial" w:hAnsi="Arial"/>
          <w:color w:val="000000"/>
          <w:sz w:val="20"/>
        </w:rPr>
        <w:t>As a reaction to data security concerns, the Australian parliament, in 2022,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pStyle w:val="TextBody"/>
        <w:bidi w:val="0"/>
        <w:spacing w:before="0" w:after="200"/>
        <w:jc w:val="left"/>
        <w:rPr>
          <w:rFonts w:ascii="Arial" w:hAnsi="Arial"/>
          <w:color w:val="000000"/>
          <w:sz w:val="20"/>
        </w:rPr>
      </w:pPr>
      <w:r>
        <w:rPr>
          <w:rFonts w:ascii="Arial" w:hAnsi="Arial"/>
          <w:color w:val="000000"/>
          <w:sz w:val="20"/>
        </w:rPr>
        <w:t>We have taken steps to address compliance obligations that apply to us under the Amended APPI, the DSL, the PIPL and Australian data security laws but cannot assure you that such steps will be effective, and we may face the risk of increased costs, liability and loss of business.</w:t>
      </w:r>
    </w:p>
    <w:p>
      <w:pPr>
        <w:pStyle w:val="TextBody"/>
        <w:bidi w:val="0"/>
        <w:jc w:val="left"/>
        <w:rPr>
          <w:rFonts w:ascii="Arial" w:hAnsi="Arial"/>
          <w:color w:val="000000"/>
          <w:sz w:val="20"/>
        </w:rPr>
      </w:pPr>
      <w:r>
        <w:rPr>
          <w:rFonts w:ascii="Arial" w:hAnsi="Arial"/>
          <w:color w:val="000000"/>
          <w:sz w:val="20"/>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World Wide Web Consortium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pStyle w:val="TextBody"/>
        <w:bidi w:val="0"/>
        <w:spacing w:before="200" w:after="283"/>
        <w:jc w:val="left"/>
        <w:rPr>
          <w:rFonts w:ascii="Times New Roman" w:hAnsi="Times New Roman"/>
          <w:sz w:val="20"/>
        </w:rPr>
      </w:pPr>
      <w:r>
        <w:rPr>
          <w:rFonts w:ascii="Arial" w:hAnsi="Arial"/>
          <w:b/>
          <w:color w:val="000000"/>
          <w:sz w:val="20"/>
        </w:rPr>
        <w:t>Human Capital and Employees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As an organization, our culture is founded on our shared experiences, unique and diverse backgrounds, and belief in our mission to deliver on the most important and complex payments. As of December 31, 2025, a collective team of approximately 1,400 full-time employees and contractors, who we call FlyMates, strive for excellence as one team, guided by our core values.</w:t>
      </w:r>
    </w:p>
    <w:p>
      <w:pPr>
        <w:pStyle w:val="TextBody"/>
        <w:bidi w:val="0"/>
        <w:spacing w:before="200" w:after="283"/>
        <w:jc w:val="left"/>
        <w:rPr>
          <w:rFonts w:ascii="Arial" w:hAnsi="Arial"/>
          <w:color w:val="000000"/>
          <w:sz w:val="20"/>
        </w:rPr>
      </w:pPr>
      <w:r>
        <w:rPr>
          <w:rFonts w:ascii="Arial" w:hAnsi="Arial"/>
          <w:color w:val="000000"/>
          <w:sz w:val="20"/>
        </w:rPr>
        <w:t>Our leadership team defines our culture and strategy and collectively has decades of experience leading companies through rapid growth at scale. As of December 31, 2025, 39% of our FlyMates are located in the Americas, 36% in Europe and the Middle East, and 25% in Asia-Pacific. Representing over 60 nationalities and over 35 spoken languages, our diverse team of FlyMates deliver critical domain expertise and regionally tailored skill sets to our clients 24x7.</w:t>
      </w:r>
    </w:p>
    <w:p>
      <w:pPr>
        <w:pStyle w:val="TextBody"/>
        <w:bidi w:val="0"/>
        <w:spacing w:before="200" w:after="283"/>
        <w:jc w:val="left"/>
        <w:rPr>
          <w:rFonts w:ascii="Arial" w:hAnsi="Arial"/>
          <w:color w:val="000000"/>
          <w:sz w:val="20"/>
        </w:rPr>
      </w:pPr>
      <w:r>
        <w:rPr>
          <w:rFonts w:ascii="Arial" w:hAnsi="Arial"/>
          <w:color w:val="000000"/>
          <w:sz w:val="20"/>
        </w:rPr>
        <w:t>We also engage part-time and temporary FlyMates, as well as consultants as needed to support our operations. As an organization, our culture is founded on our shared experiences, unique and diverse backgrounds, and belief in our mission to deliver on the most important and complex payments.</w:t>
      </w:r>
    </w:p>
    <w:p>
      <w:pPr>
        <w:pStyle w:val="TextBody"/>
        <w:bidi w:val="0"/>
        <w:spacing w:before="200" w:after="283"/>
        <w:jc w:val="left"/>
        <w:rPr>
          <w:rFonts w:ascii="Arial" w:hAnsi="Arial"/>
          <w:color w:val="000000"/>
          <w:sz w:val="20"/>
        </w:rPr>
      </w:pPr>
      <w:r>
        <w:rPr>
          <w:rFonts w:ascii="Arial" w:hAnsi="Arial"/>
          <w:color w:val="000000"/>
          <w:sz w:val="20"/>
        </w:rPr>
        <w:t>None of our FlyMates are represented by a labor union or covered by a collective bargaining agreement. We have not experienced any work stoppages and we consider our relations with our FlyMates to be good.</w:t>
      </w:r>
    </w:p>
    <w:p>
      <w:pPr>
        <w:pStyle w:val="TextBody"/>
        <w:bidi w:val="0"/>
        <w:spacing w:before="200" w:after="283"/>
        <w:jc w:val="left"/>
        <w:rPr>
          <w:rFonts w:ascii="Arial" w:hAnsi="Arial"/>
          <w:color w:val="000000"/>
          <w:sz w:val="20"/>
        </w:rPr>
      </w:pPr>
      <w:r>
        <w:rPr>
          <w:rFonts w:ascii="Arial" w:hAnsi="Arial"/>
          <w:color w:val="000000"/>
          <w:sz w:val="20"/>
        </w:rPr>
        <w:t>Our human capital resources objectives include, as applicable, identifying, recruiting, retaining, incentivizing, and integrating our existing and additional FlyMates. The principal purposes of our equity incentive plans are to attract, retain and motivate selected FlyMates, consultants and directors through the granting of stock-based compensation awards and cash-based performance bonus awards.</w:t>
      </w:r>
    </w:p>
    <w:p>
      <w:pPr>
        <w:pStyle w:val="TextBody"/>
        <w:bidi w:val="0"/>
        <w:spacing w:before="200" w:after="200"/>
        <w:jc w:val="left"/>
        <w:rPr>
          <w:rFonts w:ascii="Arial" w:hAnsi="Arial"/>
          <w:b/>
          <w:color w:val="000000"/>
          <w:sz w:val="20"/>
        </w:rPr>
      </w:pPr>
      <w:r>
        <w:rPr>
          <w:rFonts w:ascii="Arial" w:hAnsi="Arial"/>
          <w:b/>
          <w:color w:val="000000"/>
          <w:sz w:val="20"/>
        </w:rPr>
        <w:t>Our Values</w:t>
      </w:r>
    </w:p>
    <w:p>
      <w:pPr>
        <w:pStyle w:val="TextBody"/>
        <w:bidi w:val="0"/>
        <w:jc w:val="left"/>
        <w:rPr>
          <w:rFonts w:ascii="Arial" w:hAnsi="Arial"/>
          <w:color w:val="000000"/>
          <w:sz w:val="20"/>
        </w:rPr>
      </w:pPr>
      <w:r>
        <w:rPr>
          <w:rFonts w:ascii="Arial" w:hAnsi="Arial"/>
          <w:color w:val="000000"/>
          <w:sz w:val="20"/>
        </w:rPr>
        <w:t>At Flywire, we commit to encourage and reward behaviors that are consistent with our culture, which is founded on our shared experiences, unique and diverse backgrounds, and belief in our mission to deliver on the most important and complex payments. We seek to hold each other accountable when behaviors do not support the culture we aspire to. Our values include:</w:t>
      </w:r>
    </w:p>
    <w:p>
      <w:pPr>
        <w:pStyle w:val="TextBody"/>
        <w:bidi w:val="0"/>
        <w:spacing w:before="12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Global Collaboration.</w:t>
      </w:r>
      <w:r>
        <w:rPr>
          <w:color w:val="000000"/>
        </w:rPr>
        <w:t xml:space="preserve"> </w:t>
      </w:r>
      <w:r>
        <w:rPr>
          <w:rFonts w:ascii="Arial" w:hAnsi="Arial"/>
          <w:color w:val="000000"/>
          <w:sz w:val="20"/>
        </w:rPr>
        <w:t>We believe in teamwork and that together we are greater than the sum of individual FlyMates, across experience, location and position. We seek to understand and embrace everyone’s uniqueness, and leverage the power of our FlyMates and clients’ and their customers’ cultural differences and perspectives to create value.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Authenticity.</w:t>
      </w:r>
      <w:r>
        <w:rPr>
          <w:color w:val="000000"/>
        </w:rPr>
        <w:t xml:space="preserve"> </w:t>
      </w:r>
      <w:r>
        <w:rPr>
          <w:rFonts w:ascii="Arial" w:hAnsi="Arial"/>
          <w:color w:val="000000"/>
          <w:sz w:val="20"/>
        </w:rPr>
        <w:t>We value and never compromise on integrity, honesty, and kindness. We believe in staying true to oneself, being courageous enough to share your voice and humble enough to admit when you are wrong. Above all, we strive for sincerity and encourage both giving and receiving feedback.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Fulfillment.</w:t>
      </w:r>
      <w:r>
        <w:rPr>
          <w:color w:val="000000"/>
        </w:rPr>
        <w:t xml:space="preserve"> </w:t>
      </w:r>
      <w:r>
        <w:rPr>
          <w:rFonts w:ascii="Arial" w:hAnsi="Arial"/>
          <w:color w:val="000000"/>
          <w:sz w:val="20"/>
        </w:rPr>
        <w:t>We recognize that fulfillment comes from personal and professional satisfaction, from bringing our whole selves to work. It is understanding what ignites our individual passions and gets us excited, while being collaborative and knowing that this is different for everyone. We believe that by engaging with the wider community, giving back and contributing, our greater purpose is fulfilled.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Execution.</w:t>
      </w:r>
      <w:r>
        <w:rPr>
          <w:color w:val="000000"/>
        </w:rPr>
        <w:t xml:space="preserve"> </w:t>
      </w:r>
      <w:r>
        <w:rPr>
          <w:rFonts w:ascii="Arial" w:hAnsi="Arial"/>
          <w:color w:val="000000"/>
          <w:sz w:val="20"/>
        </w:rPr>
        <w:t>We accomplish our goals through collective support and accountability. We aim to take calculated, sensible risks and make smart decisions quickly to accomplish our objectives. We are helpful and supportive of each other, yet we hold each other accountable to delivering with a sense of urgency in all that we do.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Ambitious Innovation.</w:t>
      </w:r>
      <w:r>
        <w:rPr>
          <w:color w:val="000000"/>
        </w:rPr>
        <w:t xml:space="preserve"> </w:t>
      </w:r>
      <w:r>
        <w:rPr>
          <w:rFonts w:ascii="Arial" w:hAnsi="Arial"/>
          <w:color w:val="000000"/>
          <w:sz w:val="20"/>
        </w:rPr>
        <w:t>We continuously look for ways to deliver more and new value to our clients and their customers, partners and people. We are leaders not followers, curious and open-minded, and we recognize there is always room for improvement and strive for excellence and welcome new ideas.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Evolved Learning.</w:t>
      </w:r>
      <w:r>
        <w:rPr>
          <w:color w:val="000000"/>
        </w:rPr>
        <w:t xml:space="preserve"> </w:t>
      </w:r>
      <w:r>
        <w:rPr>
          <w:rFonts w:ascii="Arial" w:hAnsi="Arial"/>
          <w:color w:val="000000"/>
          <w:sz w:val="20"/>
        </w:rPr>
        <w:t>We believe in new challenges and constant growth. The importance of actively listening, questioning, challenging, and accepting is not lost on us. We are a learning organization, eager to expand as individuals, as teams and as a company. We live by the knowledge that there is no endpoint to learning, that there is always room for growth.</w:t>
      </w:r>
    </w:p>
    <w:p>
      <w:pPr>
        <w:pStyle w:val="TextBody"/>
        <w:bidi w:val="0"/>
        <w:spacing w:before="200" w:after="283"/>
        <w:jc w:val="left"/>
        <w:rPr>
          <w:rFonts w:ascii="Arial" w:hAnsi="Arial"/>
          <w:color w:val="000000"/>
          <w:sz w:val="20"/>
        </w:rPr>
      </w:pPr>
      <w:r>
        <w:rPr>
          <w:rFonts w:ascii="Arial" w:hAnsi="Arial"/>
          <w:color w:val="000000"/>
          <w:sz w:val="20"/>
        </w:rPr>
        <w:t>We define our values by the virtues and behaviors that shape them, as these values guide us in all that we do: in hiring, performance, and day-to-day interactions with both FlyMates and our clients and their customers.</w:t>
      </w:r>
    </w:p>
    <w:p>
      <w:pPr>
        <w:pStyle w:val="TextBody"/>
        <w:bidi w:val="0"/>
        <w:spacing w:before="200" w:after="200"/>
        <w:jc w:val="left"/>
        <w:rPr>
          <w:rFonts w:ascii="Arial" w:hAnsi="Arial"/>
          <w:b/>
          <w:color w:val="000000"/>
          <w:sz w:val="20"/>
        </w:rPr>
      </w:pPr>
      <w:r>
        <w:rPr>
          <w:rFonts w:ascii="Arial" w:hAnsi="Arial"/>
          <w:b/>
          <w:color w:val="000000"/>
          <w:sz w:val="20"/>
        </w:rPr>
        <w:t>Global Impact at Flywire</w:t>
      </w:r>
    </w:p>
    <w:p>
      <w:pPr>
        <w:pStyle w:val="TextBody"/>
        <w:bidi w:val="0"/>
        <w:spacing w:before="0" w:after="200"/>
        <w:jc w:val="left"/>
        <w:rPr>
          <w:rFonts w:ascii="Arial" w:hAnsi="Arial"/>
          <w:color w:val="000000"/>
          <w:sz w:val="20"/>
        </w:rPr>
      </w:pPr>
      <w:r>
        <w:rPr>
          <w:rFonts w:ascii="Arial" w:hAnsi="Arial"/>
          <w:color w:val="000000"/>
          <w:sz w:val="20"/>
        </w:rPr>
        <w:t>Flywire continues to integrate social impact initiatives into our business and our impact strategy is underpinned by many pillars, from improving access to education, to supporting local communities in times of crisis, and much more. Our disclosures are based on global best practices and align with metrics set forth by the Sustainability Accounting Standards Boards (SASB) standards as well as the Global Reporting Initiative (GRI) standards.</w:t>
      </w:r>
    </w:p>
    <w:p>
      <w:pPr>
        <w:pStyle w:val="TextBody"/>
        <w:bidi w:val="0"/>
        <w:jc w:val="left"/>
        <w:rPr>
          <w:rFonts w:ascii="Arial" w:hAnsi="Arial"/>
          <w:color w:val="000000"/>
          <w:sz w:val="20"/>
        </w:rPr>
      </w:pPr>
      <w:r>
        <w:rPr>
          <w:rFonts w:ascii="Arial" w:hAnsi="Arial"/>
          <w:color w:val="000000"/>
          <w:sz w:val="20"/>
        </w:rPr>
        <w:t>Our latest Impact report details our investments across the following disciplines,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Driving financial inclusion through affordability and accessibility:</w:t>
      </w:r>
      <w:r>
        <w:rPr>
          <w:color w:val="000000"/>
        </w:rPr>
        <w:t xml:space="preserve"> </w:t>
      </w:r>
      <w:r>
        <w:rPr>
          <w:rFonts w:ascii="Arial" w:hAnsi="Arial"/>
          <w:color w:val="000000"/>
          <w:sz w:val="20"/>
        </w:rPr>
        <w:t>Flywire’s payments technology and software enables payers to set up payment plans, helping to make high-value transactions like medical bills and education expenses more accessible and affordable. For example, our work with educational institutions in the U.S. has helped collect more than $320.0 million in past-due tuition, a critical effort that helped keep more than 161,000 at-risk students enrolled.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Global collaboration and belonging:</w:t>
      </w:r>
      <w:r>
        <w:rPr>
          <w:color w:val="000000"/>
        </w:rPr>
        <w:t xml:space="preserve"> </w:t>
      </w:r>
      <w:r>
        <w:rPr>
          <w:rFonts w:ascii="Arial" w:hAnsi="Arial"/>
          <w:color w:val="000000"/>
          <w:sz w:val="20"/>
        </w:rPr>
        <w:t>Flywire employees represent over 60 nationalities and over 35 spoken languages. Multiple Flywire Employee Resource Groups (ERGs) – open to all FlyMates – are devoted to promoting FlyMate collaboration and belonging.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Career development and training:</w:t>
      </w:r>
      <w:r>
        <w:rPr>
          <w:color w:val="000000"/>
        </w:rPr>
        <w:t xml:space="preserve"> </w:t>
      </w:r>
      <w:r>
        <w:rPr>
          <w:rFonts w:ascii="Arial" w:hAnsi="Arial"/>
          <w:color w:val="000000"/>
          <w:sz w:val="20"/>
        </w:rPr>
        <w:t>In 2025, FlyMates spent more than 4,500 hours on company-sponsored career development and training programs. These initiatives are available to all FlyMates, including part-time and contract employees.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Social impact and community engagement:</w:t>
      </w:r>
      <w:r>
        <w:rPr>
          <w:color w:val="000000"/>
        </w:rPr>
        <w:t xml:space="preserve"> </w:t>
      </w:r>
      <w:r>
        <w:rPr>
          <w:rFonts w:ascii="Arial" w:hAnsi="Arial"/>
          <w:color w:val="000000"/>
          <w:sz w:val="20"/>
        </w:rPr>
        <w:t>A cornerstone of Flywire's social impact and community engagement efforts is responding to local community needs during times of crisis and offering volunteering and other resources to communities where FlyMates live and work.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Data privacy, security and compliance:</w:t>
      </w:r>
      <w:r>
        <w:rPr>
          <w:color w:val="000000"/>
        </w:rPr>
        <w:t xml:space="preserve"> </w:t>
      </w:r>
      <w:r>
        <w:rPr>
          <w:rFonts w:ascii="Arial" w:hAnsi="Arial"/>
          <w:color w:val="000000"/>
          <w:sz w:val="20"/>
        </w:rPr>
        <w:t>Flywire’s dedicated compliance and risk management function, overseen by our Chief Compliance Officer and risk team with Board-level oversight, has been built over more than a decade, providing payers and clients confidence in our solutions. Flywire's commitment to payment security and industry leadership is underscored by the appointment of two FlyMates to the PCI Security Standards Council (PCI SSC) Board of Advisors.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Governance and ethics:</w:t>
      </w:r>
      <w:r>
        <w:rPr>
          <w:color w:val="000000"/>
        </w:rPr>
        <w:t xml:space="preserve"> </w:t>
      </w:r>
      <w:r>
        <w:rPr>
          <w:rFonts w:ascii="Arial" w:hAnsi="Arial"/>
          <w:color w:val="000000"/>
          <w:sz w:val="20"/>
        </w:rPr>
        <w:t xml:space="preserve">Flywire is committed to ethical and compliant business practices and good corporate governance for the long-term success of our company and stakeholders. We have a Code of Conduct that is actively </w:t>
      </w:r>
    </w:p>
    <w:p>
      <w:pPr>
        <w:pStyle w:val="TextBody"/>
        <w:bidi w:val="0"/>
        <w:spacing w:before="12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enforced and mandatory training across a spectrum of important topics, ranging from anti-money laundering to sexual harassment to information security best practices.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Environmental impact:</w:t>
      </w:r>
      <w:r>
        <w:rPr>
          <w:color w:val="000000"/>
        </w:rPr>
        <w:t xml:space="preserve"> </w:t>
      </w:r>
      <w:r>
        <w:rPr>
          <w:rFonts w:ascii="Arial" w:hAnsi="Arial"/>
          <w:color w:val="000000"/>
          <w:sz w:val="20"/>
        </w:rPr>
        <w:t>Flywire conducts an annual greenhouse gas emissions audit, over our own operations and our most significant value-chain emissions with a vision to reduce our carbon-intensive activities and improve overall energy efficiencies. Since 2020, Flywire has also supported Tomorrow's Air (permanent carbon-removal collective) and the Adventure Travel Conservation Fund (ATCF), converting financial support into measurable climate and biodiversity gains on four continents.</w:t>
      </w:r>
    </w:p>
    <w:p>
      <w:pPr>
        <w:pStyle w:val="TextBody"/>
        <w:bidi w:val="0"/>
        <w:spacing w:before="200" w:after="283"/>
        <w:jc w:val="left"/>
        <w:rPr>
          <w:rFonts w:ascii="Arial" w:hAnsi="Arial"/>
          <w:b/>
          <w:color w:val="000000"/>
          <w:sz w:val="20"/>
        </w:rPr>
      </w:pPr>
      <w:r>
        <w:rPr>
          <w:rFonts w:ascii="Arial" w:hAnsi="Arial"/>
          <w:b/>
          <w:color w:val="000000"/>
          <w:sz w:val="20"/>
        </w:rPr>
        <w:t>Corporate Information</w:t>
      </w:r>
    </w:p>
    <w:p>
      <w:pPr>
        <w:pStyle w:val="TextBody"/>
        <w:bidi w:val="0"/>
        <w:spacing w:before="200" w:after="283"/>
        <w:jc w:val="left"/>
        <w:rPr>
          <w:rFonts w:ascii="Arial" w:hAnsi="Arial"/>
          <w:color w:val="000000"/>
          <w:sz w:val="20"/>
        </w:rPr>
      </w:pPr>
      <w:r>
        <w:rPr>
          <w:rFonts w:ascii="Arial" w:hAnsi="Arial"/>
          <w:color w:val="000000"/>
          <w:sz w:val="20"/>
        </w:rPr>
        <w:t>We were initially formed in July 2009 as peerTransfer Corporation, a Delaware corporation. We changed our name to Flywire Corporation in December 2016. Our principal executive offices are located at 141 Tremont St., #10, Boston, MA 02111. Our telephone number is (617) 329-4524. Our internet address is www.flywire.com. The information contained on, or that can be accessed through, our website is not a part of this Annual Report on Form 10-K. We have included our website address as an inactive textual reference only.</w:t>
      </w:r>
    </w:p>
    <w:p>
      <w:pPr>
        <w:pStyle w:val="TextBody"/>
        <w:bidi w:val="0"/>
        <w:spacing w:before="200" w:after="283"/>
        <w:jc w:val="left"/>
        <w:rPr>
          <w:rFonts w:ascii="Arial" w:hAnsi="Arial"/>
          <w:color w:val="000000"/>
          <w:sz w:val="20"/>
        </w:rPr>
      </w:pPr>
      <w:r>
        <w:rPr>
          <w:rFonts w:ascii="Arial" w:hAnsi="Arial"/>
          <w:color w:val="000000"/>
          <w:sz w:val="20"/>
        </w:rPr>
        <w:t>Flywire, the Flywire logo, and other registered or common law trade names, trademarks, or service marks of Flywire appearing in this Annual Report on Form 10-K are the property of Flywire. This Annual Report on Form 10-K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Annual Report on Form 10-K are the property of their respective holders.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pStyle w:val="TextBody"/>
        <w:bidi w:val="0"/>
        <w:spacing w:before="200" w:after="283"/>
        <w:jc w:val="left"/>
        <w:rPr>
          <w:rFonts w:ascii="Arial" w:hAnsi="Arial"/>
          <w:b/>
          <w:color w:val="000000"/>
          <w:sz w:val="20"/>
        </w:rPr>
      </w:pPr>
      <w:r>
        <w:rPr>
          <w:rFonts w:ascii="Arial" w:hAnsi="Arial"/>
          <w:b/>
          <w:color w:val="000000"/>
          <w:sz w:val="20"/>
        </w:rPr>
        <w:t>Available Information</w:t>
      </w:r>
    </w:p>
    <w:p>
      <w:pPr>
        <w:pStyle w:val="TextBody"/>
        <w:bidi w:val="0"/>
        <w:spacing w:before="200" w:after="283"/>
        <w:jc w:val="left"/>
        <w:rPr>
          <w:rFonts w:ascii="Arial" w:hAnsi="Arial"/>
          <w:color w:val="000000"/>
          <w:sz w:val="20"/>
        </w:rPr>
      </w:pPr>
      <w:r>
        <w:rPr>
          <w:rFonts w:ascii="Arial" w:hAnsi="Arial"/>
          <w:color w:val="000000"/>
          <w:sz w:val="20"/>
        </w:rPr>
        <w:t>We make available free of charge, on our website (www.flywire.com),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SEC maintains an internet site that contains reports, proxy and information statements, and other information regarding issuers that file electronically with the SEC at http://www.sec.gov.</w:t>
      </w:r>
    </w:p>
    <w:p>
      <w:pPr>
        <w:pStyle w:val="TextBody"/>
        <w:bidi w:val="0"/>
        <w:spacing w:before="200" w:after="283"/>
        <w:jc w:val="left"/>
        <w:rPr>
          <w:rFonts w:ascii="Arial" w:hAnsi="Arial"/>
          <w:color w:val="000000"/>
          <w:sz w:val="20"/>
        </w:rPr>
      </w:pPr>
      <w:r>
        <w:rPr>
          <w:rFonts w:ascii="Arial" w:hAnsi="Arial"/>
          <w:color w:val="000000"/>
          <w:sz w:val="20"/>
        </w:rPr>
        <w:t>Investors, the media, and others should note that we intend to announce material information to the public through filings with the SEC, the investor relations page on our website (https://ir.flywire.com), blog posts on our website, press releases, public conference calls, webcasts, and social media channels, including our X (formerly known as Twitter) feed (@flywire), Facebook page (https://www.facebook.com/Flywire) and LinkedIn page (https://www.linkedin.com/company/flywire).</w:t>
      </w:r>
    </w:p>
    <w:p>
      <w:pPr>
        <w:pStyle w:val="TextBody"/>
        <w:bidi w:val="0"/>
        <w:spacing w:before="200" w:after="283"/>
        <w:jc w:val="left"/>
        <w:rPr>
          <w:rFonts w:ascii="Arial" w:hAnsi="Arial"/>
          <w:color w:val="000000"/>
          <w:sz w:val="20"/>
        </w:rPr>
      </w:pPr>
      <w:r>
        <w:rPr>
          <w:rFonts w:ascii="Arial" w:hAnsi="Arial"/>
          <w:color w:val="000000"/>
          <w:sz w:val="20"/>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pStyle w:val="TextBody"/>
        <w:bidi w:val="0"/>
        <w:spacing w:before="12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5" w:name="item_1a_risk_factors"/>
      <w:bookmarkEnd w:id="5"/>
      <w:r>
        <w:rPr>
          <w:rFonts w:ascii="Arial" w:hAnsi="Arial"/>
          <w:b/>
          <w:color w:val="000000"/>
          <w:sz w:val="20"/>
        </w:rPr>
        <w:t>Item 1A. Risk Factors</w:t>
      </w:r>
    </w:p>
    <w:p>
      <w:pPr>
        <w:pStyle w:val="TextBody"/>
        <w:bidi w:val="0"/>
        <w:spacing w:before="200" w:after="283"/>
        <w:jc w:val="left"/>
        <w:rPr>
          <w:rFonts w:ascii="Arial" w:hAnsi="Arial"/>
          <w:i/>
          <w:color w:val="000000"/>
          <w:sz w:val="20"/>
        </w:rPr>
      </w:pPr>
      <w:r>
        <w:rPr>
          <w:rFonts w:ascii="Arial" w:hAnsi="Arial"/>
          <w:i/>
          <w:color w:val="000000"/>
          <w:sz w:val="20"/>
        </w:rPr>
        <w:t>Investing in our common stock involves a high degree of risk. Before deciding whether to invest in shares of our common stock, you should consider carefully the risks and uncertainties described below, together with all of the other information in this Annual Report on Form 10-K, including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pStyle w:val="TextBody"/>
        <w:bidi w:val="0"/>
        <w:spacing w:before="200" w:after="283"/>
        <w:jc w:val="left"/>
        <w:rPr>
          <w:rFonts w:ascii="Arial" w:hAnsi="Arial"/>
          <w:b/>
          <w:color w:val="000000"/>
          <w:sz w:val="20"/>
        </w:rPr>
      </w:pPr>
      <w:r>
        <w:rPr>
          <w:rFonts w:ascii="Arial" w:hAnsi="Arial"/>
          <w:b/>
          <w:color w:val="000000"/>
          <w:sz w:val="20"/>
        </w:rPr>
        <w:t>Risk Factors Summary</w:t>
      </w:r>
    </w:p>
    <w:p>
      <w:pPr>
        <w:pStyle w:val="TextBody"/>
        <w:bidi w:val="0"/>
        <w:spacing w:before="200" w:after="283"/>
        <w:jc w:val="left"/>
        <w:rPr>
          <w:rFonts w:ascii="Arial" w:hAnsi="Arial"/>
          <w:color w:val="000000"/>
          <w:sz w:val="20"/>
        </w:rPr>
      </w:pPr>
      <w:r>
        <w:rPr>
          <w:rFonts w:ascii="Arial" w:hAnsi="Arial"/>
          <w:color w:val="000000"/>
          <w:sz w:val="20"/>
        </w:rPr>
        <w:t>The summary of risks below is intended to provide an overview of the risks we face and should not be considered a substitute for the more fulsome risk factors discussed immediately following this summary.</w:t>
      </w:r>
    </w:p>
    <w:p>
      <w:pPr>
        <w:pStyle w:val="TextBody"/>
        <w:bidi w:val="0"/>
        <w:spacing w:before="200" w:after="283"/>
        <w:jc w:val="left"/>
        <w:rPr>
          <w:rFonts w:ascii="Arial" w:hAnsi="Arial"/>
          <w:b/>
          <w:i/>
          <w:color w:val="000000"/>
          <w:sz w:val="20"/>
        </w:rPr>
      </w:pPr>
      <w:r>
        <w:rPr>
          <w:rFonts w:ascii="Arial" w:hAnsi="Arial"/>
          <w:b/>
          <w:i/>
          <w:color w:val="000000"/>
          <w:sz w:val="20"/>
        </w:rPr>
        <w:t>Risks Related to Our Business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history of operating losses and may not achieve or sustain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short operating history at our current scale in a rapidly evolving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retain our current clients, attract new clients, and increase the number of our clients’ customers that use our solutions or sell additional functionality to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experience quarterly and annual fluctuations in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undertook restructuring activities that may not yield their intended efficiencies and could strain resources, negatively impact workforce morale, and slow down execution of our strategic plans.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operational and business portfolio reviews may not result in improvements to our financial performance, strategy, or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expect our revenue mix to vary over time, which could affect our gross profit, gross margin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our efforts to attract new clients and increase the number of our clients’ customers that use our solutions are unsuccessful, our revenue growth and operating results will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expand our direct and channel sales capabilities, grow our marketing reach and increase sales productivity.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financial and operating results are subject to seasonality and cyclicality.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exposed to fluctuations in foreign currency exchange rates that could materially and adversely affect our cash flows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Certain of our key performance indicators are subject to inherent challenges in measurement.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depends, in large part, on our proprietary network of global, regional, and local banking partners and our relationships with other third-parties.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markets are highly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estimates of market opportunity and our ability to capture a meaningful share of this payment volume may prove to be inaccurate.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education business may be adversely affected by decreases in enrollment or tuition, cutbacks in governmental financial support, limitations or other restrictions on student visas to international students, actual and proposed U.S. policy changes and enforcement practices, or increased operating expenses for our clients.</w:t>
      </w:r>
    </w:p>
    <w:p>
      <w:pPr>
        <w:pStyle w:val="TextBody"/>
        <w:bidi w:val="0"/>
        <w:spacing w:before="12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healthcare industry is rapidly evolving.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travel business may be sensitive to events affecting the travel industry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enter or expand into new verticals or sub-verticals, including our B2B vertical.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could be consolidation in the payment processing or enablement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adversely impacted by global economic and political instability.</w:t>
      </w:r>
    </w:p>
    <w:p>
      <w:pPr>
        <w:pStyle w:val="TextBody"/>
        <w:bidi w:val="0"/>
        <w:spacing w:before="200" w:after="283"/>
        <w:jc w:val="left"/>
        <w:rPr>
          <w:rFonts w:ascii="Arial" w:hAnsi="Arial"/>
          <w:b/>
          <w:i/>
          <w:color w:val="000000"/>
          <w:sz w:val="20"/>
        </w:rPr>
      </w:pPr>
      <w:r>
        <w:rPr>
          <w:rFonts w:ascii="Arial" w:hAnsi="Arial"/>
          <w:b/>
          <w:i/>
          <w:color w:val="000000"/>
          <w:sz w:val="20"/>
        </w:rPr>
        <w:t>Risks Related to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be able to scale our business quickly enough to meet our growing client base.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enable the transfer of large sums of funds to our clients daily and are subject to the risk of errors.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Volatility in the banking and financial services sectors may impact our bank partnerships and relationships, which could adversely affect our operations and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management of our operating funds and those of our clients may be reliant on a limited number of our banking partners and other financial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maintain or expand our ability to offer a variety of local and international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maintain or expand our ability to offer a variety of local and international payment methods or grow and develop preferred payment choices.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Improper or unauthorized use of, disclosure of, or access to personal or sensitive data could harm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subject to cyberattacks or security vulnerabilities.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risk management efforts may not be effective to prevent fraudulent activities by our clients, FlyMates or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fail to adapt and respond effectively to rapidly changing technology, evolving industry standards, changing regulations, and changing business needs, requirements, or preferences.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use of artificial intelligence (AI) may result in operational challenges, legal liability, reputational harm, competitive risks and enhanced regulatory and fraud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to payment card networks fees or rules could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lose key members of our management team or are unable to attract and retain executives and employees we need to support our operations and growth, our business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could be harmed as a result of the risks associated with our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Systems failures and resulting interruptions in the availability of our solutions and core payment platform could harm our business.</w:t>
      </w:r>
    </w:p>
    <w:p>
      <w:pPr>
        <w:pStyle w:val="TextBody"/>
        <w:bidi w:val="0"/>
        <w:spacing w:before="200" w:after="283"/>
        <w:jc w:val="left"/>
        <w:rPr>
          <w:rFonts w:ascii="Arial" w:hAnsi="Arial"/>
          <w:b/>
          <w:i/>
          <w:color w:val="000000"/>
          <w:sz w:val="20"/>
        </w:rPr>
      </w:pPr>
      <w:r>
        <w:rPr>
          <w:rFonts w:ascii="Arial" w:hAnsi="Arial"/>
          <w:b/>
          <w:i/>
          <w:color w:val="000000"/>
          <w:sz w:val="20"/>
        </w:rPr>
        <w:t>Risks Related to Our Legal, Regulatory and Compliance Landscape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Payments and other financial services-related regulations and oversight are material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subject to governmental laws and requirements regarding economic and trade sanctions, AML, CFT and those applicable to a MSB.</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subject to governmental regulation and other legal obligations, particularly those related to privacy, data protection, information security, anti-corruption, anti-bribery, and similar laws.</w:t>
      </w:r>
    </w:p>
    <w:p>
      <w:pPr>
        <w:pStyle w:val="TextBody"/>
        <w:bidi w:val="0"/>
        <w:spacing w:before="200" w:after="283"/>
        <w:jc w:val="left"/>
        <w:rPr>
          <w:rFonts w:ascii="Arial" w:hAnsi="Arial"/>
          <w:b/>
          <w:i/>
          <w:color w:val="000000"/>
          <w:sz w:val="20"/>
        </w:rPr>
      </w:pPr>
      <w:r>
        <w:rPr>
          <w:rFonts w:ascii="Arial" w:hAnsi="Arial"/>
          <w:b/>
          <w:i/>
          <w:color w:val="000000"/>
          <w:sz w:val="20"/>
        </w:rPr>
        <w:t>Risks Related to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fail to continue to maintain proper effective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Estimates relating to our critical accounting policies may prove to be incorrect.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continue to incur increased costs as a public company.</w:t>
      </w:r>
    </w:p>
    <w:p>
      <w:pPr>
        <w:pStyle w:val="TextBody"/>
        <w:bidi w:val="0"/>
        <w:spacing w:before="12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Risks Related to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Raising additional capital may cause dilution to our existing stockholders, restrict our operations, or require us to relinquish rights to our intellectual property on unfavorable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Repurchase Program, may not achieve our goals or meet expectations.</w:t>
      </w:r>
    </w:p>
    <w:p>
      <w:pPr>
        <w:pStyle w:val="TextBody"/>
        <w:bidi w:val="0"/>
        <w:spacing w:before="200" w:after="283"/>
        <w:jc w:val="left"/>
        <w:rPr>
          <w:rFonts w:ascii="Arial" w:hAnsi="Arial"/>
          <w:b/>
          <w:color w:val="000000"/>
          <w:sz w:val="20"/>
        </w:rPr>
      </w:pPr>
      <w:r>
        <w:rPr>
          <w:rFonts w:ascii="Arial" w:hAnsi="Arial"/>
          <w:b/>
          <w:color w:val="000000"/>
          <w:sz w:val="20"/>
        </w:rPr>
        <w:t>Risks Related to Our Business and Industry</w:t>
      </w:r>
    </w:p>
    <w:p>
      <w:pPr>
        <w:pStyle w:val="TextBody"/>
        <w:bidi w:val="0"/>
        <w:spacing w:before="200" w:after="283"/>
        <w:jc w:val="left"/>
        <w:rPr>
          <w:rFonts w:ascii="Arial" w:hAnsi="Arial"/>
          <w:b/>
          <w:i/>
          <w:color w:val="000000"/>
          <w:sz w:val="20"/>
        </w:rPr>
      </w:pPr>
      <w:r>
        <w:rPr>
          <w:rFonts w:ascii="Arial" w:hAnsi="Arial"/>
          <w:b/>
          <w:i/>
          <w:color w:val="000000"/>
          <w:sz w:val="20"/>
        </w:rPr>
        <w:t>We have a history of operating losses and may not achieve or sustain profitability in the future.</w:t>
      </w:r>
    </w:p>
    <w:p>
      <w:pPr>
        <w:pStyle w:val="TextBody"/>
        <w:bidi w:val="0"/>
        <w:spacing w:before="200" w:after="283"/>
        <w:jc w:val="left"/>
        <w:rPr>
          <w:rFonts w:ascii="Times New Roman" w:hAnsi="Times New Roman"/>
          <w:sz w:val="20"/>
        </w:rPr>
      </w:pPr>
      <w:r>
        <w:rPr>
          <w:rFonts w:ascii="Arial" w:hAnsi="Arial"/>
          <w:color w:val="000000"/>
          <w:sz w:val="20"/>
        </w:rPr>
        <w:t>We were incorporated in 2009 and although we have only generated net income for the years ended December 31, 2024 and 2025, we have incurred net losses in the past, and may incur net losses in the future. We generated net income of $13.5 million and $2.9 million for the years ended December 31, 2025 and 2024, and generated net loss of $8.6 million for the year ended December 31, 2023, respectively. In addition, as of December 31, 2025, we had an accumulated deficit of $157.4 million. We have experienced significant revenue growth in recent periods and we are not certain whether or when we will obtain a high enough volume of revenue to sustain or increase our growth or maintain profitability in the future. We also expect our costs and expenses to increase in future periods, which could negatively affect our future operating results if our revenue does not increase. In particular, we intend to continue to strategically and selectively invest in headcount, to further develop our solutions, including introducing new functionality, and to expand our marketing programs and sales teams to drive new client adoption, expand strategic partner integrations, and support international and product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w:t>
      </w:r>
      <w:r>
        <w:rPr>
          <w:rFonts w:ascii="Times New Roman" w:hAnsi="Times New Roman"/>
          <w:color w:val="000000"/>
          <w:sz w:val="20"/>
        </w:rPr>
        <w:t xml:space="preserve"> </w:t>
      </w:r>
      <w:r>
        <w:rPr>
          <w:rFonts w:ascii="Arial" w:hAnsi="Arial"/>
          <w:color w:val="000000"/>
          <w:sz w:val="20"/>
        </w:rPr>
        <w:t>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sustain profitability, the value of our business and common stock may significantly decrease.</w:t>
      </w:r>
    </w:p>
    <w:p>
      <w:pPr>
        <w:pStyle w:val="TextBody"/>
        <w:bidi w:val="0"/>
        <w:spacing w:before="200" w:after="283"/>
        <w:jc w:val="left"/>
        <w:rPr>
          <w:rFonts w:ascii="Arial" w:hAnsi="Arial"/>
          <w:color w:val="000000"/>
          <w:sz w:val="20"/>
        </w:rPr>
      </w:pPr>
      <w:r>
        <w:rPr>
          <w:rFonts w:ascii="Arial" w:hAnsi="Arial"/>
          <w:color w:val="000000"/>
          <w:sz w:val="20"/>
        </w:rPr>
        <w:t>If the assumptions we use to plan our business are incorrect or change in reaction to changes in our markets, or if we are unable to maintain consistent revenue or revenue growth, it may be difficult to maintain profitability. Our financial results from any prior quarterly or annual periods should not be relied upon as an indication of our future revenue or growth in revenue, gross profit, gross margins, volume of payments processed, or other operating results.</w:t>
      </w:r>
    </w:p>
    <w:p>
      <w:pPr>
        <w:pStyle w:val="TextBody"/>
        <w:bidi w:val="0"/>
        <w:spacing w:before="200" w:after="283"/>
        <w:jc w:val="left"/>
        <w:rPr>
          <w:rFonts w:ascii="Arial" w:hAnsi="Arial"/>
          <w:color w:val="000000"/>
          <w:sz w:val="20"/>
        </w:rPr>
      </w:pPr>
      <w:r>
        <w:rPr>
          <w:rFonts w:ascii="Arial" w:hAnsi="Arial"/>
          <w:color w:val="000000"/>
          <w:sz w:val="20"/>
        </w:rPr>
        <w:t>In addition, we expect to continue to expend substantial management time, financial and other resources 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marketing, relationship management and client support, including an expansion of our sales organization, and new client support and payer retention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technology infrastructure, including systems architecture, scalability, availability, performance, and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technology development, including investments in our technology development team and the development of new solutions and new functionality;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expanding into more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retaining existing clients, attracting new clients and increasing the number of our clients’ customers that use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acquisitions or strategic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compliance and risk management;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administration, including increased insurance, legal and accounting expenses associated with being a public company.</w:t>
      </w:r>
    </w:p>
    <w:p>
      <w:pPr>
        <w:pStyle w:val="TextBody"/>
        <w:bidi w:val="0"/>
        <w:spacing w:before="12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These investments may not result in increased revenue growth in our business. If we are unable to increase our revenue at a rate sufficient to offset the increase in our costs, our business, financial position and operating results will be harmed, and we may not be able to achieve or maintain profitability over the long term.</w:t>
      </w:r>
    </w:p>
    <w:p>
      <w:pPr>
        <w:pStyle w:val="TextBody"/>
        <w:bidi w:val="0"/>
        <w:spacing w:before="200" w:after="283"/>
        <w:jc w:val="left"/>
        <w:rPr>
          <w:rFonts w:ascii="Arial" w:hAnsi="Arial"/>
          <w:b/>
          <w:i/>
          <w:color w:val="000000"/>
          <w:sz w:val="20"/>
        </w:rPr>
      </w:pPr>
      <w:r>
        <w:rPr>
          <w:rFonts w:ascii="Arial" w:hAnsi="Arial"/>
          <w:b/>
          <w:i/>
          <w:color w:val="000000"/>
          <w:sz w:val="20"/>
        </w:rPr>
        <w:t>We have a short operating history at our current scale in a rapidly and significantly evolving industry and, as a result, our past results may not be indicative of future operating performance.</w:t>
      </w:r>
    </w:p>
    <w:p>
      <w:pPr>
        <w:pStyle w:val="TextBody"/>
        <w:bidi w:val="0"/>
        <w:spacing w:before="200" w:after="283"/>
        <w:jc w:val="left"/>
        <w:rPr>
          <w:rFonts w:ascii="Arial" w:hAnsi="Arial"/>
          <w:color w:val="000000"/>
          <w:sz w:val="20"/>
        </w:rPr>
      </w:pPr>
      <w:r>
        <w:rPr>
          <w:rFonts w:ascii="Arial" w:hAnsi="Arial"/>
          <w:color w:val="000000"/>
          <w:sz w:val="20"/>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pStyle w:val="TextBody"/>
        <w:bidi w:val="0"/>
        <w:spacing w:before="200" w:after="283"/>
        <w:jc w:val="left"/>
        <w:rPr>
          <w:rFonts w:ascii="Arial" w:hAnsi="Arial"/>
          <w:color w:val="000000"/>
          <w:sz w:val="20"/>
        </w:rPr>
      </w:pPr>
      <w:r>
        <w:rPr>
          <w:rFonts w:ascii="Arial" w:hAnsi="Arial"/>
          <w:color w:val="000000"/>
          <w:sz w:val="20"/>
        </w:rPr>
        <w:t>Our future success will depend in large part upon our ability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cost-effectively acquire new clients, retain existing clients, increase the number of our clients’ customers that use our solutions and sell additional functionality to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and increase our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avoid pricing pressure on our solutions which would compress our margins;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effectively market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enhance our existing solutions and develop new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 awareness of our brand and maintain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 new technologies, adapt to technology changes and evolving industry standards and to incorporate new technologies, such as artificial intelligence, into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offer seamless experience for our clients and their customers, including all user facing attributes ranging from the user interface to client and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 and respond to microeconomic and macroeconomic changes;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 our solutions and geographic reach, including with respect to B2B and travel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decision to exit certain markets, or our inability to process payments from certain jurisdictions we had previously served;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 and effectively respond to changing trends and the preferences of clients and their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avoid interruptions in our business from information technology (IT) downtime, an inability to manage emerging technology risks (including those posed by generative AI or other tools), cybersecurity breaches, or labor stoppages;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effectively identify and manage risks, including foreign currency exchange risk;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integrate, and retain talented people at all levels of our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the quality of our technology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multiple, conflicting and changing governmental laws and regulations, including with respect to employment, tax, competition, workplace and sustainability and other social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pandemics, such as COVID-19, or other public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retain our existing proprietary global network of banking and other payment partners and add new banking and other payment partners to scale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retain our existing technology partners that allow us to provide alternative payment methods and add new technology partners to scale our business.</w:t>
      </w:r>
    </w:p>
    <w:p>
      <w:pPr>
        <w:pStyle w:val="TextBody"/>
        <w:bidi w:val="0"/>
        <w:spacing w:before="12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pStyle w:val="TextBody"/>
        <w:bidi w:val="0"/>
        <w:spacing w:before="200" w:after="283"/>
        <w:jc w:val="left"/>
        <w:rPr>
          <w:rFonts w:ascii="Arial" w:hAnsi="Arial"/>
          <w:b/>
          <w:i/>
          <w:color w:val="000000"/>
          <w:sz w:val="20"/>
        </w:rPr>
      </w:pPr>
      <w:r>
        <w:rPr>
          <w:rFonts w:ascii="Arial" w:hAnsi="Arial"/>
          <w:b/>
          <w:i/>
          <w:color w:val="000000"/>
          <w:sz w:val="20"/>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pStyle w:val="TextBody"/>
        <w:bidi w:val="0"/>
        <w:spacing w:before="200" w:after="283"/>
        <w:jc w:val="left"/>
        <w:rPr>
          <w:rFonts w:ascii="Arial" w:hAnsi="Arial"/>
          <w:color w:val="000000"/>
          <w:sz w:val="20"/>
        </w:rPr>
      </w:pPr>
      <w:r>
        <w:rPr>
          <w:rFonts w:ascii="Arial" w:hAnsi="Arial"/>
          <w:color w:val="000000"/>
          <w:sz w:val="20"/>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pStyle w:val="TextBody"/>
        <w:bidi w:val="0"/>
        <w:spacing w:before="200" w:after="283"/>
        <w:jc w:val="left"/>
        <w:rPr>
          <w:rFonts w:ascii="Arial" w:hAnsi="Arial"/>
          <w:color w:val="000000"/>
          <w:sz w:val="20"/>
        </w:rPr>
      </w:pPr>
      <w:r>
        <w:rPr>
          <w:rFonts w:ascii="Arial" w:hAnsi="Arial"/>
          <w:color w:val="000000"/>
          <w:sz w:val="20"/>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 and other operating results.</w:t>
      </w:r>
    </w:p>
    <w:p>
      <w:pPr>
        <w:pStyle w:val="TextBody"/>
        <w:bidi w:val="0"/>
        <w:spacing w:before="200" w:after="283"/>
        <w:jc w:val="left"/>
        <w:rPr>
          <w:rFonts w:ascii="Arial" w:hAnsi="Arial"/>
          <w:color w:val="000000"/>
          <w:sz w:val="20"/>
        </w:rPr>
      </w:pPr>
      <w:r>
        <w:rPr>
          <w:rFonts w:ascii="Arial" w:hAnsi="Arial"/>
          <w:color w:val="000000"/>
          <w:sz w:val="20"/>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pStyle w:val="TextBody"/>
        <w:bidi w:val="0"/>
        <w:spacing w:before="200" w:after="283"/>
        <w:jc w:val="left"/>
        <w:rPr>
          <w:rFonts w:ascii="Arial" w:hAnsi="Arial"/>
          <w:color w:val="000000"/>
          <w:sz w:val="20"/>
        </w:rPr>
      </w:pPr>
      <w:r>
        <w:rPr>
          <w:rFonts w:ascii="Arial" w:hAnsi="Arial"/>
          <w:color w:val="000000"/>
          <w:sz w:val="20"/>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pStyle w:val="TextBody"/>
        <w:bidi w:val="0"/>
        <w:spacing w:before="200" w:after="283"/>
        <w:jc w:val="left"/>
        <w:rPr>
          <w:rFonts w:ascii="Arial" w:hAnsi="Arial"/>
          <w:b/>
          <w:i/>
          <w:color w:val="000000"/>
          <w:sz w:val="20"/>
        </w:rPr>
      </w:pPr>
      <w:r>
        <w:rPr>
          <w:rFonts w:ascii="Arial" w:hAnsi="Arial"/>
          <w:b/>
          <w:i/>
          <w:color w:val="000000"/>
          <w:sz w:val="20"/>
        </w:rPr>
        <w:t>We may experience quarterly and annual fluctuations in our operating results, as well as our key metrics, due to a number of factors which make our future results difficult to predict and could cause our operating results to fall below expectations or our guidance.</w:t>
      </w:r>
    </w:p>
    <w:p>
      <w:pPr>
        <w:pStyle w:val="TextBody"/>
        <w:bidi w:val="0"/>
        <w:spacing w:before="200" w:after="283"/>
        <w:jc w:val="left"/>
        <w:rPr>
          <w:rFonts w:ascii="Arial" w:hAnsi="Arial"/>
          <w:color w:val="000000"/>
          <w:sz w:val="20"/>
        </w:rPr>
      </w:pPr>
      <w:r>
        <w:rPr>
          <w:rFonts w:ascii="Arial" w:hAnsi="Arial"/>
          <w:color w:val="000000"/>
          <w:sz w:val="20"/>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pStyle w:val="TextBody"/>
        <w:bidi w:val="0"/>
        <w:spacing w:before="12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Our operating results have varied in the past and are expected to continue to do so in the future. In addition to other risk factors listed in this section titled “Risk Factors”, factors that may affect our quarterly and annual operating results, business and financial condition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demand for our solutions and the number, volume and timing of payments processed;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timing of tuition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threatened government restrictions or related suspensions, limitations or delays on the issuances of visas, such as those being implemented in the U.K., Canada, Australia, and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market acceptance of our current and future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revenue mix in a particular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mix of payment methods and currencies utilized by our clients’ customers in a particular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slowdown or delay in spending on IT and software by our current and/or prospective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cycles and performance of our direct and indirect sales force;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budgeting and implementation cycles of our current or potential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exchange rate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management, performance and expansion of our domestic and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rate of renewals of contracts with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competitive dynamics of our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control and predict costs, including our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clients delaying purchasing decisions, including in anticipation of new products or product enhancements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seasonality and cyclical nature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to successfully manage or integrate any acquisitions, including our most recent acquisitions of Sertifi, Invoiced and StudyLink;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outcome or publicity surrounding any pending or threatened lawsuits or government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and political conditions in our domestic and international markets, including heightened interest rates, imposition of tariffs, inflation and fluctuations in supply chains, regional or global economic recession, and restrictions on cross-border travel or commerce;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level of scrutiny applied by regulators, clients, and investors on our social impact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unexpected events, including those resulting from climate change, international or civil conflicts and wars, or other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pandemics, such as COVID-19, or other public health emergencies and the responses thereto.</w:t>
      </w:r>
    </w:p>
    <w:p>
      <w:pPr>
        <w:pStyle w:val="TextBody"/>
        <w:bidi w:val="0"/>
        <w:spacing w:before="200" w:after="283"/>
        <w:jc w:val="left"/>
        <w:rPr>
          <w:rFonts w:ascii="Arial" w:hAnsi="Arial"/>
          <w:color w:val="000000"/>
          <w:sz w:val="20"/>
        </w:rPr>
      </w:pPr>
      <w:r>
        <w:rPr>
          <w:rFonts w:ascii="Arial" w:hAnsi="Arial"/>
          <w:color w:val="000000"/>
          <w:sz w:val="20"/>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pStyle w:val="TextBody"/>
        <w:bidi w:val="0"/>
        <w:spacing w:before="200" w:after="283"/>
        <w:jc w:val="left"/>
        <w:rPr>
          <w:rFonts w:ascii="Arial" w:hAnsi="Arial"/>
          <w:color w:val="000000"/>
          <w:sz w:val="20"/>
        </w:rPr>
      </w:pPr>
      <w:r>
        <w:rPr>
          <w:rFonts w:ascii="Arial" w:hAnsi="Arial"/>
          <w:color w:val="000000"/>
          <w:sz w:val="20"/>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pStyle w:val="TextBody"/>
        <w:bidi w:val="0"/>
        <w:spacing w:before="200" w:after="283"/>
        <w:jc w:val="left"/>
        <w:rPr>
          <w:rFonts w:ascii="Arial" w:hAnsi="Arial"/>
          <w:b/>
          <w:i/>
          <w:color w:val="000000"/>
          <w:sz w:val="20"/>
        </w:rPr>
      </w:pPr>
      <w:r>
        <w:rPr>
          <w:rFonts w:ascii="Arial" w:hAnsi="Arial"/>
          <w:b/>
          <w:i/>
          <w:color w:val="000000"/>
          <w:sz w:val="20"/>
        </w:rPr>
        <w:t>We undertook restructuring activities that may not yield their intended efficiencies and could strain resources, negatively impact workforce morale, and slow down execution of our strategic plans.</w:t>
      </w:r>
    </w:p>
    <w:p>
      <w:pPr>
        <w:pStyle w:val="TextBody"/>
        <w:bidi w:val="0"/>
        <w:spacing w:before="12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In February 2025, we announced a restructuring plan designed to improve operational efficiencies, reduce operating costs and better align our workforce with current business needs, top strategic priorities and key growth opportunities (Restructuring Plan). As part of the Restructuring Plan, we implemented a reduction in force. These actions and other additional measures we might take to reduce costs may potentially result in a strain our workforce, divert management attention, yield attrition beyond our intended reduction in force, negatively impact employee morale and productivity, the loss of institutional knowledge and expertise,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implemented, and any other future reductions, may negatively impact our ability to attract, integrate, retain and motivate highly qualified employees, make it difficult for us to pursue new opportunities and initiatives, and may harm our reputation with current or prospective employees.</w:t>
      </w:r>
    </w:p>
    <w:p>
      <w:pPr>
        <w:pStyle w:val="TextBody"/>
        <w:bidi w:val="0"/>
        <w:spacing w:before="200" w:after="283"/>
        <w:jc w:val="left"/>
        <w:rPr>
          <w:rFonts w:ascii="Arial" w:hAnsi="Arial"/>
          <w:b/>
          <w:i/>
          <w:color w:val="000000"/>
          <w:sz w:val="20"/>
        </w:rPr>
      </w:pPr>
      <w:r>
        <w:rPr>
          <w:rFonts w:ascii="Arial" w:hAnsi="Arial"/>
          <w:b/>
          <w:i/>
          <w:color w:val="000000"/>
          <w:sz w:val="20"/>
        </w:rPr>
        <w:t>Our operational and business portfolio reviews may not result in improvements to our financial performance, strategy, or operations, and we face a number of risks related to such reviews.</w:t>
      </w:r>
    </w:p>
    <w:p>
      <w:pPr>
        <w:pStyle w:val="TextBody"/>
        <w:bidi w:val="0"/>
        <w:spacing w:before="200" w:after="283"/>
        <w:jc w:val="left"/>
        <w:rPr>
          <w:rFonts w:ascii="Arial" w:hAnsi="Arial"/>
          <w:color w:val="000000"/>
          <w:sz w:val="20"/>
        </w:rPr>
      </w:pPr>
      <w:r>
        <w:rPr>
          <w:rFonts w:ascii="Arial" w:hAnsi="Arial"/>
          <w:color w:val="000000"/>
          <w:sz w:val="20"/>
        </w:rPr>
        <w:t>Our operational and business portfolio reviews are ongoing, and are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 estimated cost savings may be lower than forecasted. We may not achieve the desired strategic, operational, and financial benefits of any actions previously taken, or taken in the future,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 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pStyle w:val="TextBody"/>
        <w:bidi w:val="0"/>
        <w:spacing w:before="200" w:after="283"/>
        <w:jc w:val="left"/>
        <w:rPr>
          <w:rFonts w:ascii="Arial" w:hAnsi="Arial"/>
          <w:color w:val="000000"/>
          <w:sz w:val="20"/>
        </w:rPr>
      </w:pPr>
      <w:r>
        <w:rPr>
          <w:rFonts w:ascii="Arial" w:hAnsi="Arial"/>
          <w:color w:val="000000"/>
          <w:sz w:val="20"/>
        </w:rPr>
        <w:t>We are continuing to carefully consider the full range of options for maximizing value to our shareholders, including potential transactions with third-parties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pStyle w:val="TextBody"/>
        <w:bidi w:val="0"/>
        <w:spacing w:before="200" w:after="283"/>
        <w:jc w:val="left"/>
        <w:rPr>
          <w:rFonts w:ascii="Arial" w:hAnsi="Arial"/>
          <w:b/>
          <w:i/>
          <w:color w:val="000000"/>
          <w:sz w:val="20"/>
        </w:rPr>
      </w:pPr>
      <w:r>
        <w:rPr>
          <w:rFonts w:ascii="Arial" w:hAnsi="Arial"/>
          <w:b/>
          <w:i/>
          <w:color w:val="000000"/>
          <w:sz w:val="20"/>
        </w:rPr>
        <w:t>We expect our revenue mix to vary over time, which could affect our gross profit, gross margin and results of operations.</w:t>
      </w:r>
    </w:p>
    <w:p>
      <w:pPr>
        <w:pStyle w:val="TextBody"/>
        <w:bidi w:val="0"/>
        <w:spacing w:before="200" w:after="283"/>
        <w:jc w:val="left"/>
        <w:rPr>
          <w:rFonts w:ascii="Arial" w:hAnsi="Arial"/>
          <w:color w:val="000000"/>
          <w:sz w:val="20"/>
        </w:rPr>
      </w:pPr>
      <w:r>
        <w:rPr>
          <w:rFonts w:ascii="Arial" w:hAnsi="Arial"/>
          <w:color w:val="000000"/>
          <w:sz w:val="20"/>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pStyle w:val="TextBody"/>
        <w:bidi w:val="0"/>
        <w:spacing w:before="200" w:after="283"/>
        <w:jc w:val="left"/>
        <w:rPr>
          <w:rFonts w:ascii="Arial" w:hAnsi="Arial"/>
          <w:b/>
          <w:i/>
          <w:color w:val="000000"/>
          <w:sz w:val="20"/>
        </w:rPr>
      </w:pPr>
      <w:r>
        <w:rPr>
          <w:rFonts w:ascii="Arial" w:hAnsi="Arial"/>
          <w:b/>
          <w:i/>
          <w:color w:val="000000"/>
          <w:sz w:val="20"/>
        </w:rPr>
        <w:t>If our efforts to attract new clients and increase the number of our clients’ customers that use our solutions are unsuccessful, our revenue growth and operating results will be adversely affected.</w:t>
      </w:r>
    </w:p>
    <w:p>
      <w:pPr>
        <w:pStyle w:val="TextBody"/>
        <w:bidi w:val="0"/>
        <w:spacing w:before="200" w:after="283"/>
        <w:jc w:val="left"/>
        <w:rPr>
          <w:rFonts w:ascii="Times New Roman" w:hAnsi="Times New Roman"/>
          <w:sz w:val="20"/>
        </w:rPr>
      </w:pPr>
      <w:r>
        <w:rPr>
          <w:rFonts w:ascii="Arial" w:hAnsi="Arial"/>
          <w:color w:val="000000"/>
          <w:sz w:val="20"/>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If we are unable to expand our direct and channel sales capabilities, grow our marketing reach and increase sales productivity, we may not be able to generate increased revenues.</w:t>
      </w:r>
    </w:p>
    <w:p>
      <w:pPr>
        <w:pStyle w:val="TextBody"/>
        <w:bidi w:val="0"/>
        <w:spacing w:before="200" w:after="283"/>
        <w:jc w:val="left"/>
        <w:rPr>
          <w:rFonts w:ascii="Arial" w:hAnsi="Arial"/>
          <w:color w:val="000000"/>
          <w:sz w:val="20"/>
        </w:rPr>
      </w:pPr>
      <w:r>
        <w:rPr>
          <w:rFonts w:ascii="Arial" w:hAnsi="Arial"/>
          <w:color w:val="000000"/>
          <w:sz w:val="20"/>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Our business could be adversely affected if our clients or their customers are not satisfied with the timing or quality of implementation services provided by us or our partners.</w:t>
      </w:r>
    </w:p>
    <w:p>
      <w:pPr>
        <w:pStyle w:val="TextBody"/>
        <w:bidi w:val="0"/>
        <w:spacing w:before="200" w:after="283"/>
        <w:jc w:val="left"/>
        <w:rPr>
          <w:rFonts w:ascii="Arial" w:hAnsi="Arial"/>
          <w:color w:val="000000"/>
          <w:sz w:val="20"/>
        </w:rPr>
      </w:pPr>
      <w:r>
        <w:rPr>
          <w:rFonts w:ascii="Arial" w:hAnsi="Arial"/>
          <w:color w:val="000000"/>
          <w:sz w:val="20"/>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pStyle w:val="TextBody"/>
        <w:bidi w:val="0"/>
        <w:spacing w:before="200" w:after="283"/>
        <w:jc w:val="left"/>
        <w:rPr>
          <w:rFonts w:ascii="Arial" w:hAnsi="Arial"/>
          <w:b/>
          <w:i/>
          <w:color w:val="000000"/>
          <w:sz w:val="20"/>
        </w:rPr>
      </w:pPr>
      <w:r>
        <w:rPr>
          <w:rFonts w:ascii="Arial" w:hAnsi="Arial"/>
          <w:b/>
          <w:i/>
          <w:color w:val="000000"/>
          <w:sz w:val="20"/>
        </w:rPr>
        <w:t>Our financial and operating results are subject to seasonality and cyclicality.</w:t>
      </w:r>
    </w:p>
    <w:p>
      <w:pPr>
        <w:pStyle w:val="TextBody"/>
        <w:bidi w:val="0"/>
        <w:spacing w:before="200" w:after="283"/>
        <w:jc w:val="left"/>
        <w:rPr>
          <w:rFonts w:ascii="Arial" w:hAnsi="Arial"/>
          <w:color w:val="000000"/>
          <w:sz w:val="20"/>
        </w:rPr>
      </w:pPr>
      <w:r>
        <w:rPr>
          <w:rFonts w:ascii="Arial" w:hAnsi="Arial"/>
          <w:color w:val="000000"/>
          <w:sz w:val="20"/>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pStyle w:val="TextBody"/>
        <w:bidi w:val="0"/>
        <w:spacing w:before="200" w:after="283"/>
        <w:jc w:val="left"/>
        <w:rPr>
          <w:rFonts w:ascii="Arial" w:hAnsi="Arial"/>
          <w:b/>
          <w:i/>
          <w:color w:val="000000"/>
          <w:sz w:val="20"/>
        </w:rPr>
      </w:pPr>
      <w:r>
        <w:rPr>
          <w:rFonts w:ascii="Arial" w:hAnsi="Arial"/>
          <w:b/>
          <w:i/>
          <w:color w:val="000000"/>
          <w:sz w:val="20"/>
        </w:rPr>
        <w:t>We are exposed to fluctuations in foreign currency exchange rates that could materially and adversely affect our results of operations.</w:t>
      </w:r>
    </w:p>
    <w:p>
      <w:pPr>
        <w:pStyle w:val="TextBody"/>
        <w:bidi w:val="0"/>
        <w:spacing w:before="200" w:after="283"/>
        <w:jc w:val="left"/>
        <w:rPr>
          <w:rFonts w:ascii="Arial" w:hAnsi="Arial"/>
          <w:color w:val="000000"/>
          <w:sz w:val="20"/>
        </w:rPr>
      </w:pPr>
      <w:r>
        <w:rPr>
          <w:rFonts w:ascii="Arial" w:hAnsi="Arial"/>
          <w:color w:val="000000"/>
          <w:sz w:val="20"/>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year ended December 31, 2025, as the U.S. Dollar weakened against several currencies, including the British Pound, relative to the prior year, these foreign exchange impacts increased our reported revenue in U.S. Dollars by approximately $6.6 million compared to the prior year on a foreign exchange (FX) Neutral basis.</w:t>
      </w:r>
    </w:p>
    <w:p>
      <w:pPr>
        <w:pStyle w:val="TextBody"/>
        <w:bidi w:val="0"/>
        <w:spacing w:before="12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pStyle w:val="TextBody"/>
        <w:bidi w:val="0"/>
        <w:spacing w:before="200" w:after="283"/>
        <w:jc w:val="left"/>
        <w:rPr>
          <w:rFonts w:ascii="Arial" w:hAnsi="Arial"/>
          <w:color w:val="000000"/>
          <w:sz w:val="20"/>
        </w:rPr>
      </w:pPr>
      <w:r>
        <w:rPr>
          <w:rFonts w:ascii="Arial" w:hAnsi="Arial"/>
          <w:color w:val="000000"/>
          <w:sz w:val="20"/>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pStyle w:val="TextBody"/>
        <w:bidi w:val="0"/>
        <w:spacing w:before="200" w:after="283"/>
        <w:jc w:val="left"/>
        <w:rPr>
          <w:rFonts w:ascii="Arial" w:hAnsi="Arial"/>
          <w:color w:val="000000"/>
          <w:sz w:val="20"/>
        </w:rPr>
      </w:pPr>
      <w:r>
        <w:rPr>
          <w:rFonts w:ascii="Arial" w:hAnsi="Arial"/>
          <w:color w:val="000000"/>
          <w:sz w:val="20"/>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pStyle w:val="TextBody"/>
        <w:bidi w:val="0"/>
        <w:spacing w:before="200" w:after="283"/>
        <w:jc w:val="left"/>
        <w:rPr>
          <w:rFonts w:ascii="Arial" w:hAnsi="Arial"/>
          <w:b/>
          <w:i/>
          <w:color w:val="000000"/>
          <w:sz w:val="20"/>
        </w:rPr>
      </w:pPr>
      <w:r>
        <w:rPr>
          <w:rFonts w:ascii="Arial" w:hAnsi="Arial"/>
          <w:b/>
          <w:i/>
          <w:color w:val="000000"/>
          <w:sz w:val="20"/>
        </w:rPr>
        <w:t>Certain of our key performance indicators are subject to inherent challenges in measurement, and real or perceived inaccuracies in such metrics may harm our reputation and negatively affect our business.</w:t>
      </w:r>
    </w:p>
    <w:p>
      <w:pPr>
        <w:pStyle w:val="TextBody"/>
        <w:bidi w:val="0"/>
        <w:spacing w:before="200" w:after="283"/>
        <w:jc w:val="left"/>
        <w:rPr>
          <w:rFonts w:ascii="Arial" w:hAnsi="Arial"/>
          <w:color w:val="000000"/>
          <w:sz w:val="20"/>
        </w:rPr>
      </w:pPr>
      <w:r>
        <w:rPr>
          <w:rFonts w:ascii="Arial" w:hAnsi="Arial"/>
          <w:color w:val="000000"/>
          <w:sz w:val="20"/>
        </w:rPr>
        <w:t>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 published by third-parties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pStyle w:val="TextBody"/>
        <w:bidi w:val="0"/>
        <w:spacing w:before="200" w:after="283"/>
        <w:jc w:val="left"/>
        <w:rPr>
          <w:rFonts w:ascii="Arial" w:hAnsi="Arial"/>
          <w:b/>
          <w:i/>
          <w:color w:val="000000"/>
          <w:sz w:val="20"/>
        </w:rPr>
      </w:pPr>
      <w:r>
        <w:rPr>
          <w:rFonts w:ascii="Arial" w:hAnsi="Arial"/>
          <w:b/>
          <w:i/>
          <w:color w:val="000000"/>
          <w:sz w:val="20"/>
        </w:rPr>
        <w:t>Our business depends, in large part, on our proprietary network of global, regional and local banking partners.</w:t>
      </w:r>
    </w:p>
    <w:p>
      <w:pPr>
        <w:pStyle w:val="TextBody"/>
        <w:bidi w:val="0"/>
        <w:spacing w:before="200" w:after="283"/>
        <w:jc w:val="left"/>
        <w:rPr>
          <w:rFonts w:ascii="Arial" w:hAnsi="Arial"/>
          <w:color w:val="000000"/>
          <w:sz w:val="20"/>
        </w:rPr>
      </w:pPr>
      <w:r>
        <w:rPr>
          <w:rFonts w:ascii="Arial" w:hAnsi="Arial"/>
          <w:color w:val="000000"/>
          <w:sz w:val="20"/>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pStyle w:val="TextBody"/>
        <w:bidi w:val="0"/>
        <w:spacing w:before="200" w:after="283"/>
        <w:jc w:val="left"/>
        <w:rPr>
          <w:rFonts w:ascii="Arial" w:hAnsi="Arial"/>
          <w:color w:val="000000"/>
          <w:sz w:val="20"/>
        </w:rPr>
      </w:pPr>
      <w:r>
        <w:rPr>
          <w:rFonts w:ascii="Arial" w:hAnsi="Arial"/>
          <w:color w:val="000000"/>
          <w:sz w:val="20"/>
        </w:rPr>
        <w:t>In addition, our existing banking partners may at any time and from time to time cease serving certain categories of payments due to perceived risk or similar reasons as well as payments originating from, or being paid to, certain high 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pStyle w:val="TextBody"/>
        <w:bidi w:val="0"/>
        <w:spacing w:before="12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pStyle w:val="TextBody"/>
        <w:bidi w:val="0"/>
        <w:spacing w:before="200" w:after="283"/>
        <w:jc w:val="left"/>
        <w:rPr>
          <w:rFonts w:ascii="Arial" w:hAnsi="Arial"/>
          <w:b/>
          <w:i/>
          <w:color w:val="000000"/>
          <w:sz w:val="20"/>
        </w:rPr>
      </w:pPr>
      <w:r>
        <w:rPr>
          <w:rFonts w:ascii="Arial" w:hAnsi="Arial"/>
          <w:b/>
          <w:i/>
          <w:color w:val="000000"/>
          <w:sz w:val="20"/>
        </w:rPr>
        <w:t>Our growth depends in part on the success of our relationships with other (non-banking) third-parties.</w:t>
      </w:r>
    </w:p>
    <w:p>
      <w:pPr>
        <w:pStyle w:val="TextBody"/>
        <w:bidi w:val="0"/>
        <w:spacing w:before="200" w:after="283"/>
        <w:jc w:val="left"/>
        <w:rPr>
          <w:rFonts w:ascii="Arial" w:hAnsi="Arial"/>
          <w:color w:val="000000"/>
          <w:sz w:val="20"/>
        </w:rPr>
      </w:pPr>
      <w:r>
        <w:rPr>
          <w:rFonts w:ascii="Arial" w:hAnsi="Arial"/>
          <w:color w:val="000000"/>
          <w:sz w:val="20"/>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third-parties, and negotiating and documenting relationships with them requires significant time and resources. Our competitors may be more effective in providing incentives to third-parties to favor their products or services. If we are unsuccessful in establishing or maintaining our relationships with third-parties,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pStyle w:val="TextBody"/>
        <w:bidi w:val="0"/>
        <w:spacing w:before="200" w:after="283"/>
        <w:jc w:val="left"/>
        <w:rPr>
          <w:rFonts w:ascii="Arial" w:hAnsi="Arial"/>
          <w:b/>
          <w:i/>
          <w:color w:val="000000"/>
          <w:sz w:val="20"/>
        </w:rPr>
      </w:pPr>
      <w:r>
        <w:rPr>
          <w:rFonts w:ascii="Arial" w:hAnsi="Arial"/>
          <w:b/>
          <w:i/>
          <w:color w:val="000000"/>
          <w:sz w:val="20"/>
        </w:rPr>
        <w:t>The markets in which we participate are competitive, and if we do not compete effectively, our operating results could be harmed.</w:t>
      </w:r>
    </w:p>
    <w:p>
      <w:pPr>
        <w:pStyle w:val="TextBody"/>
        <w:bidi w:val="0"/>
        <w:spacing w:before="200" w:after="283"/>
        <w:jc w:val="left"/>
        <w:rPr>
          <w:rFonts w:ascii="Arial" w:hAnsi="Arial"/>
          <w:color w:val="000000"/>
          <w:sz w:val="20"/>
        </w:rPr>
      </w:pPr>
      <w:r>
        <w:rPr>
          <w:rFonts w:ascii="Arial" w:hAnsi="Arial"/>
          <w:color w:val="000000"/>
          <w:sz w:val="20"/>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pStyle w:val="TextBody"/>
        <w:bidi w:val="0"/>
        <w:spacing w:before="200" w:after="283"/>
        <w:jc w:val="left"/>
        <w:rPr>
          <w:rFonts w:ascii="Arial" w:hAnsi="Arial"/>
          <w:color w:val="000000"/>
          <w:sz w:val="20"/>
        </w:rPr>
      </w:pPr>
      <w:r>
        <w:rPr>
          <w:rFonts w:ascii="Arial" w:hAnsi="Arial"/>
          <w:color w:val="000000"/>
          <w:sz w:val="20"/>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pStyle w:val="TextBody"/>
        <w:bidi w:val="0"/>
        <w:spacing w:before="12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pStyle w:val="TextBody"/>
        <w:bidi w:val="0"/>
        <w:spacing w:before="200" w:after="283"/>
        <w:jc w:val="left"/>
        <w:rPr>
          <w:rFonts w:ascii="Arial" w:hAnsi="Arial"/>
          <w:color w:val="000000"/>
          <w:sz w:val="20"/>
        </w:rPr>
      </w:pPr>
      <w:r>
        <w:rPr>
          <w:rFonts w:ascii="Arial" w:hAnsi="Arial"/>
          <w:color w:val="000000"/>
          <w:sz w:val="20"/>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pStyle w:val="TextBody"/>
        <w:bidi w:val="0"/>
        <w:spacing w:before="200" w:after="283"/>
        <w:jc w:val="left"/>
        <w:rPr>
          <w:rFonts w:ascii="Arial" w:hAnsi="Arial"/>
          <w:b/>
          <w:i/>
          <w:color w:val="000000"/>
          <w:sz w:val="20"/>
        </w:rPr>
      </w:pPr>
      <w:r>
        <w:rPr>
          <w:rFonts w:ascii="Arial" w:hAnsi="Arial"/>
          <w:b/>
          <w:i/>
          <w:color w:val="000000"/>
          <w:sz w:val="20"/>
        </w:rPr>
        <w:t>Our clients in the education sector may be adversely affected by decreases in enrollment, limitations or other restrictions on student visas, pressure on tuition costs, or increased operating expenses, which may reduce demand for our solutions.</w:t>
      </w:r>
    </w:p>
    <w:p>
      <w:pPr>
        <w:pStyle w:val="TextBody"/>
        <w:bidi w:val="0"/>
        <w:spacing w:before="200" w:after="283"/>
        <w:jc w:val="left"/>
        <w:rPr>
          <w:rFonts w:ascii="Arial" w:hAnsi="Arial"/>
          <w:color w:val="000000"/>
          <w:sz w:val="20"/>
        </w:rPr>
      </w:pPr>
      <w:r>
        <w:rPr>
          <w:rFonts w:ascii="Arial" w:hAnsi="Arial"/>
          <w:color w:val="000000"/>
          <w:sz w:val="20"/>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Declines in international student enrollment. Global conflict, geopolitical tensions and restrictions on immigration and revocations, suspensions or increased restrictions or limitations on the award of student visas (such as those being implemented in the U.S., U.K., Canada, and Australia) has and is expected to continue to negatively impact the cross-border education industry and schools that rely on foreign student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Government supported institutions may experience losses or reduction in public funding. Many of our clients rely considerably upon public funding or support, which may not always be available due to budget constraints.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clients’ rankings, reputation and marketing efforts strongly affect enrollments, none of which we control. If we fail to maintain or add clients with strong, stable reputations and rankings, they will fail to achieve consistent enrollments.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U.S. government shutdown could result in the suspension, delay or cancellation in education grants and loans or in the issuance of visas or visa denials, any of which could discourage prospective international students from choosing U.S. institutions as places for study or otherwise negatively impact our revenues derived from such students.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pStyle w:val="TextBody"/>
        <w:bidi w:val="0"/>
        <w:spacing w:before="200" w:after="283"/>
        <w:jc w:val="left"/>
        <w:rPr>
          <w:rFonts w:ascii="Arial" w:hAnsi="Arial"/>
          <w:color w:val="000000"/>
          <w:sz w:val="20"/>
        </w:rPr>
      </w:pPr>
      <w:r>
        <w:rPr>
          <w:rFonts w:ascii="Arial" w:hAnsi="Arial"/>
          <w:color w:val="000000"/>
          <w:sz w:val="20"/>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 Sustained economic weakness in the United States or global economic conditions triggered by imposition of tariffs or other recessionary economic conditions, may disrupt international migration patterns, which are likely to reduce money transfer volumes and harm our operating results.</w:t>
      </w:r>
    </w:p>
    <w:p>
      <w:pPr>
        <w:pStyle w:val="TextBody"/>
        <w:bidi w:val="0"/>
        <w:spacing w:before="12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In November 2025, the IRCC announced that it expects to issue up to 408,000 study permits, including 155,000 to newly arriving international students, as outlined in the 2026–2028 Immigration Levels Plan, and 253,000 extensions for current and returning students. This number is 7% lower than the 2025 issuance target of 437,000 and 16% lower than the 2024 issuance target of 485,000. As of January 1, 2026, master’s and doctoral level students enrolled at a public designated learning institution in Canada will not need to submit a provincial or territorial attestation letter with their study permit application.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for the year ended December 31, 2025.</w:t>
      </w:r>
    </w:p>
    <w:p>
      <w:pPr>
        <w:pStyle w:val="TextBody"/>
        <w:bidi w:val="0"/>
        <w:spacing w:before="200" w:after="283"/>
        <w:jc w:val="left"/>
        <w:rPr>
          <w:rFonts w:ascii="Arial" w:hAnsi="Arial"/>
          <w:color w:val="000000"/>
          <w:sz w:val="20"/>
        </w:rPr>
      </w:pPr>
      <w:r>
        <w:rPr>
          <w:rFonts w:ascii="Arial" w:hAnsi="Arial"/>
          <w:color w:val="000000"/>
          <w:sz w:val="20"/>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for the year ended December 31, 2025, and we anticipate will continue to impact our Australian revenues in 2026.</w:t>
      </w:r>
    </w:p>
    <w:p>
      <w:pPr>
        <w:pStyle w:val="TextBody"/>
        <w:bidi w:val="0"/>
        <w:spacing w:before="200" w:after="283"/>
        <w:jc w:val="left"/>
        <w:rPr>
          <w:rFonts w:ascii="Arial" w:hAnsi="Arial"/>
          <w:color w:val="000000"/>
          <w:sz w:val="20"/>
        </w:rPr>
      </w:pPr>
      <w:r>
        <w:rPr>
          <w:rFonts w:ascii="Arial" w:hAnsi="Arial"/>
          <w:color w:val="000000"/>
          <w:sz w:val="20"/>
        </w:rPr>
        <w:t>The Australian government reclassified India as a highest-risk (Evidence Level 3) student-visa assessment jurisdiction under its Simplified Student Visa Framework (SSVF), shifting India from Evidence Level 2 to the more stringent Evidence Level 3 category effective January 8, 2026. This reclassification was attributed to what the Department of Home Affairs described as “emerging integrity risks,” including concerns about non-genuine applications and fraudulent documentation within the student visa system. Indian student visa applicants are now required to submit more extensive documentation, including detailed financial evidence, authenticated academic records, proof of English language proficiency, and may be subject to additional background checks or interviews before a visa decision can be finalized. Some expected impacts to Australian universities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Expectation of longer student visa processing times, potentially extending from current medians to eight or more weeks, which could disrupt admissions and orientation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administrative burden on international offices and recruitment staff to assist Indian applicants with enhanced documentation and compliance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 of a reduction in Indian student enrollments or delays in arrival, affecting tuition revenue and program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Necessity for universities to adjust intake planning, including staggered start dates or expanded online coursework, to accommodate delayed visa issuance.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for higher refusal rates requiring additional counseling and risk management for affected applicants.</w:t>
      </w:r>
    </w:p>
    <w:p>
      <w:pPr>
        <w:pStyle w:val="TextBody"/>
        <w:bidi w:val="0"/>
        <w:spacing w:before="200" w:after="283"/>
        <w:jc w:val="left"/>
        <w:rPr>
          <w:rFonts w:ascii="Arial" w:hAnsi="Arial"/>
          <w:color w:val="000000"/>
          <w:sz w:val="20"/>
        </w:rPr>
      </w:pPr>
      <w:r>
        <w:rPr>
          <w:rFonts w:ascii="Arial" w:hAnsi="Arial"/>
          <w:color w:val="000000"/>
          <w:sz w:val="20"/>
        </w:rPr>
        <w:t>Flywire could experience reduced transaction volumes and delayed payment flows from its Australian clients’ Indian student corridors due to slower visa processing times, increased application friction, and potential declines in enrollment. These factors could adversely affect our revenue growth in the Asia-Pacific education vertical and increase operational complexity associated with refunds, deferred intakes, and compliance-related payment adjustments.</w:t>
      </w:r>
    </w:p>
    <w:p>
      <w:pPr>
        <w:pStyle w:val="TextBody"/>
        <w:bidi w:val="0"/>
        <w:spacing w:before="200" w:after="283"/>
        <w:jc w:val="left"/>
        <w:rPr>
          <w:rFonts w:ascii="Times New Roman" w:hAnsi="Times New Roman"/>
          <w:sz w:val="20"/>
        </w:rPr>
      </w:pPr>
      <w:r>
        <w:rPr>
          <w:rFonts w:ascii="Arial" w:hAnsi="Arial"/>
          <w:color w:val="000000"/>
          <w:sz w:val="20"/>
        </w:rPr>
        <w:t>In the U.K. as well, there have recently been significant modifications to the process and standards for issuance of international student visas which may reduce demand for international study and adversely affect our business. In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November 2025, the U.K. budget confirmed that a levy of £925 per student per year of study will commence from August 2028, at the start of the 2028/29 academic year, for higher education institutions in England. All providers will be given an allowance of the first 220 international students per year not paying the levy, which may protect smaller, specialist providers from paying the charge. Of potentially more significance is the reduction of the U.K.’s Graduate Route post-study-work-visa from 24 to 18 months as taking effect for visa applications made after January 1, 2027. The change applies to bachelor’s and master’s degrees, and not to PhDs (which retain a 3-year option). All of these changes in UK visa policies for international students could potentially discourage international students from studying in the U.K. and have an adverse impact on our business.</w:t>
      </w:r>
    </w:p>
    <w:p>
      <w:pPr>
        <w:pStyle w:val="TextBody"/>
        <w:bidi w:val="0"/>
        <w:spacing w:before="200" w:after="283"/>
        <w:jc w:val="left"/>
        <w:rPr>
          <w:rFonts w:ascii="Arial" w:hAnsi="Arial"/>
          <w:color w:val="000000"/>
          <w:sz w:val="20"/>
        </w:rPr>
      </w:pPr>
      <w:r>
        <w:rPr>
          <w:rFonts w:ascii="Arial" w:hAnsi="Arial"/>
          <w:color w:val="000000"/>
          <w:sz w:val="20"/>
        </w:rPr>
        <w:t>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The new H-1B visa fee does not apply to international students already in the U.S. looking to apply for a status change. Our U.S. market saw slower growth for the year ended December 31, 2025, due to shifting visa trends. In addition, in 2025 U.S. policy shifts have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 which could be exacerbated by the recent U.S. government shutdown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In addition to caps on international students, government changes to other visa or 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 Changes to U.S. immigration policy can also dampen demands for international study.</w:t>
      </w:r>
    </w:p>
    <w:p>
      <w:pPr>
        <w:pStyle w:val="TextBody"/>
        <w:bidi w:val="0"/>
        <w:spacing w:before="200" w:after="283"/>
        <w:jc w:val="left"/>
        <w:rPr>
          <w:rFonts w:ascii="Arial" w:hAnsi="Arial"/>
          <w:color w:val="000000"/>
          <w:sz w:val="20"/>
        </w:rPr>
      </w:pPr>
      <w:r>
        <w:rPr>
          <w:rFonts w:ascii="Arial" w:hAnsi="Arial"/>
          <w:color w:val="000000"/>
          <w:sz w:val="20"/>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A number of recent actual and proposed U.S. policy changes and enforcement practices could reshape the U.S. private secondary and higher education landscape, impacting students, our client educational institutions, and the wider educational framework in the United States.</w:t>
      </w:r>
    </w:p>
    <w:p>
      <w:pPr>
        <w:pStyle w:val="TextBody"/>
        <w:bidi w:val="0"/>
        <w:spacing w:before="200" w:after="283"/>
        <w:jc w:val="left"/>
        <w:rPr>
          <w:rFonts w:ascii="Arial" w:hAnsi="Arial"/>
          <w:color w:val="000000"/>
          <w:sz w:val="20"/>
        </w:rPr>
      </w:pPr>
      <w:r>
        <w:rPr>
          <w:rFonts w:ascii="Arial" w:hAnsi="Arial"/>
          <w:color w:val="000000"/>
          <w:sz w:val="20"/>
        </w:rPr>
        <w:t>In 2025, there were a number of actions and policies proposed or taken which have unsettled the U.S. private secondary and higher education sector, a historically significant source of clients and revenue for us. Any one or combination of these potential acts and policies coming to fruition or further developing – or even a perception or fear of occurrence – could negatively affect student enrollment at U.S. private boarding schools and colleges and universities, lead to diminishing operating budgets, and adversely affect our business and operating results and financial condition. Among these proposed or actual policies are: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issuances and revocations of student visas, and deportation of students studying in the U.S. High profile instances of students with traditionally protective immigration status being arrested, deported, or having their student visas revoked have drawn widespread media attention. There have similarly been proposals put forth to expand the scope of bans on visa issuances. Diplomatic tensions between the U.S. and other countries can evoke visa restrictions specifically targeting students which would impact their ability to study in the U.S. Changes in U.S. immigration regulations or other laws, practices and frequency or methods of enforcement which discourage immigration or international study could adversely affect our education vertical or growth rate in the future. Reduced or </w:t>
      </w:r>
    </w:p>
    <w:p>
      <w:pPr>
        <w:pStyle w:val="TextBody"/>
        <w:bidi w:val="0"/>
        <w:spacing w:before="12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disrupted international study patterns are likely to reduce the payment volumes we process and harm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Reductions in government funding. There have been a number of instances of actual or threatened withholdings of federal funding to U.S. institutions of higher learning in general as well as to higher-profile U.S. colleges and universities. While some schools have worked out a negotiated arrangement with the U.S. government to allow for funding to continue in whole or in part – subject to specified conditions – others have not, and unreconciled instances continue to create an environment of uncertainty. Changes at the federal level regarding education policy could have a ripple effect on state funding for higher education. This could result in financial uncertainty for public universities that rely on state support, potentially leading to tougher budgetary constraints. Any such reductions could adversely affect the financial health of colleges and universities, leading to diminished operational budgets, fewer student services, and declines in enrollment, which could reduce the demand for our services and negatively impact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Cutbacks to, or elimination of, student loan programs and the U.S. Department of Education. Alterations in student loan regulations or a reduction in U.S. government support for loan programs – particularly for international study – could exacerbate the financial burden on students and their families and make the cost of attending college prohibitively expensive for families. This situation might discourage prospective students from enrolling, thereby affecting overall college attendance rates. We have historically, and expect to continue to, process U.S. student loan payments and a loss of these payment flows or a reduction in the number of students enrolling in higher education institutions that accept U.S. student loan payments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Public image and perception. The perception of these real or proposed policies – especially with respect to immigration and availability of student visas – and their potential to make it more challenging for international students to study in the United States could result in a significant drop in enrollment numbers. This decline would particularly impact our U.S. client institutions that rely heavily on tuition revenue generated from international students. In addition, other nations may implement more attractive visa policies, which could entice international students to choose educational opportunities outside of the United States. Although we have client institutions in countries around the world where international students may choose to study if they are increasingly uncomfortable studying in the U.S., the cost of attending a school in these jurisdictions may be significantly less than in the U.S., and our payment volumes may suffer as a result.</w:t>
      </w:r>
    </w:p>
    <w:p>
      <w:pPr>
        <w:pStyle w:val="TextBody"/>
        <w:bidi w:val="0"/>
        <w:spacing w:before="200" w:after="283"/>
        <w:jc w:val="left"/>
        <w:rPr>
          <w:rFonts w:ascii="Arial" w:hAnsi="Arial"/>
          <w:color w:val="000000"/>
          <w:sz w:val="20"/>
        </w:rPr>
      </w:pPr>
      <w:r>
        <w:rPr>
          <w:rFonts w:ascii="Arial" w:hAnsi="Arial"/>
          <w:color w:val="000000"/>
          <w:sz w:val="20"/>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Requests for deferred admissions, increased student inquiries/concerns, and delays in expected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Visa appointment cancellations, unavailability or delays in scheduling interviews as well as higher visa rejection rates - especially as to potential students from the countries that send the most students to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 European and Asian study destinations that are gaining in market share of student interest often carry lower tuition and related costs of living relative to the United States, which can result in lower volume of payments processed within our education vertical.</w:t>
      </w:r>
    </w:p>
    <w:p>
      <w:pPr>
        <w:pStyle w:val="TextBody"/>
        <w:bidi w:val="0"/>
        <w:spacing w:before="200" w:after="283"/>
        <w:jc w:val="left"/>
        <w:rPr>
          <w:rFonts w:ascii="Arial" w:hAnsi="Arial"/>
          <w:color w:val="000000"/>
          <w:sz w:val="20"/>
        </w:rPr>
      </w:pPr>
      <w:r>
        <w:rPr>
          <w:rFonts w:ascii="Arial" w:hAnsi="Arial"/>
          <w:color w:val="000000"/>
          <w:sz w:val="20"/>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pStyle w:val="TextBody"/>
        <w:bidi w:val="0"/>
        <w:spacing w:before="200" w:after="283"/>
        <w:jc w:val="left"/>
        <w:rPr>
          <w:rFonts w:ascii="Times New Roman" w:hAnsi="Times New Roman"/>
          <w:sz w:val="20"/>
        </w:rPr>
      </w:pPr>
      <w:r>
        <w:rPr>
          <w:rFonts w:ascii="Arial" w:hAnsi="Arial"/>
          <w:color w:val="000000"/>
          <w:sz w:val="20"/>
        </w:rPr>
        <w:t>In addition, in the U.S., the “One Big Beautiful Bill” contains a number of provisions with the potential to significantly change the landscape for financing undergraduate and graduate study and which could adversely affect the demand for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higher education in the U.S. The One Big Beautiful Bill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Most of these changes do not go into effect until July 1, 2026. The bill may impact U.S. student enrollment in undergraduate and postgraduate programs and could materially and adversely affect our revenue and results of operations.</w:t>
      </w:r>
    </w:p>
    <w:p>
      <w:pPr>
        <w:pStyle w:val="TextBody"/>
        <w:bidi w:val="0"/>
        <w:spacing w:before="200" w:after="283"/>
        <w:jc w:val="left"/>
        <w:rPr>
          <w:rFonts w:ascii="Arial" w:hAnsi="Arial"/>
          <w:color w:val="000000"/>
          <w:sz w:val="20"/>
        </w:rPr>
      </w:pPr>
      <w:r>
        <w:rPr>
          <w:rFonts w:ascii="Arial" w:hAnsi="Arial"/>
          <w:color w:val="000000"/>
          <w:sz w:val="20"/>
        </w:rPr>
        <w:t>In October 2025, the current administration introduced a proposal termed the “Compact for Academic Excellence in Higher Education,” under which select U.S. universities would be invited to accept a set of federal policy conditions—such as freezing tuition rates, limiting international student enrollment, altering admissions criteria, and certifying adherence to specified ideological and governance standards—in exchange for preferential access to federal funding and grants. Because a meaningful portion of Flywire’s revenue is generated through cross-border payment services and tuition facilitation for higher-education institutions, changes in federal higher-education policy could indirectly but materially affect us. If major client universities (especially large public and private institutions) decline to engage in or are disqualified from federal funding programs due to a refusal or failure to comply with compact terms, they may downsize enrollments (particularly of international students), constrain capital expenditures, or restructure their financial operations. Such shifts could reduce payment volumes, delay implementation of new systems, and reduce demand for value-added services like foreign-exchange hedging, deferred payments, or collections.</w:t>
      </w:r>
    </w:p>
    <w:p>
      <w:pPr>
        <w:pStyle w:val="TextBody"/>
        <w:bidi w:val="0"/>
        <w:spacing w:before="200" w:after="283"/>
        <w:jc w:val="left"/>
        <w:rPr>
          <w:rFonts w:ascii="Arial" w:hAnsi="Arial"/>
          <w:color w:val="000000"/>
          <w:sz w:val="20"/>
        </w:rPr>
      </w:pPr>
      <w:r>
        <w:rPr>
          <w:rFonts w:ascii="Arial" w:hAnsi="Arial"/>
          <w:color w:val="000000"/>
          <w:sz w:val="20"/>
        </w:rPr>
        <w:t>Moreover, uncertainty stemming from the compact’s adoption or rejection could exacerbate institutional risk in the sector. Universities may postpone upgrades, IT transitions, or third-party service contracts pending clarity on their federal funding status. They may also prioritize internal compliance or legal capabilities over vendor innovation. If key clients delay or scale back programs, Flywire’s financial performance — including revenue growth, margins, or client retention — could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Finally, reputational or policy backlash could create reputational or regulatory risk for providers of educational payments solutions. If the compact becomes politically controversial or perceived as ideologically driven, vendors aligning with affected institutions might face increased scrutiny from policymakers, advocacy groups, or the press. While Flywire operates globally and across verticals, even marginal negative sentiment or regulatory uncertainty in the education payments space could make client acquisition or retention more challenging.</w:t>
      </w:r>
    </w:p>
    <w:p>
      <w:pPr>
        <w:pStyle w:val="TextBody"/>
        <w:bidi w:val="0"/>
        <w:spacing w:before="200" w:after="283"/>
        <w:jc w:val="left"/>
        <w:rPr>
          <w:rFonts w:ascii="Arial" w:hAnsi="Arial"/>
          <w:b/>
          <w:i/>
          <w:color w:val="000000"/>
          <w:sz w:val="20"/>
        </w:rPr>
      </w:pPr>
      <w:r>
        <w:rPr>
          <w:rFonts w:ascii="Arial" w:hAnsi="Arial"/>
          <w:b/>
          <w:i/>
          <w:color w:val="000000"/>
          <w:sz w:val="20"/>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pStyle w:val="TextBody"/>
        <w:bidi w:val="0"/>
        <w:spacing w:before="200" w:after="283"/>
        <w:jc w:val="left"/>
        <w:rPr>
          <w:rFonts w:ascii="Arial" w:hAnsi="Arial"/>
          <w:color w:val="000000"/>
          <w:sz w:val="20"/>
        </w:rPr>
      </w:pPr>
      <w:r>
        <w:rPr>
          <w:rFonts w:ascii="Arial" w:hAnsi="Arial"/>
          <w:color w:val="000000"/>
          <w:sz w:val="20"/>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pStyle w:val="TextBody"/>
        <w:bidi w:val="0"/>
        <w:spacing w:before="200" w:after="283"/>
        <w:jc w:val="left"/>
        <w:rPr>
          <w:rFonts w:ascii="Arial" w:hAnsi="Arial"/>
          <w:color w:val="000000"/>
          <w:sz w:val="20"/>
        </w:rPr>
      </w:pPr>
      <w:r>
        <w:rPr>
          <w:rFonts w:ascii="Arial" w:hAnsi="Arial"/>
          <w:color w:val="000000"/>
          <w:sz w:val="20"/>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pStyle w:val="TextBody"/>
        <w:bidi w:val="0"/>
        <w:spacing w:before="200" w:after="283"/>
        <w:jc w:val="left"/>
        <w:rPr>
          <w:rFonts w:ascii="Times New Roman" w:hAnsi="Times New Roman"/>
          <w:sz w:val="20"/>
        </w:rPr>
      </w:pPr>
      <w:r>
        <w:rPr>
          <w:rFonts w:ascii="Arial" w:hAnsi="Arial"/>
          <w:color w:val="000000"/>
          <w:sz w:val="20"/>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pStyle w:val="TextBody"/>
        <w:bidi w:val="0"/>
        <w:spacing w:before="200" w:after="283"/>
        <w:jc w:val="left"/>
        <w:rPr>
          <w:rFonts w:ascii="Arial" w:hAnsi="Arial"/>
          <w:color w:val="000000"/>
          <w:sz w:val="20"/>
        </w:rPr>
      </w:pPr>
      <w:r>
        <w:rPr>
          <w:rFonts w:ascii="Arial" w:hAnsi="Arial"/>
          <w:color w:val="000000"/>
          <w:sz w:val="20"/>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pStyle w:val="TextBody"/>
        <w:bidi w:val="0"/>
        <w:spacing w:before="200" w:after="283"/>
        <w:jc w:val="left"/>
        <w:rPr>
          <w:rFonts w:ascii="Arial" w:hAnsi="Arial"/>
          <w:color w:val="000000"/>
          <w:sz w:val="20"/>
        </w:rPr>
      </w:pPr>
      <w:r>
        <w:rPr>
          <w:rFonts w:ascii="Arial" w:hAnsi="Arial"/>
          <w:color w:val="000000"/>
          <w:sz w:val="20"/>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pStyle w:val="TextBody"/>
        <w:bidi w:val="0"/>
        <w:spacing w:before="200" w:after="283"/>
        <w:jc w:val="left"/>
        <w:rPr>
          <w:rFonts w:ascii="Arial" w:hAnsi="Arial"/>
          <w:b/>
          <w:i/>
          <w:color w:val="000000"/>
          <w:sz w:val="20"/>
        </w:rPr>
      </w:pPr>
      <w:r>
        <w:rPr>
          <w:rFonts w:ascii="Arial" w:hAnsi="Arial"/>
          <w:b/>
          <w:i/>
          <w:color w:val="000000"/>
          <w:sz w:val="20"/>
        </w:rPr>
        <w:t>Our business serving clients in the travel sector may be sensitive to events affecting the travel industry in general.</w:t>
      </w:r>
    </w:p>
    <w:p>
      <w:pPr>
        <w:pStyle w:val="TextBody"/>
        <w:bidi w:val="0"/>
        <w:spacing w:before="200" w:after="283"/>
        <w:jc w:val="left"/>
        <w:rPr>
          <w:rFonts w:ascii="Times New Roman" w:hAnsi="Times New Roman"/>
          <w:sz w:val="20"/>
        </w:rPr>
      </w:pPr>
      <w:r>
        <w:rPr>
          <w:rFonts w:ascii="Arial" w:hAnsi="Arial"/>
          <w:color w:val="000000"/>
          <w:sz w:val="20"/>
        </w:rPr>
        <w:t>Events like regional or larger scale conflicts, war or other military conflict, including the recent conflicts between Russia and Ukraine, and Israel and Hamas, and Israel and Iran (which has also featured military strikes by the U.S. against Iran),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recessionary trends, heightened interest rates and inflation.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In addition, any hostility towards tourists may depress international travel. The United States has implemented or proposed, or is considering, various changes in laws, regulations or policies such as the imposition of tariffs or sanctions that could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 The payment volume from our travel vertical represented less than 10% of our total payment volume during the year ended December 31, 2025. Because we seek to grow the payment volume and the revenue from this vertical in the future through various initiatives, including our Sertifi acquisition, failure to grow our payment volume and resulting revenue from this industry, may have an adverse effect on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pStyle w:val="TextBody"/>
        <w:bidi w:val="0"/>
        <w:spacing w:before="200" w:after="283"/>
        <w:jc w:val="left"/>
        <w:rPr>
          <w:rFonts w:ascii="Arial" w:hAnsi="Arial"/>
          <w:color w:val="000000"/>
          <w:sz w:val="20"/>
        </w:rPr>
      </w:pPr>
      <w:r>
        <w:rPr>
          <w:rFonts w:ascii="Arial" w:hAnsi="Arial"/>
          <w:color w:val="000000"/>
          <w:sz w:val="20"/>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Our payment volume and resulting revenue from serving the B2B vertical is highly sensitive to restrictions on the cross-border commerce on which our clients rely, and declining economic conditions, increases in the costs or unavailability of imported goods and services due to imposition of tariffs, sanctions or other restrictions, could adversely affect our development of this vertical or our overall operating results and financial condition. The payment volume and resulting revenue from our B2B payment vertical during the year ended December 31, 2025 represented,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pStyle w:val="TextBody"/>
        <w:bidi w:val="0"/>
        <w:spacing w:before="200" w:after="283"/>
        <w:jc w:val="left"/>
        <w:rPr>
          <w:rFonts w:ascii="Arial" w:hAnsi="Arial"/>
          <w:color w:val="000000"/>
          <w:sz w:val="20"/>
        </w:rPr>
      </w:pPr>
      <w:r>
        <w:rPr>
          <w:rFonts w:ascii="Arial" w:hAnsi="Arial"/>
          <w:color w:val="000000"/>
          <w:sz w:val="20"/>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pStyle w:val="TextBody"/>
        <w:bidi w:val="0"/>
        <w:spacing w:before="200" w:after="283"/>
        <w:jc w:val="left"/>
        <w:rPr>
          <w:rFonts w:ascii="Arial" w:hAnsi="Arial"/>
          <w:b/>
          <w:i/>
          <w:color w:val="000000"/>
          <w:sz w:val="20"/>
        </w:rPr>
      </w:pPr>
      <w:r>
        <w:rPr>
          <w:rFonts w:ascii="Arial" w:hAnsi="Arial"/>
          <w:b/>
          <w:i/>
          <w:color w:val="000000"/>
          <w:sz w:val="20"/>
        </w:rPr>
        <w:t>Consolidation in the payment processing or enablement industry could have a material adverse effect on our business, financial condition and results of operations.</w:t>
      </w:r>
    </w:p>
    <w:p>
      <w:pPr>
        <w:pStyle w:val="TextBody"/>
        <w:bidi w:val="0"/>
        <w:spacing w:before="200" w:after="283"/>
        <w:jc w:val="left"/>
        <w:rPr>
          <w:rFonts w:ascii="Arial" w:hAnsi="Arial"/>
          <w:color w:val="000000"/>
          <w:sz w:val="20"/>
        </w:rPr>
      </w:pPr>
      <w:r>
        <w:rPr>
          <w:rFonts w:ascii="Arial" w:hAnsi="Arial"/>
          <w:color w:val="000000"/>
          <w:sz w:val="20"/>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pStyle w:val="TextBody"/>
        <w:bidi w:val="0"/>
        <w:spacing w:before="200" w:after="283"/>
        <w:jc w:val="left"/>
        <w:rPr>
          <w:rFonts w:ascii="Arial" w:hAnsi="Arial"/>
          <w:b/>
          <w:i/>
          <w:color w:val="000000"/>
          <w:sz w:val="20"/>
        </w:rPr>
      </w:pPr>
      <w:r>
        <w:rPr>
          <w:rFonts w:ascii="Arial" w:hAnsi="Arial"/>
          <w:b/>
          <w:i/>
          <w:color w:val="000000"/>
          <w:sz w:val="20"/>
        </w:rPr>
        <w:t>We may be adversely affected by global economic and political instability.</w:t>
      </w:r>
    </w:p>
    <w:p>
      <w:pPr>
        <w:pStyle w:val="TextBody"/>
        <w:bidi w:val="0"/>
        <w:spacing w:before="12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or the effects of ongoing diplomatic and trade friction between Canada and India and the U.S. and countries such as Canada, Mexico and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pStyle w:val="TextBody"/>
        <w:bidi w:val="0"/>
        <w:spacing w:before="200" w:after="283"/>
        <w:jc w:val="left"/>
        <w:rPr>
          <w:rFonts w:ascii="Arial" w:hAnsi="Arial"/>
          <w:color w:val="000000"/>
          <w:sz w:val="20"/>
        </w:rPr>
      </w:pPr>
      <w:r>
        <w:rPr>
          <w:rFonts w:ascii="Arial" w:hAnsi="Arial"/>
          <w:color w:val="000000"/>
          <w:sz w:val="20"/>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After two years of steady conflict, an agreement was reached to end hostilities in October 2025. It is difficult to predict if the additional steps identified as part of a peace plan will be achieved in a timely fashion if at all, or if hostilities will recommence, and if so, their duration.</w:t>
      </w:r>
    </w:p>
    <w:p>
      <w:pPr>
        <w:pStyle w:val="TextBody"/>
        <w:bidi w:val="0"/>
        <w:spacing w:before="200" w:after="283"/>
        <w:jc w:val="left"/>
        <w:rPr>
          <w:rFonts w:ascii="Arial" w:hAnsi="Arial"/>
          <w:color w:val="000000"/>
          <w:sz w:val="20"/>
        </w:rPr>
      </w:pPr>
      <w:r>
        <w:rPr>
          <w:rFonts w:ascii="Arial" w:hAnsi="Arial"/>
          <w:color w:val="000000"/>
          <w:sz w:val="20"/>
        </w:rPr>
        <w:t>The Israel Defense Force (IDF), the national military of Israel, is a conscripted military service, subject to certain exceptions. Since the outbreak of hostilities,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pStyle w:val="TextBody"/>
        <w:bidi w:val="0"/>
        <w:spacing w:before="200" w:after="283"/>
        <w:jc w:val="left"/>
        <w:rPr>
          <w:rFonts w:ascii="Arial" w:hAnsi="Arial"/>
          <w:color w:val="000000"/>
          <w:sz w:val="20"/>
        </w:rPr>
      </w:pPr>
      <w:r>
        <w:rPr>
          <w:rFonts w:ascii="Arial" w:hAnsi="Arial"/>
          <w:color w:val="000000"/>
          <w:sz w:val="20"/>
        </w:rPr>
        <w:t>Although the length, impact and outcome of these conflicts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pStyle w:val="TextBody"/>
        <w:bidi w:val="0"/>
        <w:spacing w:before="200" w:after="283"/>
        <w:jc w:val="left"/>
        <w:rPr>
          <w:rFonts w:ascii="Arial" w:hAnsi="Arial"/>
          <w:color w:val="000000"/>
          <w:sz w:val="20"/>
        </w:rPr>
      </w:pPr>
      <w:r>
        <w:rPr>
          <w:rFonts w:ascii="Arial" w:hAnsi="Arial"/>
          <w:color w:val="000000"/>
          <w:sz w:val="20"/>
        </w:rPr>
        <w:t>We are actively monitoring the situations in Ukraine and Israel and assessing any potential impact on our business, but to date have not experienced any material impact. We have no way to predict the progress or outcome of the conflicts in Ukraine and Israel or any peace that has or may be reached,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Annual Report on Form 10-K.</w:t>
      </w:r>
    </w:p>
    <w:p>
      <w:pPr>
        <w:pStyle w:val="TextBody"/>
        <w:bidi w:val="0"/>
        <w:spacing w:before="200" w:after="283"/>
        <w:jc w:val="left"/>
        <w:rPr>
          <w:rFonts w:ascii="Times New Roman" w:hAnsi="Times New Roman"/>
          <w:sz w:val="20"/>
        </w:rPr>
      </w:pPr>
      <w:r>
        <w:rPr>
          <w:rFonts w:ascii="Arial" w:hAnsi="Arial"/>
          <w:color w:val="000000"/>
          <w:sz w:val="20"/>
        </w:rPr>
        <w:t>In addition, political tensions between the U.S. and countries, such as Canada, Mexico and China, have recently escalated due to, among other things, U.S. policy shifts, and could have an adverse effect on our operating results.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Since February 2025, the U.S. government has enacted, and continues to enact, a series of new tariffs, including a tariff on all imports and additional “reciprocal” tariffs targeting imports from specified countries. These tariffs and other changes in U.S. trade policy have triggered, and could continue to trigger, retaliatory actions by affected countries, including retaliatory measures other protectionist measures that could harm our business, results of operations and financial condition. The tariff policy environment has been and can be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expected to continue to be dynamic. The ultimate impact of these newly enacted and potential future tariffs or other restrictions on international trade will depend on various factors, including the ultimate levels of such tariffs, how long such tariffs remain in place, and how other countries respond to the U.S. tariffs. Any of these factors could have a material adverse effect on our business, prospects, financial condition and results of operations. We cannot assure you that, if the political tension between the U.S. and other countries intensifies and further regulations affecting our business are passed, our business will not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Inflation and heightened interest rates have and may in the future result in decreased demand for our solutions, increases in our operating costs including our labor costs, constrained credit and liquidity, and volatility in financial markets and the banking ecosystem. Although the Federal Reserve lowered interest rates by 25 basis points on each of September 17, 2025, October 29, 2025, and December 10, 2025,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w:t>
      </w:r>
    </w:p>
    <w:p>
      <w:pPr>
        <w:pStyle w:val="TextBody"/>
        <w:bidi w:val="0"/>
        <w:spacing w:before="200" w:after="283"/>
        <w:jc w:val="left"/>
        <w:rPr>
          <w:rFonts w:ascii="Arial" w:hAnsi="Arial"/>
          <w:b/>
          <w:color w:val="000000"/>
          <w:sz w:val="20"/>
        </w:rPr>
      </w:pPr>
      <w:r>
        <w:rPr>
          <w:rFonts w:ascii="Arial" w:hAnsi="Arial"/>
          <w:b/>
          <w:color w:val="000000"/>
          <w:sz w:val="20"/>
        </w:rPr>
        <w:t>Risks Related to Our Operations</w:t>
      </w:r>
    </w:p>
    <w:p>
      <w:pPr>
        <w:pStyle w:val="TextBody"/>
        <w:bidi w:val="0"/>
        <w:spacing w:before="200" w:after="283"/>
        <w:jc w:val="left"/>
        <w:rPr>
          <w:rFonts w:ascii="Arial" w:hAnsi="Arial"/>
          <w:b/>
          <w:i/>
          <w:color w:val="000000"/>
          <w:sz w:val="20"/>
        </w:rPr>
      </w:pPr>
      <w:r>
        <w:rPr>
          <w:rFonts w:ascii="Arial" w:hAnsi="Arial"/>
          <w:b/>
          <w:i/>
          <w:color w:val="000000"/>
          <w:sz w:val="20"/>
        </w:rPr>
        <w:t>We may not be able to scale our business quickly enough to meet our growing client base, and if we are not able to grow efficiently, our operating results could be harmed.</w:t>
      </w:r>
    </w:p>
    <w:p>
      <w:pPr>
        <w:pStyle w:val="TextBody"/>
        <w:bidi w:val="0"/>
        <w:spacing w:before="200" w:after="283"/>
        <w:jc w:val="left"/>
        <w:rPr>
          <w:rFonts w:ascii="Arial" w:hAnsi="Arial"/>
          <w:color w:val="000000"/>
          <w:sz w:val="20"/>
        </w:rPr>
      </w:pPr>
      <w:r>
        <w:rPr>
          <w:rFonts w:ascii="Arial" w:hAnsi="Arial"/>
          <w:color w:val="000000"/>
          <w:sz w:val="20"/>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pStyle w:val="TextBody"/>
        <w:bidi w:val="0"/>
        <w:spacing w:before="200" w:after="283"/>
        <w:jc w:val="left"/>
        <w:rPr>
          <w:rFonts w:ascii="Arial" w:hAnsi="Arial"/>
          <w:color w:val="000000"/>
          <w:sz w:val="20"/>
        </w:rPr>
      </w:pPr>
      <w:r>
        <w:rPr>
          <w:rFonts w:ascii="Arial" w:hAnsi="Arial"/>
          <w:color w:val="000000"/>
          <w:sz w:val="20"/>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We enable the transfer of large sums of funds to our clients daily, and are subject to the risk of errors, which could result in financial losses, damage to our reputation, or loss of trust in our brand, which would harm our business and financial results.</w:t>
      </w:r>
    </w:p>
    <w:p>
      <w:pPr>
        <w:pStyle w:val="TextBody"/>
        <w:bidi w:val="0"/>
        <w:spacing w:before="200" w:after="283"/>
        <w:jc w:val="left"/>
        <w:rPr>
          <w:rFonts w:ascii="Arial" w:hAnsi="Arial"/>
          <w:color w:val="000000"/>
          <w:sz w:val="20"/>
        </w:rPr>
      </w:pPr>
      <w:r>
        <w:rPr>
          <w:rFonts w:ascii="Arial" w:hAnsi="Arial"/>
          <w:color w:val="000000"/>
          <w:sz w:val="20"/>
        </w:rPr>
        <w:t>For the year ended December 31, 2025, we processed over $37.6 billion in payments on our solutions, compared to over $29.7 billion for the year ended December 31, 2024, and approximately $24.0 billion for the year ended December 31, 2023.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or we are otherwise unable to collect on the chargeback, we will bear the economic loss, which can negatively impact our business.</w:t>
      </w:r>
    </w:p>
    <w:p>
      <w:pPr>
        <w:pStyle w:val="TextBody"/>
        <w:bidi w:val="0"/>
        <w:spacing w:before="200" w:after="283"/>
        <w:jc w:val="left"/>
        <w:rPr>
          <w:rFonts w:ascii="Times New Roman" w:hAnsi="Times New Roman"/>
          <w:sz w:val="20"/>
        </w:rPr>
      </w:pPr>
      <w:r>
        <w:rPr>
          <w:rFonts w:ascii="Arial" w:hAnsi="Arial"/>
          <w:color w:val="000000"/>
          <w:sz w:val="20"/>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to our business and our clients, loss of trust, damage to our reputation, or termination of our agreements with strategic partners, each of which could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loss of clients or a reduction in use of our solutions by our clients’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lost or delayed market acceptance and acquisition of new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legal claims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enforcement action;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diversion of our resources, including through increased service expenses or financial concessions, and increased insurance costs.</w:t>
      </w:r>
    </w:p>
    <w:p>
      <w:pPr>
        <w:pStyle w:val="TextBody"/>
        <w:bidi w:val="0"/>
        <w:spacing w:before="200" w:after="283"/>
        <w:jc w:val="left"/>
        <w:rPr>
          <w:rFonts w:ascii="Arial" w:hAnsi="Arial"/>
          <w:color w:val="000000"/>
          <w:sz w:val="20"/>
        </w:rPr>
      </w:pPr>
      <w:r>
        <w:rPr>
          <w:rFonts w:ascii="Arial" w:hAnsi="Arial"/>
          <w:color w:val="000000"/>
          <w:sz w:val="20"/>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pStyle w:val="TextBody"/>
        <w:bidi w:val="0"/>
        <w:spacing w:before="200" w:after="283"/>
        <w:jc w:val="left"/>
        <w:rPr>
          <w:rFonts w:ascii="Arial" w:hAnsi="Arial"/>
          <w:b/>
          <w:i/>
          <w:color w:val="000000"/>
          <w:sz w:val="20"/>
        </w:rPr>
      </w:pPr>
      <w:r>
        <w:rPr>
          <w:rFonts w:ascii="Arial" w:hAnsi="Arial"/>
          <w:b/>
          <w:i/>
          <w:color w:val="000000"/>
          <w:sz w:val="20"/>
        </w:rPr>
        <w:t>Our management of our operating funds and client funds may be reliant on a limited number of our banking partners and other financial institutions.</w:t>
      </w:r>
    </w:p>
    <w:p>
      <w:pPr>
        <w:pStyle w:val="TextBody"/>
        <w:bidi w:val="0"/>
        <w:spacing w:before="200" w:after="283"/>
        <w:jc w:val="left"/>
        <w:rPr>
          <w:rFonts w:ascii="Arial" w:hAnsi="Arial"/>
          <w:color w:val="000000"/>
          <w:sz w:val="20"/>
        </w:rPr>
      </w:pPr>
      <w:r>
        <w:rPr>
          <w:rFonts w:ascii="Arial" w:hAnsi="Arial"/>
          <w:color w:val="000000"/>
          <w:sz w:val="20"/>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pStyle w:val="TextBody"/>
        <w:bidi w:val="0"/>
        <w:spacing w:before="200" w:after="283"/>
        <w:jc w:val="left"/>
        <w:rPr>
          <w:rFonts w:ascii="Arial" w:hAnsi="Arial"/>
          <w:b/>
          <w:i/>
          <w:color w:val="000000"/>
          <w:sz w:val="20"/>
        </w:rPr>
      </w:pPr>
      <w:r>
        <w:rPr>
          <w:rFonts w:ascii="Arial" w:hAnsi="Arial"/>
          <w:b/>
          <w:i/>
          <w:color w:val="000000"/>
          <w:sz w:val="20"/>
        </w:rPr>
        <w:t>Our marketable securities portfolio is subject to credit, liquidity, market, and interest rate risks that could cause its value to decline significantly and materially adversely affect our business, financial condition, results of operations, and prospects.</w:t>
      </w:r>
    </w:p>
    <w:p>
      <w:pPr>
        <w:pStyle w:val="TextBody"/>
        <w:bidi w:val="0"/>
        <w:spacing w:before="200" w:after="283"/>
        <w:jc w:val="left"/>
        <w:rPr>
          <w:rFonts w:ascii="Arial" w:hAnsi="Arial"/>
          <w:color w:val="000000"/>
          <w:sz w:val="20"/>
        </w:rPr>
      </w:pPr>
      <w:r>
        <w:rPr>
          <w:rFonts w:ascii="Arial" w:hAnsi="Arial"/>
          <w:color w:val="000000"/>
          <w:sz w:val="20"/>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pStyle w:val="TextBody"/>
        <w:bidi w:val="0"/>
        <w:spacing w:before="200" w:after="283"/>
        <w:jc w:val="left"/>
        <w:rPr>
          <w:rFonts w:ascii="Arial" w:hAnsi="Arial"/>
          <w:b/>
          <w:i/>
          <w:color w:val="000000"/>
          <w:sz w:val="20"/>
        </w:rPr>
      </w:pPr>
      <w:r>
        <w:rPr>
          <w:rFonts w:ascii="Arial" w:hAnsi="Arial"/>
          <w:b/>
          <w:i/>
          <w:color w:val="000000"/>
          <w:sz w:val="20"/>
        </w:rPr>
        <w:t>Volatility in the banking and financial services ecosystems may impact our bank partnerships and relationships, which could adversely affect our operations and liquidity.</w:t>
      </w:r>
    </w:p>
    <w:p>
      <w:pPr>
        <w:pStyle w:val="TextBody"/>
        <w:bidi w:val="0"/>
        <w:spacing w:before="200" w:after="283"/>
        <w:jc w:val="left"/>
        <w:rPr>
          <w:rFonts w:ascii="Arial" w:hAnsi="Arial"/>
          <w:color w:val="000000"/>
          <w:sz w:val="20"/>
        </w:rPr>
      </w:pPr>
      <w:r>
        <w:rPr>
          <w:rFonts w:ascii="Arial" w:hAnsi="Arial"/>
          <w:color w:val="000000"/>
          <w:sz w:val="20"/>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pStyle w:val="TextBody"/>
        <w:bidi w:val="0"/>
        <w:spacing w:before="200" w:after="283"/>
        <w:jc w:val="left"/>
        <w:rPr>
          <w:rFonts w:ascii="Times New Roman" w:hAnsi="Times New Roman"/>
          <w:sz w:val="20"/>
        </w:rPr>
      </w:pPr>
      <w:r>
        <w:rPr>
          <w:rFonts w:ascii="Arial" w:hAnsi="Arial"/>
          <w:color w:val="000000"/>
          <w:sz w:val="20"/>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pStyle w:val="TextBody"/>
        <w:bidi w:val="0"/>
        <w:spacing w:before="200" w:after="283"/>
        <w:jc w:val="left"/>
        <w:rPr>
          <w:rFonts w:ascii="Arial" w:hAnsi="Arial"/>
          <w:color w:val="000000"/>
          <w:sz w:val="20"/>
        </w:rPr>
      </w:pPr>
      <w:r>
        <w:rPr>
          <w:rFonts w:ascii="Arial" w:hAnsi="Arial"/>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200" w:after="283"/>
        <w:jc w:val="left"/>
        <w:rPr>
          <w:rFonts w:ascii="Arial" w:hAnsi="Arial"/>
          <w:b/>
          <w:i/>
          <w:color w:val="000000"/>
          <w:sz w:val="20"/>
        </w:rPr>
      </w:pPr>
      <w:r>
        <w:rPr>
          <w:rFonts w:ascii="Arial" w:hAnsi="Arial"/>
          <w:b/>
          <w:i/>
          <w:color w:val="000000"/>
          <w:sz w:val="20"/>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pStyle w:val="TextBody"/>
        <w:bidi w:val="0"/>
        <w:spacing w:before="200" w:after="283"/>
        <w:jc w:val="left"/>
        <w:rPr>
          <w:rFonts w:ascii="Arial" w:hAnsi="Arial"/>
          <w:color w:val="000000"/>
          <w:sz w:val="20"/>
        </w:rPr>
      </w:pPr>
      <w:r>
        <w:rPr>
          <w:rFonts w:ascii="Arial" w:hAnsi="Arial"/>
          <w:color w:val="000000"/>
          <w:sz w:val="20"/>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pStyle w:val="TextBody"/>
        <w:bidi w:val="0"/>
        <w:spacing w:before="200" w:after="283"/>
        <w:jc w:val="left"/>
        <w:rPr>
          <w:rFonts w:ascii="Arial" w:hAnsi="Arial"/>
          <w:color w:val="000000"/>
          <w:sz w:val="20"/>
        </w:rPr>
      </w:pPr>
      <w:r>
        <w:rPr>
          <w:rFonts w:ascii="Arial" w:hAnsi="Arial"/>
          <w:color w:val="000000"/>
          <w:sz w:val="20"/>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pStyle w:val="TextBody"/>
        <w:bidi w:val="0"/>
        <w:spacing w:before="200" w:after="283"/>
        <w:jc w:val="left"/>
        <w:rPr>
          <w:rFonts w:ascii="Arial" w:hAnsi="Arial"/>
          <w:b/>
          <w:i/>
          <w:color w:val="000000"/>
          <w:sz w:val="20"/>
        </w:rPr>
      </w:pPr>
      <w:r>
        <w:rPr>
          <w:rFonts w:ascii="Arial" w:hAnsi="Arial"/>
          <w:b/>
          <w:i/>
          <w:color w:val="000000"/>
          <w:sz w:val="20"/>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pStyle w:val="TextBody"/>
        <w:bidi w:val="0"/>
        <w:spacing w:before="200" w:after="283"/>
        <w:jc w:val="left"/>
        <w:rPr>
          <w:rFonts w:ascii="Arial" w:hAnsi="Arial"/>
          <w:color w:val="000000"/>
          <w:sz w:val="20"/>
        </w:rPr>
      </w:pPr>
      <w:r>
        <w:rPr>
          <w:rFonts w:ascii="Arial" w:hAnsi="Arial"/>
          <w:color w:val="000000"/>
          <w:sz w:val="20"/>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pStyle w:val="TextBody"/>
        <w:bidi w:val="0"/>
        <w:spacing w:before="200" w:after="283"/>
        <w:jc w:val="left"/>
        <w:rPr>
          <w:rFonts w:ascii="Times New Roman" w:hAnsi="Times New Roman"/>
          <w:sz w:val="20"/>
        </w:rPr>
      </w:pPr>
      <w:r>
        <w:rPr>
          <w:rFonts w:ascii="Arial" w:hAnsi="Arial"/>
          <w:color w:val="000000"/>
          <w:sz w:val="20"/>
        </w:rPr>
        <w:t>We are responsible for data security for ourselves and for third-parties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third-parties include our distribution partners and other third-party service providers and agents. We and other third-parties collect, process, store and/or transmit personal and sensitive data, such as names, addresses, social security numbers, credit or debit card numbers and expiration dates, driver’s license numbers and bank account numbers. We have ultimate liability to the payment networks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and to our clients for our failure or the failure of third-parties with whom we contract to protect this data in accordance with PCI DSS and network requirements. The loss, destruction or unauthorized modification or disclosure of merchant or cardholder data by us or our contracted third-parties could result in significant fines, sanctions, claims, litigation and proceedings or actions against us by the payment networks, governmental entities, clients, client customers or others and damage our reputation.</w:t>
      </w:r>
    </w:p>
    <w:p>
      <w:pPr>
        <w:pStyle w:val="TextBody"/>
        <w:bidi w:val="0"/>
        <w:spacing w:before="200" w:after="283"/>
        <w:jc w:val="left"/>
        <w:rPr>
          <w:rFonts w:ascii="Arial" w:hAnsi="Arial"/>
          <w:color w:val="000000"/>
          <w:sz w:val="20"/>
        </w:rPr>
      </w:pPr>
      <w:r>
        <w:rPr>
          <w:rFonts w:ascii="Arial" w:hAnsi="Arial"/>
          <w:color w:val="000000"/>
          <w:sz w:val="20"/>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pStyle w:val="TextBody"/>
        <w:bidi w:val="0"/>
        <w:spacing w:before="200" w:after="283"/>
        <w:jc w:val="left"/>
        <w:rPr>
          <w:rFonts w:ascii="Arial" w:hAnsi="Arial"/>
          <w:color w:val="000000"/>
          <w:sz w:val="20"/>
        </w:rPr>
      </w:pPr>
      <w:r>
        <w:rPr>
          <w:rFonts w:ascii="Arial" w:hAnsi="Arial"/>
          <w:color w:val="000000"/>
          <w:sz w:val="20"/>
        </w:rPr>
        <w:t>Threats may derive from human error, fraud, or malice on the part of employees or third-parties,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pStyle w:val="TextBody"/>
        <w:bidi w:val="0"/>
        <w:spacing w:before="200" w:after="283"/>
        <w:jc w:val="left"/>
        <w:rPr>
          <w:rFonts w:ascii="Arial" w:hAnsi="Arial"/>
          <w:color w:val="000000"/>
          <w:sz w:val="20"/>
        </w:rPr>
      </w:pPr>
      <w:r>
        <w:rPr>
          <w:rFonts w:ascii="Arial" w:hAnsi="Arial"/>
          <w:color w:val="000000"/>
          <w:sz w:val="20"/>
        </w:rPr>
        <w:t>We and our contracted third-parties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pStyle w:val="TextBody"/>
        <w:bidi w:val="0"/>
        <w:spacing w:before="200" w:after="283"/>
        <w:jc w:val="left"/>
        <w:rPr>
          <w:rFonts w:ascii="Arial" w:hAnsi="Arial"/>
          <w:color w:val="000000"/>
          <w:sz w:val="20"/>
        </w:rPr>
      </w:pPr>
      <w:r>
        <w:rPr>
          <w:rFonts w:ascii="Arial" w:hAnsi="Arial"/>
          <w:color w:val="000000"/>
          <w:sz w:val="20"/>
        </w:rPr>
        <w:t>Additionally, it is also possible that unauthorized access to sensitive customer and business data may be obtained through inadequate use of security controls by our clients, suppliers or other vendors.</w:t>
      </w:r>
    </w:p>
    <w:p>
      <w:pPr>
        <w:pStyle w:val="TextBody"/>
        <w:bidi w:val="0"/>
        <w:spacing w:before="200" w:after="283"/>
        <w:jc w:val="left"/>
        <w:rPr>
          <w:rFonts w:ascii="Times New Roman" w:hAnsi="Times New Roman"/>
          <w:sz w:val="20"/>
        </w:rPr>
      </w:pPr>
      <w:r>
        <w:rPr>
          <w:rFonts w:ascii="Arial" w:hAnsi="Arial"/>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third-parties are inadequate or are breached as a result of third-party action, employee or contractor error, malfeasance, malware,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pStyle w:val="TextBody"/>
        <w:bidi w:val="0"/>
        <w:spacing w:before="200" w:after="283"/>
        <w:jc w:val="left"/>
        <w:rPr>
          <w:rFonts w:ascii="Arial" w:hAnsi="Arial"/>
          <w:color w:val="000000"/>
          <w:sz w:val="20"/>
        </w:rPr>
      </w:pPr>
      <w:r>
        <w:rPr>
          <w:rFonts w:ascii="Arial" w:hAnsi="Arial"/>
          <w:color w:val="000000"/>
          <w:sz w:val="20"/>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pStyle w:val="TextBody"/>
        <w:bidi w:val="0"/>
        <w:spacing w:before="200" w:after="283"/>
        <w:jc w:val="left"/>
        <w:rPr>
          <w:rFonts w:ascii="Arial" w:hAnsi="Arial"/>
          <w:color w:val="000000"/>
          <w:sz w:val="20"/>
        </w:rPr>
      </w:pPr>
      <w:r>
        <w:rPr>
          <w:rFonts w:ascii="Arial" w:hAnsi="Arial"/>
          <w:color w:val="000000"/>
          <w:sz w:val="20"/>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before="200" w:after="283"/>
        <w:jc w:val="left"/>
        <w:rPr>
          <w:rFonts w:ascii="Arial" w:hAnsi="Arial"/>
          <w:b/>
          <w:i/>
          <w:color w:val="000000"/>
          <w:sz w:val="20"/>
        </w:rPr>
      </w:pPr>
      <w:r>
        <w:rPr>
          <w:rFonts w:ascii="Arial" w:hAnsi="Arial"/>
          <w:b/>
          <w:i/>
          <w:color w:val="000000"/>
          <w:sz w:val="20"/>
        </w:rPr>
        <w:t>Cyberattacks and security vulnerabilities can disrupt our business and harm our competitive position.</w:t>
      </w:r>
    </w:p>
    <w:p>
      <w:pPr>
        <w:pStyle w:val="TextBody"/>
        <w:bidi w:val="0"/>
        <w:spacing w:before="200" w:after="283"/>
        <w:jc w:val="left"/>
        <w:rPr>
          <w:rFonts w:ascii="Times New Roman" w:hAnsi="Times New Roman"/>
          <w:sz w:val="20"/>
        </w:rPr>
      </w:pPr>
      <w:r>
        <w:rPr>
          <w:rFonts w:ascii="Arial" w:hAnsi="Arial"/>
          <w:color w:val="000000"/>
          <w:sz w:val="20"/>
        </w:rPr>
        <w:t>Cyber incidents have been increasing in sophistication and frequency and can include third-parties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and Iran,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third-parties to breach our or other parties’ systems, including when such technologies are used to target our employees or impersonate members of senior management in order to gain unauthorized access to our systems.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brand becomes more widely known and recognized, third-parties may increasingly seek to compromise our security controls or gain unauthorized access to our sensitive corporate information or our clients’ (or our clients’ customers’) data.</w:t>
      </w:r>
    </w:p>
    <w:p>
      <w:pPr>
        <w:pStyle w:val="TextBody"/>
        <w:bidi w:val="0"/>
        <w:spacing w:before="200" w:after="283"/>
        <w:jc w:val="left"/>
        <w:rPr>
          <w:rFonts w:ascii="Arial" w:hAnsi="Arial"/>
          <w:color w:val="000000"/>
          <w:sz w:val="20"/>
        </w:rPr>
      </w:pPr>
      <w:r>
        <w:rPr>
          <w:rFonts w:ascii="Arial" w:hAnsi="Arial"/>
          <w:color w:val="000000"/>
          <w:sz w:val="20"/>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pStyle w:val="TextBody"/>
        <w:bidi w:val="0"/>
        <w:spacing w:before="200" w:after="283"/>
        <w:jc w:val="left"/>
        <w:rPr>
          <w:rFonts w:ascii="Arial" w:hAnsi="Arial"/>
          <w:b/>
          <w:i/>
          <w:color w:val="000000"/>
          <w:sz w:val="20"/>
        </w:rPr>
      </w:pPr>
      <w:r>
        <w:rPr>
          <w:rFonts w:ascii="Arial" w:hAnsi="Arial"/>
          <w:b/>
          <w:i/>
          <w:color w:val="000000"/>
          <w:sz w:val="20"/>
        </w:rPr>
        <w:t>Our risk management efforts may not be effective to prevent fraudulent activities by our clients, FlyMates or other third-parties, which could expose us to material financial losses and liability and otherwise harm our business.</w:t>
      </w:r>
    </w:p>
    <w:p>
      <w:pPr>
        <w:pStyle w:val="TextBody"/>
        <w:bidi w:val="0"/>
        <w:spacing w:before="200" w:after="283"/>
        <w:jc w:val="left"/>
        <w:rPr>
          <w:rFonts w:ascii="Arial" w:hAnsi="Arial"/>
          <w:color w:val="000000"/>
          <w:sz w:val="20"/>
        </w:rPr>
      </w:pPr>
      <w:r>
        <w:rPr>
          <w:rFonts w:ascii="Arial" w:hAnsi="Arial"/>
          <w:color w:val="000000"/>
          <w:sz w:val="20"/>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advanced uses of AI for fraudulent purposes,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third-parties.</w:t>
      </w:r>
    </w:p>
    <w:p>
      <w:pPr>
        <w:pStyle w:val="TextBody"/>
        <w:bidi w:val="0"/>
        <w:spacing w:before="200" w:after="283"/>
        <w:jc w:val="left"/>
        <w:rPr>
          <w:rFonts w:ascii="Arial" w:hAnsi="Arial"/>
          <w:color w:val="000000"/>
          <w:sz w:val="20"/>
        </w:rPr>
      </w:pPr>
      <w:r>
        <w:rPr>
          <w:rFonts w:ascii="Arial" w:hAnsi="Arial"/>
          <w:color w:val="000000"/>
          <w:sz w:val="20"/>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pStyle w:val="TextBody"/>
        <w:bidi w:val="0"/>
        <w:spacing w:before="200" w:after="283"/>
        <w:jc w:val="left"/>
        <w:rPr>
          <w:rFonts w:ascii="Arial" w:hAnsi="Arial"/>
          <w:color w:val="000000"/>
          <w:sz w:val="20"/>
        </w:rPr>
      </w:pPr>
      <w:r>
        <w:rPr>
          <w:rFonts w:ascii="Arial" w:hAnsi="Arial"/>
          <w:color w:val="000000"/>
          <w:sz w:val="20"/>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pStyle w:val="TextBody"/>
        <w:bidi w:val="0"/>
        <w:spacing w:before="200" w:after="283"/>
        <w:jc w:val="left"/>
        <w:rPr>
          <w:rFonts w:ascii="Arial" w:hAnsi="Arial"/>
          <w:b/>
          <w:i/>
          <w:color w:val="000000"/>
          <w:sz w:val="20"/>
        </w:rPr>
      </w:pPr>
      <w:r>
        <w:rPr>
          <w:rFonts w:ascii="Arial" w:hAnsi="Arial"/>
          <w:b/>
          <w:i/>
          <w:color w:val="000000"/>
          <w:sz w:val="20"/>
        </w:rPr>
        <w:t>We rely on a third-party digital asset partner to process stablecoin transactions and facilitate fiat conversion. Any operational failure, security breach, or regulatory action affecting our third-party digital asset partner could expose us to additional financial, regulatory, operational, and market risks that could adversely affect our business, financial condition, and results of operations.</w:t>
      </w:r>
    </w:p>
    <w:p>
      <w:pPr>
        <w:pStyle w:val="TextBody"/>
        <w:bidi w:val="0"/>
        <w:spacing w:before="200" w:after="283"/>
        <w:jc w:val="left"/>
        <w:rPr>
          <w:rFonts w:ascii="Times New Roman" w:hAnsi="Times New Roman"/>
          <w:sz w:val="20"/>
        </w:rPr>
      </w:pPr>
      <w:r>
        <w:rPr>
          <w:rFonts w:ascii="Arial" w:hAnsi="Arial"/>
          <w:color w:val="000000"/>
          <w:sz w:val="20"/>
        </w:rPr>
        <w:t>To enable our clients to offer stablecoin payment options, we partner with a third-party digital asset service provider (the "Digital Asset Partner"). Under this arrangement, the Digital Asset Partner receives the stablecoins directly from the client's customer, converts the digital assets into fiat currency, and settles the fiat currency to us for payout to our client. We do not buy, sell, receive, transmit, custody, hold, issue, or exchange digital assets. However, we are highly dependent on the operational and financial stability of our Digital Asset Partner. If our Digital Asset Partner experiences system</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outages, cybersecurity breaches, insolvency, or loss of its regulatory authorizations or banking relationships, the conversion and settlement of funds could be delayed or frozen (temporarily or permanently).</w:t>
      </w:r>
    </w:p>
    <w:p>
      <w:pPr>
        <w:pStyle w:val="TextBody"/>
        <w:bidi w:val="0"/>
        <w:spacing w:before="200" w:after="283"/>
        <w:jc w:val="left"/>
        <w:rPr>
          <w:rFonts w:ascii="Arial" w:hAnsi="Arial"/>
          <w:color w:val="000000"/>
          <w:sz w:val="20"/>
        </w:rPr>
      </w:pPr>
      <w:r>
        <w:rPr>
          <w:rFonts w:ascii="Arial" w:hAnsi="Arial"/>
          <w:color w:val="000000"/>
          <w:sz w:val="20"/>
        </w:rPr>
        <w:t>Stablecoins also introduce additional operational and cybersecurity risks. The blockchain networks and digital wallets our Digital Asset Partner uses to process stablecoin transactions may be vulnerable to congestion, security breaches, hacking, phishing attacks, software bugs, hard forks, and network failures. Any of these could result in the loss or theft of stablecoin funds, for which we may have limited recourse due to the decentralized and irreversible nature of blockchain transactions. If our Digital Asset Provider, the public blockchain networks, or any stablecoin issuers experience insolvency, operational disruptions, or fraudulent activity, our Digital Asset Partner’s ability to process payments or convert stablecoins to fiat currency could be impaired, potentially leading to financial losses or liquidity constraints.</w:t>
      </w:r>
    </w:p>
    <w:p>
      <w:pPr>
        <w:pStyle w:val="TextBody"/>
        <w:bidi w:val="0"/>
        <w:spacing w:before="200" w:after="283"/>
        <w:jc w:val="left"/>
        <w:rPr>
          <w:rFonts w:ascii="Arial" w:hAnsi="Arial"/>
          <w:color w:val="000000"/>
          <w:sz w:val="20"/>
        </w:rPr>
      </w:pPr>
      <w:r>
        <w:rPr>
          <w:rFonts w:ascii="Arial" w:hAnsi="Arial"/>
          <w:color w:val="000000"/>
          <w:sz w:val="20"/>
        </w:rPr>
        <w:t>Although we operate exclusively in fiat currency, our Digital Asset Partner’s processing of stablecoin payments indirectly exposes us to complex, evolving, and uncertain digital asset regulations. The regulatory environment surrounding stablecoins remains uncertain and rapidly evolving. Legislatures and regulatory bodies, including foreign authorities, continue to evaluate whether stablecoins constitute securities, commodities, or other regulated financial instruments. Although our business model is limited to receiving and settling in fiat currency, regulators may interpret existing laws and regulations to apply to our activities or our integration with our Digital Asset Partner. In addition, new laws, regulations, or enforcement actions could impose significant compliance obligations on our Digital Asset Partner or on us, including additional licensing, AML and KYC requirements. This could restrict our ability to continue collaborating with our Digital Asset Partner, result in unfavorable changes in use, transfer, and redemption of stablecoins, or impose tax liabilities upon stablecoin holders. Noncompliance with such regulations, even unintentional, could result in fines, penalties, legal proceedings, and reputational harm. Furthermore, if a stablecoin issuer is deemed non-compliant with applicable laws, it could disrupt our payment operations or expose us to liability for including a non-compliant stablecoin as a payment option in our client’s checkout.</w:t>
      </w:r>
    </w:p>
    <w:p>
      <w:pPr>
        <w:pStyle w:val="TextBody"/>
        <w:bidi w:val="0"/>
        <w:spacing w:before="200" w:after="283"/>
        <w:jc w:val="left"/>
        <w:rPr>
          <w:rFonts w:ascii="Arial" w:hAnsi="Arial"/>
          <w:color w:val="000000"/>
          <w:sz w:val="20"/>
        </w:rPr>
      </w:pPr>
      <w:r>
        <w:rPr>
          <w:rFonts w:ascii="Arial" w:hAnsi="Arial"/>
          <w:color w:val="000000"/>
          <w:sz w:val="20"/>
        </w:rPr>
        <w:t>The stablecoins utilized in our payment flows may be subject to "de-pegging" events and market volatility and are not protected by deposit insurance. Although stablecoins are designed to maintain a stable value while being pegged to fiat currencies like the U.S. dollar, the stability and reliability of stablecoins are not guaranteed and depend on various factors beyond our control, including the financial health of the issuing entity, the adequacy and liquidity of reserve assets, and the effectiveness of the underlying stabilization mechanisms. A stablecoin that our Digital Asset Partner handles may experience a significant devaluation or “de-pegging” event (“De-pegging Event”), where its market value drops materially below its intended fiat value peg due to algorithmic failures, lack of adequate reserve assets, or panic selling. If a De-pegging Event occurs during the window between a payer initiating a checkout and our Digital Asset Partner executing the conversion from stablecoin to fiat, it could result in a shortfall of fiat funds delivered to us, causing us to incur losses. A De-pegging Event could also cause disruptions in transaction processing and may cause our clients or our client's customers to lose confidence in us. All of these things could negatively impact our financial condition, operations, and reputation. Moreover, stablecoins are not subject to any deposit insurance protection scheme, and the presence of fiat currency reserves is not a guarantee for redemption. There is a possibility that the assets that stablecoin issuers hold in reserves are not sufficient or may not be available for redemption at times of extremely high demand. Volatility spikes in the cryptocurrency markets also might lead to De-pegging Events.</w:t>
      </w:r>
    </w:p>
    <w:p>
      <w:pPr>
        <w:pStyle w:val="TextBody"/>
        <w:bidi w:val="0"/>
        <w:spacing w:before="200" w:after="283"/>
        <w:jc w:val="left"/>
        <w:rPr>
          <w:rFonts w:ascii="Arial" w:hAnsi="Arial"/>
          <w:color w:val="000000"/>
          <w:sz w:val="20"/>
        </w:rPr>
      </w:pPr>
      <w:r>
        <w:rPr>
          <w:rFonts w:ascii="Arial" w:hAnsi="Arial"/>
          <w:color w:val="000000"/>
          <w:sz w:val="20"/>
        </w:rPr>
        <w:t>Stablecoins are a relatively new payment method, and they present additional risks related to market acceptance. If clients or their customers lose confidence in stablecoins due to volatility, scandals, legislative or regulatory actions, or other factors, demand for stablecoin payment options could decline or we would be forced to incur costs to adapt to such changes. Conversely, if we cease enabling stablecoin as a payment method in response to these risks, we may alienate a segment of our client or client’s customer base that prefers cryptocurrency payments, potentially reducing our market competitiveness.</w:t>
      </w:r>
    </w:p>
    <w:p>
      <w:pPr>
        <w:pStyle w:val="TextBody"/>
        <w:bidi w:val="0"/>
        <w:spacing w:before="200" w:after="283"/>
        <w:jc w:val="left"/>
        <w:rPr>
          <w:rFonts w:ascii="Arial" w:hAnsi="Arial"/>
          <w:color w:val="000000"/>
          <w:sz w:val="20"/>
        </w:rPr>
      </w:pPr>
      <w:r>
        <w:rPr>
          <w:rFonts w:ascii="Arial" w:hAnsi="Arial"/>
          <w:color w:val="000000"/>
          <w:sz w:val="20"/>
        </w:rPr>
        <w:t>Fluctuations in the broader cryptocurrency market could also indirectly impact stablecoin transactions. A significant downturn in cryptocurrency prices or public sentiment could trigger redemption pressures on stablecoin issuers, straining their reserves and increasing the likelihood of instability. Such events could disrupt our Digital Asset Partner’s payment processing capabilities and financial position and, in turn, negatively impact our financial condition, operations, and reputation</w:t>
      </w:r>
    </w:p>
    <w:p>
      <w:pPr>
        <w:pStyle w:val="TextBody"/>
        <w:bidi w:val="0"/>
        <w:spacing w:before="200" w:after="283"/>
        <w:jc w:val="left"/>
        <w:rPr>
          <w:rFonts w:ascii="Arial" w:hAnsi="Arial"/>
          <w:b/>
          <w:i/>
          <w:color w:val="000000"/>
          <w:sz w:val="20"/>
        </w:rPr>
      </w:pPr>
      <w:r>
        <w:rPr>
          <w:rFonts w:ascii="Arial" w:hAnsi="Arial"/>
          <w:b/>
          <w:i/>
          <w:color w:val="000000"/>
          <w:sz w:val="20"/>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pStyle w:val="TextBody"/>
        <w:bidi w:val="0"/>
        <w:spacing w:before="200" w:after="283"/>
        <w:jc w:val="left"/>
        <w:rPr>
          <w:rFonts w:ascii="Times New Roman" w:hAnsi="Times New Roman"/>
          <w:sz w:val="20"/>
        </w:rPr>
      </w:pPr>
      <w:r>
        <w:rPr>
          <w:rFonts w:ascii="Arial" w:hAnsi="Arial"/>
          <w:color w:val="000000"/>
          <w:sz w:val="20"/>
        </w:rPr>
        <w:t>Our future success depends in large part on the continued growth and development of our payments solutions. If such activities are limited, restricted, curtailed or degraded in any way, or if we fail to continue to grow and develop our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pStyle w:val="TextBody"/>
        <w:bidi w:val="0"/>
        <w:spacing w:before="200" w:after="283"/>
        <w:jc w:val="left"/>
        <w:rPr>
          <w:rFonts w:ascii="Arial" w:hAnsi="Arial"/>
          <w:color w:val="000000"/>
          <w:sz w:val="20"/>
        </w:rPr>
      </w:pPr>
      <w:r>
        <w:rPr>
          <w:rFonts w:ascii="Arial" w:hAnsi="Arial"/>
          <w:color w:val="000000"/>
          <w:sz w:val="20"/>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pStyle w:val="TextBody"/>
        <w:bidi w:val="0"/>
        <w:spacing w:before="200" w:after="283"/>
        <w:jc w:val="left"/>
        <w:rPr>
          <w:rFonts w:ascii="Arial" w:hAnsi="Arial"/>
          <w:b/>
          <w:i/>
          <w:color w:val="000000"/>
          <w:sz w:val="20"/>
        </w:rPr>
      </w:pPr>
      <w:r>
        <w:rPr>
          <w:rFonts w:ascii="Arial" w:hAnsi="Arial"/>
          <w:b/>
          <w:i/>
          <w:color w:val="000000"/>
          <w:sz w:val="20"/>
        </w:rPr>
        <w:t>We use artificial intelligence (AI) in our solutions and services which may result in operational challenges, legal liability, reputational harm, competitive risks and regulatory and enhanced fraud concerns that could adversely affect our business and results of operations.</w:t>
      </w:r>
    </w:p>
    <w:p>
      <w:pPr>
        <w:pStyle w:val="TextBody"/>
        <w:bidi w:val="0"/>
        <w:spacing w:before="200" w:after="283"/>
        <w:jc w:val="left"/>
        <w:rPr>
          <w:rFonts w:ascii="Arial" w:hAnsi="Arial"/>
          <w:color w:val="000000"/>
          <w:sz w:val="20"/>
        </w:rPr>
      </w:pPr>
      <w:r>
        <w:rPr>
          <w:rFonts w:ascii="Arial" w:hAnsi="Arial"/>
          <w:color w:val="000000"/>
          <w:sz w:val="20"/>
        </w:rPr>
        <w:t>We incorporate AI, including generative AI, into our solutions and services, including into our payor virtual assistant self-help chatbot. We may also incorporate or resell third-party AI technology into the services we provide to our clients. These technologies are complex and rapidly evolving and building them requires significant investment in infrastructure and personnel with no assurance that we will realize the desired or anticipated benefits. There is no assurance that the usage of such AI-powered solutions, whether developed in-house or sourced from third-parties, will enhance our business, or otherwise help our operations become more effective, efficient, or profitable. The models underlying our AI-powered solutions may be incorrectly or inadequately designed or implemented. They may also be trained on, or otherwise use, biased, incomplete, inaccurate, misleading, or poor-quality data or algorithms, any of which may not be easily detectable. AI-powered solutions may also be adversely impacted by unforeseen defects, technical challenges, cyberattacks, cybersecurity breaches, service outages or other similar incidents, or material performance issues. Accordingly, our use or delivery to our clients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or clients or clients’ customers or partners, or otherwise interfere with the performance of our business.</w:t>
      </w:r>
    </w:p>
    <w:p>
      <w:pPr>
        <w:pStyle w:val="TextBody"/>
        <w:bidi w:val="0"/>
        <w:spacing w:before="200" w:after="283"/>
        <w:jc w:val="left"/>
        <w:rPr>
          <w:rFonts w:ascii="Arial" w:hAnsi="Arial"/>
          <w:color w:val="000000"/>
          <w:sz w:val="20"/>
        </w:rPr>
      </w:pPr>
      <w:r>
        <w:rPr>
          <w:rFonts w:ascii="Arial" w:hAnsi="Arial"/>
          <w:color w:val="000000"/>
          <w:sz w:val="20"/>
        </w:rPr>
        <w:t>The rapid adoption of generative AI technologies—such as OpenAI’s ChatGPT and similar tools—may adversely impact certain categories of our traditional clients, including online learning platforms and education technology providers. As students increasingly use AI tools as substitutes for conventional digital learning and tutoring services, these clients could experience reduced demand for their offerings, which in turn may decrease the volume of transactions processed through our platform and negatively affect our results of operations.</w:t>
      </w:r>
    </w:p>
    <w:p>
      <w:pPr>
        <w:pStyle w:val="TextBody"/>
        <w:bidi w:val="0"/>
        <w:spacing w:before="200" w:after="283"/>
        <w:jc w:val="left"/>
        <w:rPr>
          <w:rFonts w:ascii="Times New Roman" w:hAnsi="Times New Roman"/>
          <w:sz w:val="20"/>
        </w:rPr>
      </w:pPr>
      <w:r>
        <w:rPr>
          <w:rFonts w:ascii="Arial" w:hAnsi="Arial"/>
          <w:color w:val="000000"/>
          <w:sz w:val="20"/>
        </w:rPr>
        <w:t>Our competitors may more successfully or more quickly incorporate AI into their products and achieve higher market acceptance of their AI solutions, which could impair our ability to compete effectively and adversely affect our results of operations, and we may also encounter new risks, challenges, and unintended consequences as a result of our use of AI. For example, the issue of intellectual property ownership and license rights surrounding AI technologies has not been fully addressed by U.S. or international courts or federal or state laws and regulations. We may not have adequate rights to use the data on which our AI-powered solutions rely. To the extent that we do not have sufficient rights to use the data used in, or produced by, the AI-powered solutions employed in our business and operations, we could be exposed to intellectual property claims or mandatory compliance with open-source software or other license terms. Further, any content or other output created by us using AI-powered solutions may not be subject to copyright protection, which may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adversely affect our ability to commercialize or use, or the validity or enforceability of any IP rights in, such content or other output.</w:t>
      </w:r>
    </w:p>
    <w:p>
      <w:pPr>
        <w:pStyle w:val="TextBody"/>
        <w:bidi w:val="0"/>
        <w:spacing w:before="200" w:after="283"/>
        <w:jc w:val="left"/>
        <w:rPr>
          <w:rFonts w:ascii="Arial" w:hAnsi="Arial"/>
          <w:color w:val="000000"/>
          <w:sz w:val="20"/>
        </w:rPr>
      </w:pPr>
      <w:r>
        <w:rPr>
          <w:rFonts w:ascii="Arial" w:hAnsi="Arial"/>
          <w:color w:val="000000"/>
          <w:sz w:val="20"/>
        </w:rPr>
        <w:t>Our use of AI may also lead to novel cybersecurity or privacy risks, including those that implicate the confidential and personal information of users of AI-powered solutions, which may adversely affect our operations and reputation and expose us to legal liability or regulatory risks, including with respect to third-party IP rights or privacy, publicity, contractual, or other rights. If any of our employees, contractors, or other third-parties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personal information, which may impact our ability to realize the benefit of, or adequately obtain, maintain, protect, defend, and enforce our IP rights in, such information or otherwise harm our competitive position, reputation, or business.</w:t>
      </w:r>
    </w:p>
    <w:p>
      <w:pPr>
        <w:pStyle w:val="TextBody"/>
        <w:bidi w:val="0"/>
        <w:spacing w:before="200" w:after="283"/>
        <w:jc w:val="left"/>
        <w:rPr>
          <w:rFonts w:ascii="Arial" w:hAnsi="Arial"/>
          <w:color w:val="000000"/>
          <w:sz w:val="20"/>
        </w:rPr>
      </w:pPr>
      <w:r>
        <w:rPr>
          <w:rFonts w:ascii="Arial" w:hAnsi="Arial"/>
          <w:color w:val="000000"/>
          <w:sz w:val="20"/>
        </w:rPr>
        <w:t>The European Union’s Artificial Intelligence Act (the EU AI Act), which would apply beyond the European Union's borders, came into force in August 2024, and various other governments have proposed or adopted policy and regulatory responses to oversee the use of AI. There is a risk that our current or future AI-powered solutions may obligate us to comply with the applicable requirements of the EU AI Act, which may impose additional costs on us, increase our risk of liability and fines, or otherwise adversely affect our business, financial condition, operating results, and future prospects. Compliance with other regulations as well as social and ethical standards and client expectations relating to AI may require significant research and development costs as well as management and employee attention. Any actual or perceived failure to comply with these laws, regulations, ethical standards or expectations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pStyle w:val="TextBody"/>
        <w:bidi w:val="0"/>
        <w:spacing w:before="200" w:after="283"/>
        <w:jc w:val="left"/>
        <w:rPr>
          <w:rFonts w:ascii="Arial" w:hAnsi="Arial"/>
          <w:color w:val="000000"/>
          <w:sz w:val="20"/>
        </w:rPr>
      </w:pPr>
      <w:r>
        <w:rPr>
          <w:rFonts w:ascii="Arial" w:hAnsi="Arial"/>
          <w:color w:val="000000"/>
          <w:sz w:val="20"/>
        </w:rPr>
        <w:t>In addition, the nefarious and fraudulent uses of AI by bad actors could lead to reputational damage if we fail, or are perceived to fail, to align our AML, KYC, sanctions and verification screening policies, procedures and protocols to detect fraudulent activity relating to the use of AI. Such failures may result in financial loss to our business, other fines, penalties or disciplinary actions imposed by regulators, lawsuits and claims from negatively impacted clients or payors, and may also erode trust in the use of our services by clients and our clients’ customers. Although we take steps designed to mitigate the risks associated with the use of AI in our business and operations, our use or the use of AI for fraudulent purposes by bad actors may present ethical, reputational, technical, operational, legal, competitive, or regulatory risks, any of which could adversely affect our business, financial condition, operating results, and future prospects.</w:t>
      </w:r>
    </w:p>
    <w:p>
      <w:pPr>
        <w:pStyle w:val="TextBody"/>
        <w:bidi w:val="0"/>
        <w:spacing w:before="200" w:after="283"/>
        <w:jc w:val="left"/>
        <w:rPr>
          <w:rFonts w:ascii="Arial" w:hAnsi="Arial"/>
          <w:b/>
          <w:i/>
          <w:color w:val="000000"/>
          <w:sz w:val="20"/>
        </w:rPr>
      </w:pPr>
      <w:r>
        <w:rPr>
          <w:rFonts w:ascii="Arial" w:hAnsi="Arial"/>
          <w:b/>
          <w:i/>
          <w:color w:val="000000"/>
          <w:sz w:val="20"/>
        </w:rPr>
        <w:t>Changes to payment card networks fees or rules could harm our business.</w:t>
      </w:r>
    </w:p>
    <w:p>
      <w:pPr>
        <w:pStyle w:val="TextBody"/>
        <w:bidi w:val="0"/>
        <w:spacing w:before="200" w:after="283"/>
        <w:jc w:val="left"/>
        <w:rPr>
          <w:rFonts w:ascii="Arial" w:hAnsi="Arial"/>
          <w:color w:val="000000"/>
          <w:sz w:val="20"/>
        </w:rPr>
      </w:pPr>
      <w:r>
        <w:rPr>
          <w:rFonts w:ascii="Arial" w:hAnsi="Arial"/>
          <w:color w:val="000000"/>
          <w:sz w:val="20"/>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w:t>
      </w:r>
    </w:p>
    <w:p>
      <w:pPr>
        <w:pStyle w:val="TextBody"/>
        <w:bidi w:val="0"/>
        <w:spacing w:before="200" w:after="283"/>
        <w:jc w:val="left"/>
        <w:rPr>
          <w:rFonts w:ascii="Arial" w:hAnsi="Arial"/>
          <w:color w:val="000000"/>
          <w:sz w:val="20"/>
        </w:rPr>
      </w:pPr>
      <w:r>
        <w:rPr>
          <w:rFonts w:ascii="Arial" w:hAnsi="Arial"/>
          <w:color w:val="000000"/>
          <w:sz w:val="20"/>
        </w:rPr>
        <w:t>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w:t>
      </w:r>
    </w:p>
    <w:p>
      <w:pPr>
        <w:pStyle w:val="TextBody"/>
        <w:bidi w:val="0"/>
        <w:spacing w:before="200" w:after="283"/>
        <w:jc w:val="left"/>
        <w:rPr>
          <w:rFonts w:ascii="Times New Roman" w:hAnsi="Times New Roman"/>
          <w:sz w:val="20"/>
        </w:rPr>
      </w:pPr>
      <w:r>
        <w:rPr>
          <w:rFonts w:ascii="Arial" w:hAnsi="Arial"/>
          <w:color w:val="000000"/>
          <w:sz w:val="20"/>
        </w:rPr>
        <w:t>Additionally, from time to time, American Express and the card networks, including Visa and Mastercard, increase the fees that they charge processors. Changes in pricing, fee structures, or network rules by American Express or other card networks could adversely affect our costs and margins. We rely on global card networks, including American Express, to process certain payment types, and these networks may from time to time modify their interchange rates, assessments, discount fees, or other pricing components, or apply different cost structures based on the nature of an underlying transaction (such as education, travel, healthcare, or other categories) or the manner in which Flywire or our transactions are classified under their rules. If a card network were to reclassify Flywire, our customers, or specific</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payment flows, or to increase fees applicable to one or more of our core verticals, we may be unable to fully pass those increased costs on to customers without adversely affecting demand, competitiveness, or customer relationships.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pStyle w:val="TextBody"/>
        <w:bidi w:val="0"/>
        <w:spacing w:before="200" w:after="283"/>
        <w:jc w:val="left"/>
        <w:rPr>
          <w:rFonts w:ascii="Arial" w:hAnsi="Arial"/>
          <w:b/>
          <w:i/>
          <w:color w:val="000000"/>
          <w:sz w:val="20"/>
        </w:rPr>
      </w:pPr>
      <w:r>
        <w:rPr>
          <w:rFonts w:ascii="Arial" w:hAnsi="Arial"/>
          <w:b/>
          <w:i/>
          <w:color w:val="000000"/>
          <w:sz w:val="20"/>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Flywire's platform is designed to integrate with a broad ecosystem of ERP and financial management systems, such as Workday and Oracle for B2B payments, Oracle, Workday and Ellucian for education, Epic Systems for healthcare, and Rezdy for travel. These integrations enhance our ability to streamline complex flows, improve operational efficiency, and deepen our value proposition across vertical markets.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pStyle w:val="TextBody"/>
        <w:bidi w:val="0"/>
        <w:spacing w:before="200" w:after="283"/>
        <w:jc w:val="left"/>
        <w:rPr>
          <w:rFonts w:ascii="Arial" w:hAnsi="Arial"/>
          <w:color w:val="000000"/>
          <w:sz w:val="20"/>
        </w:rPr>
      </w:pPr>
      <w:r>
        <w:rPr>
          <w:rFonts w:ascii="Arial" w:hAnsi="Arial"/>
          <w:color w:val="000000"/>
          <w:sz w:val="20"/>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pStyle w:val="TextBody"/>
        <w:bidi w:val="0"/>
        <w:spacing w:before="200" w:after="283"/>
        <w:jc w:val="left"/>
        <w:rPr>
          <w:rFonts w:ascii="Arial" w:hAnsi="Arial"/>
          <w:color w:val="000000"/>
          <w:sz w:val="20"/>
        </w:rPr>
      </w:pPr>
      <w:r>
        <w:rPr>
          <w:rFonts w:ascii="Arial" w:hAnsi="Arial"/>
          <w:color w:val="000000"/>
          <w:sz w:val="20"/>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pStyle w:val="TextBody"/>
        <w:bidi w:val="0"/>
        <w:spacing w:before="200" w:after="283"/>
        <w:jc w:val="left"/>
        <w:rPr>
          <w:rFonts w:ascii="Arial" w:hAnsi="Arial"/>
          <w:color w:val="000000"/>
          <w:sz w:val="20"/>
        </w:rPr>
      </w:pPr>
      <w:r>
        <w:rPr>
          <w:rFonts w:ascii="Arial" w:hAnsi="Arial"/>
          <w:color w:val="000000"/>
          <w:sz w:val="20"/>
        </w:rPr>
        <w:t>If any of the third-party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pStyle w:val="TextBody"/>
        <w:bidi w:val="0"/>
        <w:spacing w:before="200" w:after="283"/>
        <w:jc w:val="left"/>
        <w:rPr>
          <w:rFonts w:ascii="Arial" w:hAnsi="Arial"/>
          <w:b/>
          <w:i/>
          <w:color w:val="000000"/>
          <w:sz w:val="20"/>
        </w:rPr>
      </w:pPr>
      <w:r>
        <w:rPr>
          <w:rFonts w:ascii="Arial" w:hAnsi="Arial"/>
          <w:b/>
          <w:i/>
          <w:color w:val="000000"/>
          <w:sz w:val="20"/>
        </w:rPr>
        <w:t>If we fail to maintain, protect and enhance our brand, our ability to expand our client base will be impaired and our business, operating results, and financial condition may suffer.</w:t>
      </w:r>
    </w:p>
    <w:p>
      <w:pPr>
        <w:pStyle w:val="TextBody"/>
        <w:bidi w:val="0"/>
        <w:spacing w:before="200" w:after="283"/>
        <w:jc w:val="left"/>
        <w:rPr>
          <w:rFonts w:ascii="Arial" w:hAnsi="Arial"/>
          <w:color w:val="000000"/>
          <w:sz w:val="20"/>
        </w:rPr>
      </w:pPr>
      <w:r>
        <w:rPr>
          <w:rFonts w:ascii="Arial" w:hAnsi="Arial"/>
          <w:color w:val="000000"/>
          <w:sz w:val="20"/>
        </w:rPr>
        <w:t>We believe that further developing, maintaining, protecting and enhancing our brand domestically and on a global basis is important to support the marketing and sale of our existing and future solutions to existing and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p>
    <w:p>
      <w:pPr>
        <w:pStyle w:val="TextBody"/>
        <w:bidi w:val="0"/>
        <w:spacing w:before="200" w:after="283"/>
        <w:jc w:val="left"/>
        <w:rPr>
          <w:rFonts w:ascii="Arial" w:hAnsi="Arial"/>
          <w:color w:val="000000"/>
          <w:sz w:val="20"/>
        </w:rPr>
      </w:pPr>
      <w:r>
        <w:rPr>
          <w:rFonts w:ascii="Arial" w:hAnsi="Arial"/>
          <w:color w:val="000000"/>
          <w:sz w:val="20"/>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pStyle w:val="TextBody"/>
        <w:bidi w:val="0"/>
        <w:spacing w:before="200" w:after="283"/>
        <w:jc w:val="left"/>
        <w:rPr>
          <w:rFonts w:ascii="Times New Roman" w:hAnsi="Times New Roman"/>
          <w:sz w:val="20"/>
        </w:rPr>
      </w:pPr>
      <w:r>
        <w:rPr>
          <w:rFonts w:ascii="Arial" w:hAnsi="Arial"/>
          <w:color w:val="000000"/>
          <w:sz w:val="20"/>
        </w:rPr>
        <w:t>Harm to our brand can arise from many sources, including failure by us or our partners and service providers to satisfy expectations of service and quality; inadequate protection or misuse of sensitive information; fraud committed by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third-parties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pStyle w:val="TextBody"/>
        <w:bidi w:val="0"/>
        <w:spacing w:before="200" w:after="283"/>
        <w:jc w:val="left"/>
        <w:rPr>
          <w:rFonts w:ascii="Arial" w:hAnsi="Arial"/>
          <w:b/>
          <w:i/>
          <w:color w:val="000000"/>
          <w:sz w:val="20"/>
        </w:rPr>
      </w:pPr>
      <w:r>
        <w:rPr>
          <w:rFonts w:ascii="Arial" w:hAnsi="Arial"/>
          <w:b/>
          <w:i/>
          <w:color w:val="000000"/>
          <w:sz w:val="20"/>
        </w:rPr>
        <w:t>If we lose key members of our management team or are unable to attract and retain executives and employees we need to support our operations and growth, our business may be harmed.</w:t>
      </w:r>
    </w:p>
    <w:p>
      <w:pPr>
        <w:pStyle w:val="TextBody"/>
        <w:bidi w:val="0"/>
        <w:spacing w:before="200" w:after="283"/>
        <w:jc w:val="left"/>
        <w:rPr>
          <w:rFonts w:ascii="Arial" w:hAnsi="Arial"/>
          <w:color w:val="000000"/>
          <w:sz w:val="20"/>
        </w:rPr>
      </w:pPr>
      <w:r>
        <w:rPr>
          <w:rFonts w:ascii="Arial" w:hAnsi="Arial"/>
          <w:color w:val="000000"/>
          <w:sz w:val="20"/>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pStyle w:val="TextBody"/>
        <w:bidi w:val="0"/>
        <w:spacing w:before="200" w:after="283"/>
        <w:jc w:val="left"/>
        <w:rPr>
          <w:rFonts w:ascii="Arial" w:hAnsi="Arial"/>
          <w:b/>
          <w:i/>
          <w:color w:val="000000"/>
          <w:sz w:val="20"/>
        </w:rPr>
      </w:pPr>
      <w:r>
        <w:rPr>
          <w:rFonts w:ascii="Arial" w:hAnsi="Arial"/>
          <w:b/>
          <w:i/>
          <w:color w:val="000000"/>
          <w:sz w:val="20"/>
        </w:rPr>
        <w:t>The failure to attract and retain additional qualified personnel could prevent us from executing our business strategy and growth plans.</w:t>
      </w:r>
    </w:p>
    <w:p>
      <w:pPr>
        <w:pStyle w:val="TextBody"/>
        <w:bidi w:val="0"/>
        <w:spacing w:before="200" w:after="283"/>
        <w:jc w:val="left"/>
        <w:rPr>
          <w:rFonts w:ascii="Arial" w:hAnsi="Arial"/>
          <w:color w:val="000000"/>
          <w:sz w:val="20"/>
        </w:rPr>
      </w:pPr>
      <w:r>
        <w:rPr>
          <w:rFonts w:ascii="Arial" w:hAnsi="Arial"/>
          <w:color w:val="000000"/>
          <w:sz w:val="20"/>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 may also affect our ability to hire, mobilize, or retain some of our global talent. If we fail to identify, attract, develop and integrate new personnel, or fail to retain and motivate our current personnel, our growth prospects would be adversely affected.</w:t>
      </w:r>
    </w:p>
    <w:p>
      <w:pPr>
        <w:pStyle w:val="TextBody"/>
        <w:bidi w:val="0"/>
        <w:spacing w:before="200" w:after="283"/>
        <w:jc w:val="left"/>
        <w:rPr>
          <w:rFonts w:ascii="Times New Roman" w:hAnsi="Times New Roman"/>
          <w:sz w:val="20"/>
        </w:rPr>
      </w:pPr>
      <w:r>
        <w:rPr>
          <w:rFonts w:ascii="Arial" w:hAnsi="Arial"/>
          <w:color w:val="000000"/>
          <w:sz w:val="20"/>
        </w:rPr>
        <w:t>We rely on highly skilled employees, including software engineers and product specialists, many of whom are foreign nationals working in the United States under H-1B and other temporary work visas. In September 2025, the U.S. government announced its plans to require employers pay a $100,000 filing fee per H-1B visa petition to bring new H-1B workers into the U.S. The new H-1B visa fee does not apply to international students already in the U.S. looking to apply for a status change, but this new requirement significantly increases the cost of employing new nationals in the U.S and could materially impact our operating expenses and our ability to attract specialized talent. If these visa-related costs remain in effect or increase further, we may be required to reduce our reliance on new H-1B visa holders or absorb materially higher personnel costs, either of which could negatively affect our financial performance. In addition, the number of H-1B visas available each year is limited by quota and lottery, and future changes in immigration laws or enforcement could further restrict our access to qualified foreign workers. Our inability to recruit or retain critical technical</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and operational talent—whether due to higher visa costs, policy changes, or processing delays—could hinder our ability to innovate, maintain our technology infrastructure, or expand internationally.</w:t>
      </w:r>
    </w:p>
    <w:p>
      <w:pPr>
        <w:pStyle w:val="TextBody"/>
        <w:bidi w:val="0"/>
        <w:spacing w:before="200" w:after="283"/>
        <w:jc w:val="left"/>
        <w:rPr>
          <w:rFonts w:ascii="Arial" w:hAnsi="Arial"/>
          <w:color w:val="000000"/>
          <w:sz w:val="20"/>
        </w:rPr>
      </w:pPr>
      <w:r>
        <w:rPr>
          <w:rFonts w:ascii="Arial" w:hAnsi="Arial"/>
          <w:color w:val="000000"/>
          <w:sz w:val="20"/>
        </w:rPr>
        <w:t>The new visa fee requirement could also indirectly affect our global operations. Increased hiring costs in the United States may lead us to reallocate engineering or compliance resources abroad, resulting in higher coordination costs, reduced operational efficiency, or delays in product development. If we are unable to effectively manage these transitions or attract equivalent talent in other jurisdictions, our business, financial condition, and results of operations could be materially and adversely affected.</w:t>
      </w:r>
    </w:p>
    <w:p>
      <w:pPr>
        <w:pStyle w:val="TextBody"/>
        <w:bidi w:val="0"/>
        <w:spacing w:before="200" w:after="283"/>
        <w:jc w:val="left"/>
        <w:rPr>
          <w:rFonts w:ascii="Arial" w:hAnsi="Arial"/>
          <w:b/>
          <w:i/>
          <w:color w:val="000000"/>
          <w:sz w:val="20"/>
        </w:rPr>
      </w:pPr>
      <w:r>
        <w:rPr>
          <w:rFonts w:ascii="Arial" w:hAnsi="Arial"/>
          <w:b/>
          <w:i/>
          <w:color w:val="000000"/>
          <w:sz w:val="20"/>
        </w:rPr>
        <w:t>If we cannot maintain our company culture as we grow, our success and our business may be harmed.</w:t>
      </w:r>
    </w:p>
    <w:p>
      <w:pPr>
        <w:pStyle w:val="TextBody"/>
        <w:bidi w:val="0"/>
        <w:spacing w:before="200" w:after="283"/>
        <w:jc w:val="left"/>
        <w:rPr>
          <w:rFonts w:ascii="Arial" w:hAnsi="Arial"/>
          <w:color w:val="000000"/>
          <w:sz w:val="20"/>
        </w:rPr>
      </w:pPr>
      <w:r>
        <w:rPr>
          <w:rFonts w:ascii="Arial" w:hAnsi="Arial"/>
          <w:color w:val="000000"/>
          <w:sz w:val="20"/>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pStyle w:val="TextBody"/>
        <w:bidi w:val="0"/>
        <w:spacing w:before="200" w:after="283"/>
        <w:jc w:val="left"/>
        <w:rPr>
          <w:rFonts w:ascii="Arial" w:hAnsi="Arial"/>
          <w:b/>
          <w:i/>
          <w:color w:val="000000"/>
          <w:sz w:val="20"/>
        </w:rPr>
      </w:pPr>
      <w:r>
        <w:rPr>
          <w:rFonts w:ascii="Arial" w:hAnsi="Arial"/>
          <w:b/>
          <w:i/>
          <w:color w:val="000000"/>
          <w:sz w:val="20"/>
        </w:rPr>
        <w:t>Our sales cycles may be long and vary.</w:t>
      </w:r>
    </w:p>
    <w:p>
      <w:pPr>
        <w:pStyle w:val="TextBody"/>
        <w:bidi w:val="0"/>
        <w:spacing w:before="200" w:after="283"/>
        <w:jc w:val="left"/>
        <w:rPr>
          <w:rFonts w:ascii="Arial" w:hAnsi="Arial"/>
          <w:color w:val="000000"/>
          <w:sz w:val="20"/>
        </w:rPr>
      </w:pPr>
      <w:r>
        <w:rPr>
          <w:rFonts w:ascii="Arial" w:hAnsi="Arial"/>
          <w:color w:val="000000"/>
          <w:sz w:val="20"/>
        </w:rPr>
        <w:t>We devote significant resources to establish relationships with new clients and deepen relationships with existing clients. The sales cycles of our solutions tend to vary depending on the client industry sector which makes forecasting more complex and uncertain.</w:t>
      </w:r>
    </w:p>
    <w:p>
      <w:pPr>
        <w:pStyle w:val="TextBody"/>
        <w:bidi w:val="0"/>
        <w:spacing w:before="200" w:after="283"/>
        <w:jc w:val="left"/>
        <w:rPr>
          <w:rFonts w:ascii="Arial" w:hAnsi="Arial"/>
          <w:color w:val="000000"/>
          <w:sz w:val="20"/>
        </w:rPr>
      </w:pPr>
      <w:r>
        <w:rPr>
          <w:rFonts w:ascii="Arial" w:hAnsi="Arial"/>
          <w:color w:val="000000"/>
          <w:sz w:val="20"/>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or the failure of an agreed-upon peace in the conflict between Israel and Hamas to become permanent),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pStyle w:val="TextBody"/>
        <w:bidi w:val="0"/>
        <w:spacing w:before="200" w:after="283"/>
        <w:jc w:val="left"/>
        <w:rPr>
          <w:rFonts w:ascii="Arial" w:hAnsi="Arial"/>
          <w:color w:val="000000"/>
          <w:sz w:val="20"/>
        </w:rPr>
      </w:pPr>
      <w:r>
        <w:rPr>
          <w:rFonts w:ascii="Arial" w:hAnsi="Arial"/>
          <w:color w:val="000000"/>
          <w:sz w:val="20"/>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pStyle w:val="TextBody"/>
        <w:bidi w:val="0"/>
        <w:spacing w:before="200" w:after="283"/>
        <w:jc w:val="left"/>
        <w:rPr>
          <w:rFonts w:ascii="Arial" w:hAnsi="Arial"/>
          <w:b/>
          <w:i/>
          <w:color w:val="000000"/>
          <w:sz w:val="20"/>
        </w:rPr>
      </w:pPr>
      <w:r>
        <w:rPr>
          <w:rFonts w:ascii="Arial" w:hAnsi="Arial"/>
          <w:b/>
          <w:i/>
          <w:color w:val="000000"/>
          <w:sz w:val="20"/>
        </w:rPr>
        <w:t>We typically incur significant upfront costs in our client relationships, and if we are unable to develop or grow these relationships over time, we are unlikely to recover these costs and our operating results may suffer.</w:t>
      </w:r>
    </w:p>
    <w:p>
      <w:pPr>
        <w:pStyle w:val="TextBody"/>
        <w:bidi w:val="0"/>
        <w:spacing w:before="200" w:after="283"/>
        <w:jc w:val="left"/>
        <w:rPr>
          <w:rFonts w:ascii="Times New Roman" w:hAnsi="Times New Roman"/>
          <w:sz w:val="20"/>
        </w:rPr>
      </w:pPr>
      <w:r>
        <w:rPr>
          <w:rFonts w:ascii="Arial" w:hAnsi="Arial"/>
          <w:color w:val="000000"/>
          <w:sz w:val="20"/>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If we fail to offer high-quality client support, or if our support is more expensive than anticipated, our business and reputation could suffer.</w:t>
      </w:r>
    </w:p>
    <w:p>
      <w:pPr>
        <w:pStyle w:val="TextBody"/>
        <w:bidi w:val="0"/>
        <w:spacing w:before="200" w:after="283"/>
        <w:jc w:val="left"/>
        <w:rPr>
          <w:rFonts w:ascii="Arial" w:hAnsi="Arial"/>
          <w:color w:val="000000"/>
          <w:sz w:val="20"/>
        </w:rPr>
      </w:pPr>
      <w:r>
        <w:rPr>
          <w:rFonts w:ascii="Arial" w:hAnsi="Arial"/>
          <w:color w:val="000000"/>
          <w:sz w:val="20"/>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pStyle w:val="TextBody"/>
        <w:bidi w:val="0"/>
        <w:spacing w:before="200" w:after="283"/>
        <w:jc w:val="left"/>
        <w:rPr>
          <w:rFonts w:ascii="Arial" w:hAnsi="Arial"/>
          <w:color w:val="000000"/>
          <w:sz w:val="20"/>
        </w:rPr>
      </w:pPr>
      <w:r>
        <w:rPr>
          <w:rFonts w:ascii="Arial" w:hAnsi="Arial"/>
          <w:color w:val="000000"/>
          <w:sz w:val="20"/>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pStyle w:val="TextBody"/>
        <w:bidi w:val="0"/>
        <w:spacing w:before="200" w:after="283"/>
        <w:jc w:val="left"/>
        <w:rPr>
          <w:rFonts w:ascii="Arial" w:hAnsi="Arial"/>
          <w:b/>
          <w:i/>
          <w:color w:val="000000"/>
          <w:sz w:val="20"/>
        </w:rPr>
      </w:pPr>
      <w:r>
        <w:rPr>
          <w:rFonts w:ascii="Arial" w:hAnsi="Arial"/>
          <w:b/>
          <w:i/>
          <w:color w:val="000000"/>
          <w:sz w:val="20"/>
        </w:rPr>
        <w:t>We may require additional capital to support the growth of our business, and this capital might not be available on acceptable terms, if at all.</w:t>
      </w:r>
    </w:p>
    <w:p>
      <w:pPr>
        <w:pStyle w:val="TextBody"/>
        <w:bidi w:val="0"/>
        <w:spacing w:before="200" w:after="283"/>
        <w:jc w:val="left"/>
        <w:rPr>
          <w:rFonts w:ascii="Arial" w:hAnsi="Arial"/>
          <w:color w:val="000000"/>
          <w:sz w:val="20"/>
        </w:rPr>
      </w:pPr>
      <w:r>
        <w:rPr>
          <w:rFonts w:ascii="Arial" w:hAnsi="Arial"/>
          <w:color w:val="000000"/>
          <w:sz w:val="20"/>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200" w:after="283"/>
        <w:jc w:val="left"/>
        <w:rPr>
          <w:rFonts w:ascii="Arial" w:hAnsi="Arial"/>
          <w:b/>
          <w:i/>
          <w:color w:val="000000"/>
          <w:sz w:val="20"/>
        </w:rPr>
      </w:pPr>
      <w:r>
        <w:rPr>
          <w:rFonts w:ascii="Arial" w:hAnsi="Arial"/>
          <w:b/>
          <w:i/>
          <w:color w:val="000000"/>
          <w:sz w:val="20"/>
        </w:rPr>
        <w:t>Our business could be harmed as a result of the risks associated with our acquisitions.</w:t>
      </w:r>
    </w:p>
    <w:p>
      <w:pPr>
        <w:pStyle w:val="TextBody"/>
        <w:bidi w:val="0"/>
        <w:spacing w:before="200" w:after="283"/>
        <w:jc w:val="left"/>
        <w:rPr>
          <w:rFonts w:ascii="Times New Roman" w:hAnsi="Times New Roman"/>
          <w:sz w:val="20"/>
        </w:rPr>
      </w:pPr>
      <w:r>
        <w:rPr>
          <w:rFonts w:ascii="Arial" w:hAnsi="Arial"/>
          <w:color w:val="000000"/>
          <w:sz w:val="20"/>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connection with any potential acquisitions, particularly of businesses with legacy or less robust information technology and cybersecurity controls than ours, we may face heightened vulnerability to cybersecurity threats, including pre-existing or undiscovered compromises which may lead to data loss, interruptions, increased integration and remediation costs, regulatory investigations, reputational harm, and other adverse impacts.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Any acquisitions we undertake or have recently completed, including the acquisitions of Sertifi in February 2025 and Invoiced in August 2024 will likely be accompanied by business risks which may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 of the acquisition on our financial results, strategic position or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failure of an acquisition to result in expected benefits, which may include benefits relating to enhanced revenues, technology, human resources, costs savings, operating efficiencies, goodwill and other synergies;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difficulty, cost and management effort required to integrate the acquired businesses, including costs and delays in implementing common systems and procedures and costs and delays caused by communication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assumption of certain known or unknown liabilities of the acquired business, including litigation-related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reduction of our cash available for operations and other uses, the increase in amortization expense related to identifiable assets acquired, potentially dilutive issuances of equity securities or the incurrence of debt;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lack of experience in new markets, new geographies, new business culture, products or technologies or an initial dependence on unfamiliar distribution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possibility that we will pay more than the value we derive from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impairment of relationships with our clients, clients' customers, partners or suppliers or those of the acquired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loss of key employees of the acquired business.</w:t>
      </w:r>
    </w:p>
    <w:p>
      <w:pPr>
        <w:pStyle w:val="TextBody"/>
        <w:bidi w:val="0"/>
        <w:spacing w:before="200" w:after="283"/>
        <w:jc w:val="left"/>
        <w:rPr>
          <w:rFonts w:ascii="Arial" w:hAnsi="Arial"/>
          <w:color w:val="000000"/>
          <w:sz w:val="20"/>
        </w:rPr>
      </w:pPr>
      <w:r>
        <w:rPr>
          <w:rFonts w:ascii="Arial" w:hAnsi="Arial"/>
          <w:color w:val="000000"/>
          <w:sz w:val="20"/>
        </w:rPr>
        <w:t>These factors could harm our business, results of operations or financial condition.</w:t>
      </w:r>
    </w:p>
    <w:p>
      <w:pPr>
        <w:pStyle w:val="TextBody"/>
        <w:bidi w:val="0"/>
        <w:spacing w:before="200" w:after="283"/>
        <w:jc w:val="left"/>
        <w:rPr>
          <w:rFonts w:ascii="Arial" w:hAnsi="Arial"/>
          <w:color w:val="000000"/>
          <w:sz w:val="20"/>
        </w:rPr>
      </w:pPr>
      <w:r>
        <w:rPr>
          <w:rFonts w:ascii="Arial" w:hAnsi="Arial"/>
          <w:color w:val="000000"/>
          <w:sz w:val="20"/>
        </w:rPr>
        <w:t>Sertifi has been the largest acquisition in our operating history. We may not realize the anticipated benefits of our acquisition of Sertifi on the expected timeline or at all, which could adversely affect our business and financial results. Achieving expected synergies depends on, among other things, the successful integration and reconciliation of Sertifi’s platform and data with our existing systems, the effective monetization of acquired payment flows, and the onboarding and migration of Sertifi’s legacy customers to Flywire’s platform, each of which may prove more complex, time-consuming, or costly than anticipated. Delays or challenges in these areas could increase operating expenses, limit revenue growth, and reduce the strategic and financial benefits we expected from the transaction.</w:t>
      </w:r>
    </w:p>
    <w:p>
      <w:pPr>
        <w:pStyle w:val="TextBody"/>
        <w:bidi w:val="0"/>
        <w:spacing w:before="200" w:after="283"/>
        <w:jc w:val="left"/>
        <w:rPr>
          <w:rFonts w:ascii="Arial" w:hAnsi="Arial"/>
          <w:color w:val="000000"/>
          <w:sz w:val="20"/>
        </w:rPr>
      </w:pPr>
      <w:r>
        <w:rPr>
          <w:rFonts w:ascii="Arial" w:hAnsi="Arial"/>
          <w:color w:val="000000"/>
          <w:sz w:val="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pStyle w:val="TextBody"/>
        <w:bidi w:val="0"/>
        <w:spacing w:before="200" w:after="283"/>
        <w:jc w:val="left"/>
        <w:rPr>
          <w:rFonts w:ascii="Arial" w:hAnsi="Arial"/>
          <w:b/>
          <w:i/>
          <w:color w:val="000000"/>
          <w:sz w:val="20"/>
        </w:rPr>
      </w:pPr>
      <w:r>
        <w:rPr>
          <w:rFonts w:ascii="Arial" w:hAnsi="Arial"/>
          <w:b/>
          <w:i/>
          <w:color w:val="000000"/>
          <w:sz w:val="20"/>
        </w:rPr>
        <w:t>Systems failures and resulting interruptions in the availability of our solutions and core payment platform could harm our business.</w:t>
      </w:r>
    </w:p>
    <w:p>
      <w:pPr>
        <w:pStyle w:val="TextBody"/>
        <w:bidi w:val="0"/>
        <w:spacing w:before="200" w:after="283"/>
        <w:jc w:val="left"/>
        <w:rPr>
          <w:rFonts w:ascii="Arial" w:hAnsi="Arial"/>
          <w:color w:val="000000"/>
          <w:sz w:val="20"/>
        </w:rPr>
      </w:pPr>
      <w:r>
        <w:rPr>
          <w:rFonts w:ascii="Arial" w:hAnsi="Arial"/>
          <w:color w:val="000000"/>
          <w:sz w:val="20"/>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the continuation or escalation of the conflicts between Russia and Ukraine, and Israel and Hamas and Israel and Iran,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are costly and time-consuming to implement, and may divert our resources from other business priorities.</w:t>
      </w:r>
    </w:p>
    <w:p>
      <w:pPr>
        <w:pStyle w:val="TextBody"/>
        <w:bidi w:val="0"/>
        <w:spacing w:before="200" w:after="283"/>
        <w:jc w:val="left"/>
        <w:rPr>
          <w:rFonts w:ascii="Arial" w:hAnsi="Arial"/>
          <w:color w:val="000000"/>
          <w:sz w:val="20"/>
        </w:rPr>
      </w:pPr>
      <w:r>
        <w:rPr>
          <w:rFonts w:ascii="Arial" w:hAnsi="Arial"/>
          <w:color w:val="000000"/>
          <w:sz w:val="20"/>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or platform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pStyle w:val="TextBody"/>
        <w:bidi w:val="0"/>
        <w:spacing w:before="12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pStyle w:val="TextBody"/>
        <w:bidi w:val="0"/>
        <w:spacing w:before="200" w:after="283"/>
        <w:jc w:val="left"/>
        <w:rPr>
          <w:rFonts w:ascii="Arial" w:hAnsi="Arial"/>
          <w:color w:val="000000"/>
          <w:sz w:val="20"/>
        </w:rPr>
      </w:pPr>
      <w:r>
        <w:rPr>
          <w:rFonts w:ascii="Arial" w:hAnsi="Arial"/>
          <w:color w:val="000000"/>
          <w:sz w:val="20"/>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Additionally, in July 2024, a software update by CrowdStrike Holdings, Inc., a cybersecurity technology company, caused widespread crashes of Windows systems into which it was integrated, including certain Windows systems used by our vendors and customers. As of the date of this Annual Report on Form 10-K, we have not experienced any significant impacts as a result of the CrowdStrike software update, but we could in the future experience similar software-induced interruptions to our operations.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pStyle w:val="TextBody"/>
        <w:bidi w:val="0"/>
        <w:spacing w:before="200" w:after="283"/>
        <w:jc w:val="left"/>
        <w:rPr>
          <w:rFonts w:ascii="Arial" w:hAnsi="Arial"/>
          <w:color w:val="000000"/>
          <w:sz w:val="20"/>
        </w:rPr>
      </w:pPr>
      <w:r>
        <w:rPr>
          <w:rFonts w:ascii="Arial" w:hAnsi="Arial"/>
          <w:color w:val="000000"/>
          <w:sz w:val="20"/>
        </w:rPr>
        <w:t>In addition, we may experience financial losses due to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third-party disruptions, including potential outages at network providers and other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supply chain impacts, including shortages of goods, raw materials, increased prices or delays in shipment;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challenges to the availability and reliability of our network due to changes to normal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cyber and payment fraud risk, as cybercriminals attempt DDoS related attacks, phishing scams and other disruptive actions, given the shift to online banking, e-commerce and other online activity, as well as more FlyMates working remotely;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pStyle w:val="TextBody"/>
        <w:bidi w:val="0"/>
        <w:spacing w:before="200" w:after="283"/>
        <w:jc w:val="left"/>
        <w:rPr>
          <w:rFonts w:ascii="Arial" w:hAnsi="Arial"/>
          <w:color w:val="000000"/>
          <w:sz w:val="20"/>
        </w:rPr>
      </w:pPr>
      <w:r>
        <w:rPr>
          <w:rFonts w:ascii="Arial" w:hAnsi="Arial"/>
          <w:color w:val="000000"/>
          <w:sz w:val="20"/>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pStyle w:val="TextBody"/>
        <w:bidi w:val="0"/>
        <w:spacing w:before="200" w:after="283"/>
        <w:jc w:val="left"/>
        <w:rPr>
          <w:rFonts w:ascii="Arial" w:hAnsi="Arial"/>
          <w:color w:val="000000"/>
          <w:sz w:val="20"/>
        </w:rPr>
      </w:pPr>
      <w:r>
        <w:rPr>
          <w:rFonts w:ascii="Arial" w:hAnsi="Arial"/>
          <w:color w:val="000000"/>
          <w:sz w:val="20"/>
        </w:rPr>
        <w:t>We also rely on components, applications, and services supplied by third-parties, including payment service providers and merchant acquirer partners which subjects us to risks. If these third-parties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pStyle w:val="TextBody"/>
        <w:bidi w:val="0"/>
        <w:spacing w:before="12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pStyle w:val="TextBody"/>
        <w:bidi w:val="0"/>
        <w:spacing w:before="200" w:after="283"/>
        <w:jc w:val="left"/>
        <w:rPr>
          <w:rFonts w:ascii="Arial" w:hAnsi="Arial"/>
          <w:b/>
          <w:color w:val="000000"/>
          <w:sz w:val="20"/>
        </w:rPr>
      </w:pPr>
      <w:r>
        <w:rPr>
          <w:rFonts w:ascii="Arial" w:hAnsi="Arial"/>
          <w:b/>
          <w:color w:val="000000"/>
          <w:sz w:val="20"/>
        </w:rPr>
        <w:t>Risks Related to Our Legal, Regulatory and Compliance Landscape</w:t>
      </w:r>
    </w:p>
    <w:p>
      <w:pPr>
        <w:pStyle w:val="TextBody"/>
        <w:bidi w:val="0"/>
        <w:spacing w:before="200" w:after="283"/>
        <w:jc w:val="left"/>
        <w:rPr>
          <w:rFonts w:ascii="Arial" w:hAnsi="Arial"/>
          <w:b/>
          <w:i/>
          <w:color w:val="000000"/>
          <w:sz w:val="20"/>
        </w:rPr>
      </w:pPr>
      <w:r>
        <w:rPr>
          <w:rFonts w:ascii="Arial" w:hAnsi="Arial"/>
          <w:b/>
          <w:i/>
          <w:color w:val="000000"/>
          <w:sz w:val="20"/>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pStyle w:val="TextBody"/>
        <w:bidi w:val="0"/>
        <w:spacing w:before="200" w:after="283"/>
        <w:jc w:val="left"/>
        <w:rPr>
          <w:rFonts w:ascii="Arial" w:hAnsi="Arial"/>
          <w:color w:val="000000"/>
          <w:sz w:val="20"/>
        </w:rPr>
      </w:pPr>
      <w:r>
        <w:rPr>
          <w:rFonts w:ascii="Arial" w:hAnsi="Arial"/>
          <w:color w:val="000000"/>
          <w:sz w:val="20"/>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and related changes in laws, regulations or policies, United States-China and Canada-India diplomatic and trade friction, heightened tensions between China and Taiwan and the continuation or escalation of the conflicts between Russia and Ukraine, and Israel and Hamas and Israel and Iran (which has also featured military strikes by the U.S. against Iran),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exchange rate volatility;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economic conditions in the United States and globally, including economic slowdown, heightened interest rates, inflation, recession concerns and the disruption, volatility and tightening of credit and capital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compliance with multiple complex, potentially conflicting and changing governmental laws and regulations;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local licensing and reporting obligations or the imposition of currency controls which make it impossible or increasingly difficult for our clients to collect payments from international customers;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local regulatory and legal obligations related to privacy, data protection, data localization, and user protections;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need to localize our solutions, including offering clients and their customers the ability to transact business in the local currency and adapting our solutions to local preferences, in markets in which we may have limited or no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trade barriers, tariffs and changes in trade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impact of government sanctions on our ability to offer services in a region, such as sanctions issued by the U.S. and other countries against Russia;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in developing, staffing, and managing a large number of varying foreign operations as a result of distance, language, and cultural differences;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stringent local labor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limitations on the repatriation of cash, including imposition or increase of withholding and other taxes on remittances and other payments by foreign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diplomatic friction, political or social unrest, war or other military conflict, including the continuation or escalation of the conflicts between Russia and Ukraine, and between Israel and Hamas and Israel and Iran (which has also featured military strikes by the U.S. against Iran), respectively, economic instability, repression, or human rights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natural disasters, global pandemics such as COVID-19 or other public health emergencies, acts of war, and terrorism;</w:t>
      </w:r>
    </w:p>
    <w:p>
      <w:pPr>
        <w:pStyle w:val="TextBody"/>
        <w:bidi w:val="0"/>
        <w:spacing w:before="12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U.S. laws and foreign laws prohibiting corrupt payments to government officials, such as the Foreign Corrupt Practices Act (FCPA) and the U.K. Bribery Act, and other local anti-corruption 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U.S. and foreign laws designed to combat money laundering and the financing of terrorist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retaliatory tariffs and restrictions limiting free movement of currency and an unfavorable trade environment, including as a result of political conditions and changes in the laws, regulations or policies in the United States and elsewhere and as described in more detail below;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antitrust and competition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expected or actual extended federal government shutdowns or the priorities of the U.S. presidential administration and related changes in laws, regulations or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national or regional differences in macroeconomic growth rates;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difficulties in collecting accounts receivable.</w:t>
      </w:r>
    </w:p>
    <w:p>
      <w:pPr>
        <w:pStyle w:val="TextBody"/>
        <w:bidi w:val="0"/>
        <w:spacing w:before="200" w:after="283"/>
        <w:jc w:val="left"/>
        <w:rPr>
          <w:rFonts w:ascii="Arial" w:hAnsi="Arial"/>
          <w:color w:val="000000"/>
          <w:sz w:val="20"/>
        </w:rPr>
      </w:pPr>
      <w:r>
        <w:rPr>
          <w:rFonts w:ascii="Arial" w:hAnsi="Arial"/>
          <w:color w:val="000000"/>
          <w:sz w:val="20"/>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pStyle w:val="TextBody"/>
        <w:bidi w:val="0"/>
        <w:spacing w:before="200" w:after="283"/>
        <w:jc w:val="left"/>
        <w:rPr>
          <w:rFonts w:ascii="Arial" w:hAnsi="Arial"/>
          <w:color w:val="000000"/>
          <w:sz w:val="20"/>
        </w:rPr>
      </w:pPr>
      <w:r>
        <w:rPr>
          <w:rFonts w:ascii="Arial" w:hAnsi="Arial"/>
          <w:color w:val="000000"/>
          <w:sz w:val="20"/>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pStyle w:val="TextBody"/>
        <w:bidi w:val="0"/>
        <w:spacing w:before="200" w:after="283"/>
        <w:jc w:val="left"/>
        <w:rPr>
          <w:rFonts w:ascii="Arial" w:hAnsi="Arial"/>
          <w:color w:val="000000"/>
          <w:sz w:val="20"/>
        </w:rPr>
      </w:pPr>
      <w:r>
        <w:rPr>
          <w:rFonts w:ascii="Arial" w:hAnsi="Arial"/>
          <w:color w:val="000000"/>
          <w:sz w:val="20"/>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pStyle w:val="TextBody"/>
        <w:bidi w:val="0"/>
        <w:spacing w:before="200" w:after="283"/>
        <w:jc w:val="left"/>
        <w:rPr>
          <w:rFonts w:ascii="Arial" w:hAnsi="Arial"/>
          <w:b/>
          <w:i/>
          <w:color w:val="000000"/>
          <w:sz w:val="20"/>
        </w:rPr>
      </w:pPr>
      <w:r>
        <w:rPr>
          <w:rFonts w:ascii="Arial" w:hAnsi="Arial"/>
          <w:b/>
          <w:i/>
          <w:color w:val="000000"/>
          <w:sz w:val="20"/>
        </w:rPr>
        <w:t>Payments and other financial services-related regulations and oversight are material to our business. Our failure to comply could materially harm our business.</w:t>
      </w:r>
    </w:p>
    <w:p>
      <w:pPr>
        <w:pStyle w:val="TextBody"/>
        <w:bidi w:val="0"/>
        <w:spacing w:before="200" w:after="283"/>
        <w:jc w:val="left"/>
        <w:rPr>
          <w:rFonts w:ascii="Times New Roman" w:hAnsi="Times New Roman"/>
          <w:sz w:val="20"/>
        </w:rPr>
      </w:pPr>
      <w:r>
        <w:rPr>
          <w:rFonts w:ascii="Arial" w:hAnsi="Arial"/>
          <w:color w:val="000000"/>
          <w:sz w:val="20"/>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pStyle w:val="TextBody"/>
        <w:bidi w:val="0"/>
        <w:spacing w:before="200" w:after="283"/>
        <w:jc w:val="left"/>
        <w:rPr>
          <w:rFonts w:ascii="Arial" w:hAnsi="Arial"/>
          <w:color w:val="000000"/>
          <w:sz w:val="20"/>
        </w:rPr>
      </w:pPr>
      <w:r>
        <w:rPr>
          <w:rFonts w:ascii="Arial" w:hAnsi="Arial"/>
          <w:color w:val="000000"/>
          <w:sz w:val="20"/>
        </w:rPr>
        <w:t>Certain of our subsidiaries are registered with FinCEN. Our subsidiary Flywire Global Corp. has obtained licenses to operate as a money transmitter (or the statutory equivalent) in 45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pStyle w:val="TextBody"/>
        <w:bidi w:val="0"/>
        <w:spacing w:before="200" w:after="283"/>
        <w:jc w:val="left"/>
        <w:rPr>
          <w:rFonts w:ascii="Arial" w:hAnsi="Arial"/>
          <w:color w:val="000000"/>
          <w:sz w:val="20"/>
        </w:rPr>
      </w:pPr>
      <w:r>
        <w:rPr>
          <w:rFonts w:ascii="Arial" w:hAnsi="Arial"/>
          <w:color w:val="000000"/>
          <w:sz w:val="20"/>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pStyle w:val="TextBody"/>
        <w:bidi w:val="0"/>
        <w:spacing w:before="200" w:after="283"/>
        <w:jc w:val="left"/>
        <w:rPr>
          <w:rFonts w:ascii="Arial" w:hAnsi="Arial"/>
          <w:color w:val="000000"/>
          <w:sz w:val="20"/>
        </w:rPr>
      </w:pPr>
      <w:r>
        <w:rPr>
          <w:rFonts w:ascii="Arial" w:hAnsi="Arial"/>
          <w:color w:val="000000"/>
          <w:sz w:val="20"/>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pStyle w:val="TextBody"/>
        <w:bidi w:val="0"/>
        <w:spacing w:before="200" w:after="283"/>
        <w:jc w:val="left"/>
        <w:rPr>
          <w:rFonts w:ascii="Arial" w:hAnsi="Arial"/>
          <w:b/>
          <w:i/>
          <w:color w:val="000000"/>
          <w:sz w:val="20"/>
        </w:rPr>
      </w:pPr>
      <w:r>
        <w:rPr>
          <w:rFonts w:ascii="Arial" w:hAnsi="Arial"/>
          <w:b/>
          <w:i/>
          <w:color w:val="000000"/>
          <w:sz w:val="20"/>
        </w:rPr>
        <w:t>The regulatory environment in which we operate is subject to constant change, and new regulations could make aspects of our business as currently conducted no longer possible.</w:t>
      </w:r>
    </w:p>
    <w:p>
      <w:pPr>
        <w:pStyle w:val="TextBody"/>
        <w:bidi w:val="0"/>
        <w:spacing w:before="200" w:after="283"/>
        <w:jc w:val="left"/>
        <w:rPr>
          <w:rFonts w:ascii="Times New Roman" w:hAnsi="Times New Roman"/>
          <w:sz w:val="20"/>
        </w:rPr>
      </w:pPr>
      <w:r>
        <w:rPr>
          <w:rFonts w:ascii="Arial" w:hAnsi="Arial"/>
          <w:color w:val="000000"/>
          <w:sz w:val="20"/>
        </w:rPr>
        <w:t>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pStyle w:val="TextBody"/>
        <w:bidi w:val="0"/>
        <w:spacing w:before="200" w:after="283"/>
        <w:jc w:val="left"/>
        <w:rPr>
          <w:rFonts w:ascii="Arial" w:hAnsi="Arial"/>
          <w:color w:val="000000"/>
          <w:sz w:val="20"/>
        </w:rPr>
      </w:pPr>
      <w:r>
        <w:rPr>
          <w:rFonts w:ascii="Arial" w:hAnsi="Arial"/>
          <w:color w:val="000000"/>
          <w:sz w:val="20"/>
        </w:rPr>
        <w:t>Government agencies may impose new or additional rules on money transmission, which may increase our costs of doing business, including, but not limited to regulations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prohibit, restrict, and/or impose taxes or fees on money transmission transactions in, to or from certain countries or with certain governments, individuals, and entities;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impose additional client identification and client due diligence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impose additional reporting or recordkeeping requirements, or require enhanced transaction monitoring;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types of entities capable of providing money transmission services, or impose additional licensing or registration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impose minimum capital or other financial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enhanced disclosures to our money transmission clients or their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the principal amount of money transmission transactions originated in a country to be invested in that country or held in trust until paid;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number or principal amount of money transmission transactions that may be sent to or from a jurisdiction, whether by an individual or in the aggregate;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 or limit our ability to process transactions using centralized databases, for example, by requiring that transactions be processed using a database maintained in a particular country or region.</w:t>
      </w:r>
    </w:p>
    <w:p>
      <w:pPr>
        <w:pStyle w:val="TextBody"/>
        <w:bidi w:val="0"/>
        <w:spacing w:before="200" w:after="283"/>
        <w:jc w:val="left"/>
        <w:rPr>
          <w:rFonts w:ascii="Arial" w:hAnsi="Arial"/>
          <w:b/>
          <w:i/>
          <w:color w:val="000000"/>
          <w:sz w:val="20"/>
        </w:rPr>
      </w:pPr>
      <w:r>
        <w:rPr>
          <w:rFonts w:ascii="Arial" w:hAnsi="Arial"/>
          <w:b/>
          <w:i/>
          <w:color w:val="000000"/>
          <w:sz w:val="20"/>
        </w:rPr>
        <w:t>We are subject to governmental laws and requirements regarding economic and trade sanctions, AML and CFT that could impair our ability to compete in international markets or subject us to criminal or civil liability if we violate them.</w:t>
      </w:r>
    </w:p>
    <w:p>
      <w:pPr>
        <w:pStyle w:val="TextBody"/>
        <w:bidi w:val="0"/>
        <w:spacing w:before="200" w:after="283"/>
        <w:jc w:val="left"/>
        <w:rPr>
          <w:rFonts w:ascii="Arial" w:hAnsi="Arial"/>
          <w:color w:val="000000"/>
          <w:sz w:val="20"/>
        </w:rPr>
      </w:pPr>
      <w:r>
        <w:rPr>
          <w:rFonts w:ascii="Arial" w:hAnsi="Arial"/>
          <w:color w:val="000000"/>
          <w:sz w:val="20"/>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pStyle w:val="TextBody"/>
        <w:bidi w:val="0"/>
        <w:spacing w:before="200" w:after="283"/>
        <w:jc w:val="left"/>
        <w:rPr>
          <w:rFonts w:ascii="Times New Roman" w:hAnsi="Times New Roman"/>
          <w:sz w:val="20"/>
        </w:rPr>
      </w:pPr>
      <w:r>
        <w:rPr>
          <w:rFonts w:ascii="Arial" w:hAnsi="Arial"/>
          <w:color w:val="000000"/>
          <w:sz w:val="20"/>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pStyle w:val="TextBody"/>
        <w:bidi w:val="0"/>
        <w:spacing w:before="200" w:after="283"/>
        <w:jc w:val="left"/>
        <w:rPr>
          <w:rFonts w:ascii="Arial" w:hAnsi="Arial"/>
          <w:b/>
          <w:i/>
          <w:color w:val="000000"/>
          <w:sz w:val="20"/>
        </w:rPr>
      </w:pPr>
      <w:r>
        <w:rPr>
          <w:rFonts w:ascii="Arial" w:hAnsi="Arial"/>
          <w:b/>
          <w:i/>
          <w:color w:val="000000"/>
          <w:sz w:val="20"/>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pStyle w:val="TextBody"/>
        <w:bidi w:val="0"/>
        <w:spacing w:before="200" w:after="283"/>
        <w:jc w:val="left"/>
        <w:rPr>
          <w:rFonts w:ascii="Arial" w:hAnsi="Arial"/>
          <w:color w:val="000000"/>
          <w:sz w:val="20"/>
        </w:rPr>
      </w:pPr>
      <w:r>
        <w:rPr>
          <w:rFonts w:ascii="Arial" w:hAnsi="Arial"/>
          <w:color w:val="000000"/>
          <w:sz w:val="20"/>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pStyle w:val="TextBody"/>
        <w:bidi w:val="0"/>
        <w:spacing w:before="200" w:after="283"/>
        <w:jc w:val="left"/>
        <w:rPr>
          <w:rFonts w:ascii="Arial" w:hAnsi="Arial"/>
          <w:color w:val="000000"/>
          <w:sz w:val="20"/>
        </w:rPr>
      </w:pPr>
      <w:r>
        <w:rPr>
          <w:rFonts w:ascii="Arial" w:hAnsi="Arial"/>
          <w:color w:val="000000"/>
          <w:sz w:val="20"/>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pStyle w:val="TextBody"/>
        <w:bidi w:val="0"/>
        <w:spacing w:before="200" w:after="283"/>
        <w:jc w:val="left"/>
        <w:rPr>
          <w:rFonts w:ascii="Arial" w:hAnsi="Arial"/>
          <w:color w:val="000000"/>
          <w:sz w:val="20"/>
        </w:rPr>
      </w:pPr>
      <w:r>
        <w:rPr>
          <w:rFonts w:ascii="Arial" w:hAnsi="Arial"/>
          <w:color w:val="000000"/>
          <w:sz w:val="20"/>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bidi w:val="0"/>
        <w:spacing w:before="200" w:after="283"/>
        <w:jc w:val="left"/>
        <w:rPr>
          <w:rFonts w:ascii="Times New Roman" w:hAnsi="Times New Roman"/>
          <w:sz w:val="20"/>
        </w:rPr>
      </w:pPr>
      <w:r>
        <w:rPr>
          <w:rFonts w:ascii="Arial" w:hAnsi="Arial"/>
          <w:color w:val="000000"/>
          <w:sz w:val="20"/>
        </w:rPr>
        <w:t>The laws and regulations relating to privacy and data security are evolving, can be subject to significant change, and may result in ever-increasing regulatory and public scrutiny and escalating levels of enforcement and sanctions.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TextBody"/>
        <w:bidi w:val="0"/>
        <w:spacing w:before="200" w:after="283"/>
        <w:jc w:val="left"/>
        <w:rPr>
          <w:rFonts w:ascii="Arial" w:hAnsi="Arial"/>
          <w:color w:val="000000"/>
          <w:sz w:val="20"/>
        </w:rPr>
      </w:pPr>
      <w:r>
        <w:rPr>
          <w:rFonts w:ascii="Arial" w:hAnsi="Arial"/>
          <w:color w:val="000000"/>
          <w:sz w:val="20"/>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pStyle w:val="TextBody"/>
        <w:bidi w:val="0"/>
        <w:spacing w:before="200" w:after="283"/>
        <w:jc w:val="left"/>
        <w:rPr>
          <w:rFonts w:ascii="Times New Roman" w:hAnsi="Times New Roman"/>
          <w:sz w:val="20"/>
        </w:rPr>
      </w:pPr>
      <w:r>
        <w:rPr>
          <w:rFonts w:ascii="Arial" w:hAnsi="Arial"/>
          <w:color w:val="000000"/>
          <w:sz w:val="20"/>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the validity of alternative data transfer mechanisms. The SCCs, though previously approved by the European Commission, have faced challenges in European courts (including being called into question in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may be further challenged, suspended or invalidated for transfers to some or all countries. For example, guidance regarding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pStyle w:val="TextBody"/>
        <w:bidi w:val="0"/>
        <w:spacing w:before="200" w:after="283"/>
        <w:jc w:val="left"/>
        <w:rPr>
          <w:rFonts w:ascii="Arial" w:hAnsi="Arial"/>
          <w:color w:val="000000"/>
          <w:sz w:val="20"/>
        </w:rPr>
      </w:pPr>
      <w:r>
        <w:rPr>
          <w:rFonts w:ascii="Arial" w:hAnsi="Arial"/>
          <w:color w:val="000000"/>
          <w:sz w:val="20"/>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pStyle w:val="TextBody"/>
        <w:bidi w:val="0"/>
        <w:spacing w:before="200" w:after="283"/>
        <w:jc w:val="left"/>
        <w:rPr>
          <w:rFonts w:ascii="Times New Roman" w:hAnsi="Times New Roman"/>
          <w:sz w:val="20"/>
        </w:rPr>
      </w:pPr>
      <w:r>
        <w:rPr>
          <w:rFonts w:ascii="Arial" w:hAnsi="Arial"/>
          <w:color w:val="000000"/>
          <w:sz w:val="20"/>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transfers. We are in the process of evaluating how we may self-certify as a participating organization with the U.S. Department of Commerce.</w:t>
      </w:r>
    </w:p>
    <w:p>
      <w:pPr>
        <w:pStyle w:val="TextBody"/>
        <w:bidi w:val="0"/>
        <w:spacing w:before="200" w:after="283"/>
        <w:jc w:val="left"/>
        <w:rPr>
          <w:rFonts w:ascii="Arial" w:hAnsi="Arial"/>
          <w:color w:val="000000"/>
          <w:sz w:val="20"/>
        </w:rPr>
      </w:pPr>
      <w:r>
        <w:rPr>
          <w:rFonts w:ascii="Arial" w:hAnsi="Arial"/>
          <w:color w:val="000000"/>
          <w:sz w:val="20"/>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pStyle w:val="TextBody"/>
        <w:bidi w:val="0"/>
        <w:spacing w:before="200" w:after="283"/>
        <w:jc w:val="left"/>
        <w:rPr>
          <w:rFonts w:ascii="Arial" w:hAnsi="Arial"/>
          <w:color w:val="000000"/>
          <w:sz w:val="20"/>
        </w:rPr>
      </w:pPr>
      <w:r>
        <w:rPr>
          <w:rFonts w:ascii="Arial" w:hAnsi="Arial"/>
          <w:color w:val="000000"/>
          <w:sz w:val="20"/>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pStyle w:val="TextBody"/>
        <w:bidi w:val="0"/>
        <w:spacing w:before="200" w:after="283"/>
        <w:jc w:val="left"/>
        <w:rPr>
          <w:rFonts w:ascii="Arial" w:hAnsi="Arial"/>
          <w:color w:val="000000"/>
          <w:sz w:val="20"/>
        </w:rPr>
      </w:pPr>
      <w:r>
        <w:rPr>
          <w:rFonts w:ascii="Arial" w:hAnsi="Arial"/>
          <w:color w:val="000000"/>
          <w:sz w:val="20"/>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pStyle w:val="TextBody"/>
        <w:bidi w:val="0"/>
        <w:spacing w:before="200" w:after="283"/>
        <w:jc w:val="left"/>
        <w:rPr>
          <w:rFonts w:ascii="Arial" w:hAnsi="Arial"/>
          <w:color w:val="000000"/>
          <w:sz w:val="20"/>
        </w:rPr>
      </w:pPr>
      <w:r>
        <w:rPr>
          <w:rFonts w:ascii="Arial" w:hAnsi="Arial"/>
          <w:color w:val="000000"/>
          <w:sz w:val="20"/>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pStyle w:val="TextBody"/>
        <w:bidi w:val="0"/>
        <w:spacing w:before="200" w:after="283"/>
        <w:jc w:val="left"/>
        <w:rPr>
          <w:rFonts w:ascii="Arial" w:hAnsi="Arial"/>
          <w:color w:val="000000"/>
          <w:sz w:val="20"/>
        </w:rPr>
      </w:pPr>
      <w:r>
        <w:rPr>
          <w:rFonts w:ascii="Arial" w:hAnsi="Arial"/>
          <w:color w:val="000000"/>
          <w:sz w:val="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pStyle w:val="TextBody"/>
        <w:bidi w:val="0"/>
        <w:spacing w:before="200" w:after="283"/>
        <w:jc w:val="left"/>
        <w:rPr>
          <w:rFonts w:ascii="Arial" w:hAnsi="Arial"/>
          <w:color w:val="000000"/>
          <w:sz w:val="20"/>
        </w:rPr>
      </w:pPr>
      <w:r>
        <w:rPr>
          <w:rFonts w:ascii="Arial" w:hAnsi="Arial"/>
          <w:color w:val="000000"/>
          <w:sz w:val="20"/>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pStyle w:val="TextBody"/>
        <w:bidi w:val="0"/>
        <w:spacing w:before="200" w:after="283"/>
        <w:jc w:val="left"/>
        <w:rPr>
          <w:rFonts w:ascii="Times New Roman" w:hAnsi="Times New Roman"/>
          <w:sz w:val="20"/>
        </w:rPr>
      </w:pPr>
      <w:r>
        <w:rPr>
          <w:rFonts w:ascii="Arial" w:hAnsi="Arial"/>
          <w:color w:val="000000"/>
          <w:sz w:val="20"/>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regulatory tools and flexibility that should, together with an ongoing focus on funding enforcement, see a more proactive regulator with capacity and capability to investigate and litigate more privacy incidents in Australia.</w:t>
      </w:r>
    </w:p>
    <w:p>
      <w:pPr>
        <w:pStyle w:val="TextBody"/>
        <w:bidi w:val="0"/>
        <w:spacing w:before="200" w:after="283"/>
        <w:jc w:val="left"/>
        <w:rPr>
          <w:rFonts w:ascii="Arial" w:hAnsi="Arial"/>
          <w:color w:val="000000"/>
          <w:sz w:val="20"/>
        </w:rPr>
      </w:pPr>
      <w:r>
        <w:rPr>
          <w:rFonts w:ascii="Arial" w:hAnsi="Arial"/>
          <w:color w:val="000000"/>
          <w:sz w:val="20"/>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pStyle w:val="TextBody"/>
        <w:bidi w:val="0"/>
        <w:spacing w:before="200" w:after="283"/>
        <w:jc w:val="left"/>
        <w:rPr>
          <w:rFonts w:ascii="Arial" w:hAnsi="Arial"/>
          <w:color w:val="000000"/>
          <w:sz w:val="20"/>
        </w:rPr>
      </w:pPr>
      <w:r>
        <w:rPr>
          <w:rFonts w:ascii="Arial" w:hAnsi="Arial"/>
          <w:color w:val="000000"/>
          <w:sz w:val="20"/>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pStyle w:val="TextBody"/>
        <w:bidi w:val="0"/>
        <w:spacing w:before="200" w:after="283"/>
        <w:jc w:val="left"/>
        <w:rPr>
          <w:rFonts w:ascii="Arial" w:hAnsi="Arial"/>
          <w:color w:val="000000"/>
          <w:sz w:val="20"/>
        </w:rPr>
      </w:pPr>
      <w:r>
        <w:rPr>
          <w:rFonts w:ascii="Arial" w:hAnsi="Arial"/>
          <w:color w:val="000000"/>
          <w:sz w:val="20"/>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pStyle w:val="TextBody"/>
        <w:bidi w:val="0"/>
        <w:spacing w:before="200" w:after="283"/>
        <w:jc w:val="left"/>
        <w:rPr>
          <w:rFonts w:ascii="Arial" w:hAnsi="Arial"/>
          <w:b/>
          <w:i/>
          <w:color w:val="000000"/>
          <w:sz w:val="20"/>
        </w:rPr>
      </w:pPr>
      <w:r>
        <w:rPr>
          <w:rFonts w:ascii="Arial" w:hAnsi="Arial"/>
          <w:b/>
          <w:i/>
          <w:color w:val="000000"/>
          <w:sz w:val="20"/>
        </w:rPr>
        <w:t>We are subject to anti-corruption, anti-bribery, and similar laws, and non-compliance with such laws can subject us to criminal or civil liability and harm our business.</w:t>
      </w:r>
    </w:p>
    <w:p>
      <w:pPr>
        <w:pStyle w:val="TextBody"/>
        <w:bidi w:val="0"/>
        <w:spacing w:before="200" w:after="283"/>
        <w:jc w:val="left"/>
        <w:rPr>
          <w:rFonts w:ascii="Arial" w:hAnsi="Arial"/>
          <w:color w:val="000000"/>
          <w:sz w:val="20"/>
        </w:rPr>
      </w:pPr>
      <w:r>
        <w:rPr>
          <w:rFonts w:ascii="Arial" w:hAnsi="Arial"/>
          <w:color w:val="000000"/>
          <w:sz w:val="20"/>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pStyle w:val="TextBody"/>
        <w:bidi w:val="0"/>
        <w:spacing w:before="200" w:after="283"/>
        <w:jc w:val="left"/>
        <w:rPr>
          <w:rFonts w:ascii="Arial" w:hAnsi="Arial"/>
          <w:color w:val="000000"/>
          <w:sz w:val="20"/>
        </w:rPr>
      </w:pPr>
      <w:r>
        <w:rPr>
          <w:rFonts w:ascii="Arial" w:hAnsi="Arial"/>
          <w:color w:val="000000"/>
          <w:sz w:val="20"/>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pStyle w:val="TextBody"/>
        <w:bidi w:val="0"/>
        <w:spacing w:before="200" w:after="283"/>
        <w:jc w:val="left"/>
        <w:rPr>
          <w:rFonts w:ascii="Times New Roman" w:hAnsi="Times New Roman"/>
          <w:sz w:val="20"/>
        </w:rPr>
      </w:pPr>
      <w:r>
        <w:rPr>
          <w:rFonts w:ascii="Arial" w:hAnsi="Arial"/>
          <w:color w:val="000000"/>
          <w:sz w:val="20"/>
        </w:rPr>
        <w:t>Detecting, investigating, and resolving actual or alleged violations of anti-corruption laws can require a significant diversion of time, resources, and attention from senior management. In addition, noncompliance with anti-corruption or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pStyle w:val="TextBody"/>
        <w:bidi w:val="0"/>
        <w:spacing w:before="200" w:after="283"/>
        <w:jc w:val="left"/>
        <w:rPr>
          <w:rFonts w:ascii="Arial" w:hAnsi="Arial"/>
          <w:color w:val="000000"/>
          <w:sz w:val="20"/>
        </w:rPr>
      </w:pPr>
      <w:r>
        <w:rPr>
          <w:rFonts w:ascii="Arial" w:hAnsi="Arial"/>
          <w:color w:val="000000"/>
          <w:sz w:val="20"/>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pStyle w:val="TextBody"/>
        <w:bidi w:val="0"/>
        <w:spacing w:before="200" w:after="283"/>
        <w:jc w:val="left"/>
        <w:rPr>
          <w:rFonts w:ascii="Arial" w:hAnsi="Arial"/>
          <w:b/>
          <w:i/>
          <w:color w:val="000000"/>
          <w:sz w:val="20"/>
        </w:rPr>
      </w:pPr>
      <w:r>
        <w:rPr>
          <w:rFonts w:ascii="Arial" w:hAnsi="Arial"/>
          <w:b/>
          <w:i/>
          <w:color w:val="000000"/>
          <w:sz w:val="20"/>
        </w:rPr>
        <w:t>If we fail to adequately protect our proprietary rights, our competitive position could be impaired and we may lose valuable assets, generate less revenue and incur costly litigation to protect our rights.</w:t>
      </w:r>
    </w:p>
    <w:p>
      <w:pPr>
        <w:pStyle w:val="TextBody"/>
        <w:bidi w:val="0"/>
        <w:spacing w:before="200" w:after="283"/>
        <w:jc w:val="left"/>
        <w:rPr>
          <w:rFonts w:ascii="Arial" w:hAnsi="Arial"/>
          <w:color w:val="000000"/>
          <w:sz w:val="20"/>
        </w:rPr>
      </w:pPr>
      <w:r>
        <w:rPr>
          <w:rFonts w:ascii="Arial" w:hAnsi="Arial"/>
          <w:color w:val="000000"/>
          <w:sz w:val="20"/>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third-parties to copy our solutions and use information that we regard as proprietary to create solutions that compete with ours.</w:t>
      </w:r>
    </w:p>
    <w:p>
      <w:pPr>
        <w:pStyle w:val="TextBody"/>
        <w:bidi w:val="0"/>
        <w:spacing w:before="200" w:after="283"/>
        <w:jc w:val="left"/>
        <w:rPr>
          <w:rFonts w:ascii="Arial" w:hAnsi="Arial"/>
          <w:color w:val="000000"/>
          <w:sz w:val="20"/>
        </w:rPr>
      </w:pPr>
      <w:r>
        <w:rPr>
          <w:rFonts w:ascii="Arial" w:hAnsi="Arial"/>
          <w:color w:val="000000"/>
          <w:sz w:val="20"/>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pStyle w:val="TextBody"/>
        <w:bidi w:val="0"/>
        <w:spacing w:before="200" w:after="283"/>
        <w:jc w:val="left"/>
        <w:rPr>
          <w:rFonts w:ascii="Arial" w:hAnsi="Arial"/>
          <w:color w:val="000000"/>
          <w:sz w:val="20"/>
        </w:rPr>
      </w:pPr>
      <w:r>
        <w:rPr>
          <w:rFonts w:ascii="Arial" w:hAnsi="Arial"/>
          <w:color w:val="000000"/>
          <w:sz w:val="20"/>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pStyle w:val="TextBody"/>
        <w:bidi w:val="0"/>
        <w:spacing w:before="12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third-parties to develop and market new features, integrations, and capabilities, and we cannot be certain that we could license that technology on commercially reasonable terms or at all, and our inability to license this technology could harm our ability to compete.</w:t>
      </w:r>
    </w:p>
    <w:p>
      <w:pPr>
        <w:pStyle w:val="TextBody"/>
        <w:bidi w:val="0"/>
        <w:spacing w:before="200" w:after="283"/>
        <w:jc w:val="left"/>
        <w:rPr>
          <w:rFonts w:ascii="Arial" w:hAnsi="Arial"/>
          <w:b/>
          <w:i/>
          <w:color w:val="000000"/>
          <w:sz w:val="20"/>
        </w:rPr>
      </w:pPr>
      <w:r>
        <w:rPr>
          <w:rFonts w:ascii="Arial" w:hAnsi="Arial"/>
          <w:b/>
          <w:i/>
          <w:color w:val="000000"/>
          <w:sz w:val="20"/>
        </w:rPr>
        <w:t>We may in the future be subject to intellectual property disputes, which are costly and may subject us to significant liability and increased costs of doing business.</w:t>
      </w:r>
    </w:p>
    <w:p>
      <w:pPr>
        <w:pStyle w:val="TextBody"/>
        <w:bidi w:val="0"/>
        <w:spacing w:before="200" w:after="283"/>
        <w:jc w:val="left"/>
        <w:rPr>
          <w:rFonts w:ascii="Arial" w:hAnsi="Arial"/>
          <w:color w:val="000000"/>
          <w:sz w:val="20"/>
        </w:rPr>
      </w:pPr>
      <w:r>
        <w:rPr>
          <w:rFonts w:ascii="Arial" w:hAnsi="Arial"/>
          <w:color w:val="000000"/>
          <w:sz w:val="20"/>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third-party’s rights. If we are required, or choose to enter into, royalty or licensing arrangements, such arrangements may not be available on reasonable terms or at all. In addition, we may also be contractually obligated to indemnify our clients in the event of infringement of a third-party’s intellectual property rights.</w:t>
      </w:r>
    </w:p>
    <w:p>
      <w:pPr>
        <w:pStyle w:val="TextBody"/>
        <w:bidi w:val="0"/>
        <w:spacing w:before="200" w:after="283"/>
        <w:jc w:val="left"/>
        <w:rPr>
          <w:rFonts w:ascii="Arial" w:hAnsi="Arial"/>
          <w:b/>
          <w:i/>
          <w:color w:val="000000"/>
          <w:sz w:val="20"/>
        </w:rPr>
      </w:pPr>
      <w:r>
        <w:rPr>
          <w:rFonts w:ascii="Arial" w:hAnsi="Arial"/>
          <w:b/>
          <w:i/>
          <w:color w:val="000000"/>
          <w:sz w:val="20"/>
        </w:rPr>
        <w:t>Our use of “open source” software could negatively affect our ability to offer and sell access to our solutions and subject us to possible litigation.</w:t>
      </w:r>
    </w:p>
    <w:p>
      <w:pPr>
        <w:pStyle w:val="TextBody"/>
        <w:bidi w:val="0"/>
        <w:spacing w:before="200" w:after="283"/>
        <w:jc w:val="left"/>
        <w:rPr>
          <w:rFonts w:ascii="Arial" w:hAnsi="Arial"/>
          <w:color w:val="000000"/>
          <w:sz w:val="20"/>
        </w:rPr>
      </w:pPr>
      <w:r>
        <w:rPr>
          <w:rFonts w:ascii="Arial" w:hAnsi="Arial"/>
          <w:color w:val="000000"/>
          <w:sz w:val="20"/>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pStyle w:val="TextBody"/>
        <w:bidi w:val="0"/>
        <w:spacing w:before="200" w:after="283"/>
        <w:jc w:val="left"/>
        <w:rPr>
          <w:rFonts w:ascii="Arial" w:hAnsi="Arial"/>
          <w:color w:val="000000"/>
          <w:sz w:val="20"/>
        </w:rPr>
      </w:pPr>
      <w:r>
        <w:rPr>
          <w:rFonts w:ascii="Arial" w:hAnsi="Arial"/>
          <w:color w:val="000000"/>
          <w:sz w:val="20"/>
        </w:rPr>
        <w:t>Additionally, we may from time to time face claims from third-parties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pStyle w:val="TextBody"/>
        <w:bidi w:val="0"/>
        <w:spacing w:before="12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Indemnity and liability provisions in various agreements potentially expose us to substantial liability for intellectual property infringement, data protection, and other losses.</w:t>
      </w:r>
    </w:p>
    <w:p>
      <w:pPr>
        <w:pStyle w:val="TextBody"/>
        <w:bidi w:val="0"/>
        <w:spacing w:before="200" w:after="283"/>
        <w:jc w:val="left"/>
        <w:rPr>
          <w:rFonts w:ascii="Arial" w:hAnsi="Arial"/>
          <w:color w:val="000000"/>
          <w:sz w:val="20"/>
        </w:rPr>
      </w:pPr>
      <w:r>
        <w:rPr>
          <w:rFonts w:ascii="Arial" w:hAnsi="Arial"/>
          <w:color w:val="000000"/>
          <w:sz w:val="20"/>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pStyle w:val="TextBody"/>
        <w:bidi w:val="0"/>
        <w:spacing w:before="200" w:after="283"/>
        <w:jc w:val="left"/>
        <w:rPr>
          <w:rFonts w:ascii="Arial" w:hAnsi="Arial"/>
          <w:b/>
          <w:i/>
          <w:color w:val="000000"/>
          <w:sz w:val="20"/>
        </w:rPr>
      </w:pPr>
      <w:r>
        <w:rPr>
          <w:rFonts w:ascii="Arial" w:hAnsi="Arial"/>
          <w:b/>
          <w:i/>
          <w:color w:val="000000"/>
          <w:sz w:val="20"/>
        </w:rPr>
        <w:t>New or revised tax regulations, unfavorable resolution of tax contingencies or changes to enacted tax rates could adversely affect our tax expense.</w:t>
      </w:r>
    </w:p>
    <w:p>
      <w:pPr>
        <w:pStyle w:val="TextBody"/>
        <w:bidi w:val="0"/>
        <w:spacing w:before="200" w:after="283"/>
        <w:jc w:val="left"/>
        <w:rPr>
          <w:rFonts w:ascii="Arial" w:hAnsi="Arial"/>
          <w:color w:val="000000"/>
          <w:sz w:val="20"/>
        </w:rPr>
      </w:pPr>
      <w:r>
        <w:rPr>
          <w:rFonts w:ascii="Arial" w:hAnsi="Arial"/>
          <w:color w:val="000000"/>
          <w:sz w:val="20"/>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pStyle w:val="TextBody"/>
        <w:bidi w:val="0"/>
        <w:spacing w:before="200" w:after="283"/>
        <w:jc w:val="left"/>
        <w:rPr>
          <w:rFonts w:ascii="Arial" w:hAnsi="Arial"/>
          <w:color w:val="000000"/>
          <w:sz w:val="20"/>
        </w:rPr>
      </w:pPr>
      <w:r>
        <w:rPr>
          <w:rFonts w:ascii="Arial" w:hAnsi="Arial"/>
          <w:color w:val="000000"/>
          <w:sz w:val="20"/>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pStyle w:val="TextBody"/>
        <w:bidi w:val="0"/>
        <w:spacing w:before="200" w:after="283"/>
        <w:jc w:val="left"/>
        <w:rPr>
          <w:rFonts w:ascii="Arial" w:hAnsi="Arial"/>
          <w:color w:val="000000"/>
          <w:sz w:val="20"/>
        </w:rPr>
      </w:pPr>
      <w:r>
        <w:rPr>
          <w:rFonts w:ascii="Arial" w:hAnsi="Arial"/>
          <w:color w:val="000000"/>
          <w:sz w:val="20"/>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pStyle w:val="TextBody"/>
        <w:bidi w:val="0"/>
        <w:spacing w:before="200" w:after="283"/>
        <w:jc w:val="left"/>
        <w:rPr>
          <w:rFonts w:ascii="Arial" w:hAnsi="Arial"/>
          <w:color w:val="000000"/>
          <w:sz w:val="20"/>
        </w:rPr>
      </w:pPr>
      <w:r>
        <w:rPr>
          <w:rFonts w:ascii="Arial" w:hAnsi="Arial"/>
          <w:color w:val="000000"/>
          <w:sz w:val="20"/>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before="200" w:after="283"/>
        <w:jc w:val="left"/>
        <w:rPr>
          <w:rFonts w:ascii="Times New Roman" w:hAnsi="Times New Roman"/>
          <w:sz w:val="20"/>
        </w:rPr>
      </w:pPr>
      <w:r>
        <w:rPr>
          <w:rFonts w:ascii="Arial" w:hAnsi="Arial"/>
          <w:color w:val="000000"/>
          <w:sz w:val="20"/>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financial amount no more than any related liability. An unfavorable resolution, therefore, could negatively affect our financial position, results of operations and cash flows in the current and/or future periods.</w:t>
      </w:r>
    </w:p>
    <w:p>
      <w:pPr>
        <w:pStyle w:val="TextBody"/>
        <w:bidi w:val="0"/>
        <w:spacing w:before="200" w:after="283"/>
        <w:jc w:val="left"/>
        <w:rPr>
          <w:rFonts w:ascii="Arial" w:hAnsi="Arial"/>
          <w:b/>
          <w:i/>
          <w:color w:val="000000"/>
          <w:sz w:val="20"/>
        </w:rPr>
      </w:pPr>
      <w:r>
        <w:rPr>
          <w:rFonts w:ascii="Arial" w:hAnsi="Arial"/>
          <w:b/>
          <w:i/>
          <w:color w:val="000000"/>
          <w:sz w:val="20"/>
        </w:rPr>
        <w:t>Our ability to use our net operating losses (NOLs) to offset future taxable income may be subject to certain limitations.</w:t>
      </w:r>
    </w:p>
    <w:p>
      <w:pPr>
        <w:pStyle w:val="TextBody"/>
        <w:bidi w:val="0"/>
        <w:spacing w:before="200" w:after="283"/>
        <w:jc w:val="left"/>
        <w:rPr>
          <w:rFonts w:ascii="Arial" w:hAnsi="Arial"/>
          <w:color w:val="000000"/>
          <w:sz w:val="20"/>
        </w:rPr>
      </w:pPr>
      <w:r>
        <w:rPr>
          <w:rFonts w:ascii="Arial" w:hAnsi="Arial"/>
          <w:color w:val="000000"/>
          <w:sz w:val="20"/>
        </w:rPr>
        <w:t>As of December 31, 2025, we had U.S. federal NOL carryforwards of approximately $48.1 million and state NOL carryforwards of approximately $81.6 million. The federal and material state NOL carryforwards will both begin to expire in 2031.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pStyle w:val="TextBody"/>
        <w:bidi w:val="0"/>
        <w:spacing w:before="200" w:after="283"/>
        <w:jc w:val="left"/>
        <w:rPr>
          <w:rFonts w:ascii="Arial" w:hAnsi="Arial"/>
          <w:color w:val="000000"/>
          <w:sz w:val="20"/>
        </w:rPr>
      </w:pPr>
      <w:r>
        <w:rPr>
          <w:rFonts w:ascii="Arial" w:hAnsi="Arial"/>
          <w:color w:val="000000"/>
          <w:sz w:val="20"/>
        </w:rPr>
        <w:t>During 2022, we completed a Section 382 study and as a result of the ownership changes identified, $1.6 million of Flywire’s NOLs and $0.2 million of Simplificare Inc.’s NOLs will expire unutilized, assuming sufficient taxable income is generated in the future. In 2024, we completed our refresh of the Section 382 study as of 2024 tax year and there were no additional limitations in using federal and state NOL carryforwards.</w:t>
      </w:r>
    </w:p>
    <w:p>
      <w:pPr>
        <w:pStyle w:val="TextBody"/>
        <w:bidi w:val="0"/>
        <w:spacing w:before="200" w:after="283"/>
        <w:jc w:val="left"/>
        <w:rPr>
          <w:rFonts w:ascii="Arial" w:hAnsi="Arial"/>
          <w:b/>
          <w:color w:val="000000"/>
          <w:sz w:val="20"/>
        </w:rPr>
      </w:pPr>
      <w:r>
        <w:rPr>
          <w:rFonts w:ascii="Arial" w:hAnsi="Arial"/>
          <w:b/>
          <w:color w:val="000000"/>
          <w:sz w:val="20"/>
        </w:rPr>
        <w:t>Risks Related to Being a Public Company</w:t>
      </w:r>
    </w:p>
    <w:p>
      <w:pPr>
        <w:pStyle w:val="TextBody"/>
        <w:bidi w:val="0"/>
        <w:spacing w:before="200" w:after="283"/>
        <w:jc w:val="left"/>
        <w:rPr>
          <w:rFonts w:ascii="Arial" w:hAnsi="Arial"/>
          <w:b/>
          <w:i/>
          <w:color w:val="000000"/>
          <w:sz w:val="20"/>
        </w:rPr>
      </w:pPr>
      <w:r>
        <w:rPr>
          <w:rFonts w:ascii="Arial" w:hAnsi="Arial"/>
          <w:b/>
          <w:i/>
          <w:color w:val="000000"/>
          <w:sz w:val="20"/>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p>
    <w:p>
      <w:pPr>
        <w:pStyle w:val="TextBody"/>
        <w:bidi w:val="0"/>
        <w:spacing w:before="200" w:after="283"/>
        <w:jc w:val="left"/>
        <w:rPr>
          <w:rFonts w:ascii="Arial" w:hAnsi="Arial"/>
          <w:color w:val="000000"/>
          <w:sz w:val="20"/>
        </w:rPr>
      </w:pPr>
      <w:r>
        <w:rPr>
          <w:rFonts w:ascii="Arial" w:hAnsi="Arial"/>
          <w:color w:val="000000"/>
          <w:sz w:val="20"/>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requires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pStyle w:val="TextBody"/>
        <w:bidi w:val="0"/>
        <w:spacing w:before="200" w:after="283"/>
        <w:jc w:val="left"/>
        <w:rPr>
          <w:rFonts w:ascii="Arial" w:hAnsi="Arial"/>
          <w:color w:val="000000"/>
          <w:sz w:val="20"/>
        </w:rPr>
      </w:pPr>
      <w:r>
        <w:rPr>
          <w:rFonts w:ascii="Arial" w:hAnsi="Arial"/>
          <w:color w:val="000000"/>
          <w:sz w:val="20"/>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before="200" w:after="283"/>
        <w:jc w:val="left"/>
        <w:rPr>
          <w:rFonts w:ascii="Arial" w:hAnsi="Arial"/>
          <w:color w:val="000000"/>
          <w:sz w:val="20"/>
        </w:rPr>
      </w:pPr>
      <w:r>
        <w:rPr>
          <w:rFonts w:ascii="Arial" w:hAnsi="Arial"/>
          <w:color w:val="000000"/>
          <w:sz w:val="20"/>
        </w:rPr>
        <w:t>This assessment includes disclosure of any material weaknesses identified by our management in our internal control over financial reporting and our independent registered public accounting firm is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pStyle w:val="TextBody"/>
        <w:bidi w:val="0"/>
        <w:spacing w:before="200" w:after="283"/>
        <w:jc w:val="left"/>
        <w:rPr>
          <w:rFonts w:ascii="Times New Roman" w:hAnsi="Times New Roman"/>
          <w:sz w:val="20"/>
        </w:rPr>
      </w:pPr>
      <w:r>
        <w:rPr>
          <w:rFonts w:ascii="Arial" w:hAnsi="Arial"/>
          <w:color w:val="000000"/>
          <w:sz w:val="20"/>
        </w:rPr>
        <w:t>An independent assessment of the effectiveness of our internal controls could detect problems that our management’s assessment might not. Undetected material weaknesses in our internal controls could lead to financial</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pStyle w:val="TextBody"/>
        <w:bidi w:val="0"/>
        <w:spacing w:before="200" w:after="283"/>
        <w:jc w:val="left"/>
        <w:rPr>
          <w:rFonts w:ascii="Arial" w:hAnsi="Arial"/>
          <w:color w:val="000000"/>
          <w:sz w:val="20"/>
        </w:rPr>
      </w:pPr>
      <w:r>
        <w:rPr>
          <w:rFonts w:ascii="Arial" w:hAnsi="Arial"/>
          <w:color w:val="000000"/>
          <w:sz w:val="20"/>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pStyle w:val="TextBody"/>
        <w:bidi w:val="0"/>
        <w:spacing w:before="200" w:after="283"/>
        <w:jc w:val="left"/>
        <w:rPr>
          <w:rFonts w:ascii="Arial" w:hAnsi="Arial"/>
          <w:color w:val="000000"/>
          <w:sz w:val="20"/>
        </w:rPr>
      </w:pPr>
      <w:r>
        <w:rPr>
          <w:rFonts w:ascii="Arial" w:hAnsi="Arial"/>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pStyle w:val="TextBody"/>
        <w:bidi w:val="0"/>
        <w:spacing w:before="200" w:after="283"/>
        <w:jc w:val="left"/>
        <w:rPr>
          <w:rFonts w:ascii="Arial" w:hAnsi="Arial"/>
          <w:b/>
          <w:i/>
          <w:color w:val="000000"/>
          <w:sz w:val="20"/>
        </w:rPr>
      </w:pPr>
      <w:r>
        <w:rPr>
          <w:rFonts w:ascii="Arial" w:hAnsi="Arial"/>
          <w:b/>
          <w:i/>
          <w:color w:val="000000"/>
          <w:sz w:val="20"/>
        </w:rPr>
        <w:t>We will continue to incur increased costs as a result of operating as a public company, and our management will be required to devote substantial time to compliance with our public company responsibilities and corporate governance practices.</w:t>
      </w:r>
    </w:p>
    <w:p>
      <w:pPr>
        <w:pStyle w:val="TextBody"/>
        <w:bidi w:val="0"/>
        <w:spacing w:before="200" w:after="283"/>
        <w:jc w:val="left"/>
        <w:rPr>
          <w:rFonts w:ascii="Arial" w:hAnsi="Arial"/>
          <w:color w:val="000000"/>
          <w:sz w:val="20"/>
        </w:rPr>
      </w:pPr>
      <w:r>
        <w:rPr>
          <w:rFonts w:ascii="Arial" w:hAnsi="Arial"/>
          <w:color w:val="000000"/>
          <w:sz w:val="20"/>
        </w:rPr>
        <w:t>As a public company, we will continue to incur significant legal, accounting, and other expenses as a result of operating as a public company, which increased starting in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pStyle w:val="TextBody"/>
        <w:bidi w:val="0"/>
        <w:spacing w:before="200" w:after="283"/>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200" w:after="283"/>
        <w:jc w:val="left"/>
        <w:rPr>
          <w:rFonts w:ascii="Arial" w:hAnsi="Arial"/>
          <w:b/>
          <w:i/>
          <w:color w:val="000000"/>
          <w:sz w:val="20"/>
        </w:rPr>
      </w:pPr>
      <w:r>
        <w:rPr>
          <w:rFonts w:ascii="Arial" w:hAnsi="Arial"/>
          <w:b/>
          <w:i/>
          <w:color w:val="000000"/>
          <w:sz w:val="20"/>
        </w:rPr>
        <w:t>The price of our common stock may be volatile or may decline regardless of our operating performance and you may not be able to resell your shares at or above the price you paid for them.</w:t>
      </w:r>
    </w:p>
    <w:p>
      <w:pPr>
        <w:pStyle w:val="TextBody"/>
        <w:bidi w:val="0"/>
        <w:spacing w:before="200" w:after="283"/>
        <w:jc w:val="left"/>
        <w:rPr>
          <w:rFonts w:ascii="Arial" w:hAnsi="Arial"/>
          <w:color w:val="000000"/>
          <w:sz w:val="20"/>
        </w:rPr>
      </w:pPr>
      <w:r>
        <w:rPr>
          <w:rFonts w:ascii="Arial" w:hAnsi="Arial"/>
          <w:color w:val="000000"/>
          <w:sz w:val="20"/>
        </w:rPr>
        <w:t>An active or liquid market in our common stock may not be sustainable.</w:t>
      </w:r>
    </w:p>
    <w:p>
      <w:pPr>
        <w:pStyle w:val="TextBody"/>
        <w:bidi w:val="0"/>
        <w:spacing w:before="200" w:after="283"/>
        <w:jc w:val="left"/>
        <w:rPr>
          <w:rFonts w:ascii="Arial" w:hAnsi="Arial"/>
          <w:color w:val="000000"/>
          <w:sz w:val="20"/>
        </w:rPr>
      </w:pPr>
      <w:r>
        <w:rPr>
          <w:rFonts w:ascii="Arial" w:hAnsi="Arial"/>
          <w:color w:val="000000"/>
          <w:sz w:val="20"/>
        </w:rPr>
        <w:t>The market price of our common stock may fluctuate significantly in response to numerous factors, many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operating performance and the performance of other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the roll out of new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actions with respect to our payment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United States and other countries, including the priorities of the U.S. presidential administration and related changes in laws, regulations or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level of expenses related to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announcements of acquisitions, strategic alliances or significant agreements by us or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or disputes concerning patent applications, issued patents or other intellectual property or proprietary rights;</w:t>
      </w:r>
    </w:p>
    <w:p>
      <w:pPr>
        <w:pStyle w:val="TextBody"/>
        <w:bidi w:val="0"/>
        <w:spacing w:before="12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economy as a whole and market conditions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political or social unrest, war or other military conflict, including the continuation or escalation of the conflicts between Russia and Ukraine, or between Israel and Hamas and Israel and Iran (which has also featured military strikes by the U.S. against Iran) (or other combatants in the region), respectively, economic instability, repression, or human rights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variations in our financial results or the financial results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financing or other corporate transactions, or inability to obtain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cutbacks or withholding of funding to, and real or perceived hostility towards higher education institutions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that negatively impact international travel, study or commerce, including actual or threatened revocation of visas, mass deportations, or delays in issuances of visas;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structure of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threatened imposition of tariffs, trade wars including the effects of ongoing United States-China and Canada-India diplomatic and trade friction;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trading activity by a limited number of stockholders who together beneficially own a majority of our outstanding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of our market float;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other factors discussed in this Annual Report on Form 10-K and our other SEC filings.</w:t>
      </w:r>
    </w:p>
    <w:p>
      <w:pPr>
        <w:pStyle w:val="TextBody"/>
        <w:bidi w:val="0"/>
        <w:spacing w:before="200" w:after="283"/>
        <w:jc w:val="left"/>
        <w:rPr>
          <w:rFonts w:ascii="Times New Roman" w:hAnsi="Times New Roman"/>
          <w:sz w:val="20"/>
        </w:rPr>
      </w:pPr>
      <w:r>
        <w:rPr>
          <w:rFonts w:ascii="Arial" w:hAnsi="Arial"/>
          <w:color w:val="000000"/>
          <w:sz w:val="20"/>
        </w:rPr>
        <w:t>In addition, the stock markets have experienced extreme price and volume fluctuations that have affected and continue to affect the market prices of equity securities of many companies.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or Israel and Hamas and/or Iran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pStyle w:val="TextBody"/>
        <w:bidi w:val="0"/>
        <w:spacing w:before="200" w:after="283"/>
        <w:jc w:val="left"/>
        <w:rPr>
          <w:rFonts w:ascii="Arial" w:hAnsi="Arial"/>
          <w:b/>
          <w:i/>
          <w:color w:val="000000"/>
          <w:sz w:val="20"/>
        </w:rPr>
      </w:pPr>
      <w:r>
        <w:rPr>
          <w:rFonts w:ascii="Arial" w:hAnsi="Arial"/>
          <w:b/>
          <w:i/>
          <w:color w:val="000000"/>
          <w:sz w:val="20"/>
        </w:rPr>
        <w:t>Our business and operations could be negatively affected by securities litigation or stockholder activism.</w:t>
      </w:r>
    </w:p>
    <w:p>
      <w:pPr>
        <w:pStyle w:val="TextBody"/>
        <w:bidi w:val="0"/>
        <w:spacing w:before="200" w:after="283"/>
        <w:jc w:val="left"/>
        <w:rPr>
          <w:rFonts w:ascii="Arial" w:hAnsi="Arial"/>
          <w:color w:val="000000"/>
          <w:sz w:val="20"/>
        </w:rPr>
      </w:pPr>
      <w:r>
        <w:rPr>
          <w:rFonts w:ascii="Arial" w:hAnsi="Arial"/>
          <w:color w:val="000000"/>
          <w:sz w:val="20"/>
        </w:rPr>
        <w:t>From time to time, we may be subject to securities class actions, derivative suits or other securities-related legal actions.</w:t>
      </w:r>
    </w:p>
    <w:p>
      <w:pPr>
        <w:pStyle w:val="TextBody"/>
        <w:bidi w:val="0"/>
        <w:spacing w:before="200" w:after="283"/>
        <w:jc w:val="left"/>
        <w:rPr>
          <w:rFonts w:ascii="Times New Roman" w:hAnsi="Times New Roman"/>
          <w:sz w:val="20"/>
        </w:rPr>
      </w:pPr>
      <w:r>
        <w:rPr>
          <w:rFonts w:ascii="Arial" w:hAnsi="Arial"/>
          <w:color w:val="000000"/>
          <w:sz w:val="20"/>
        </w:rPr>
        <w:t>In the past, securities class action litigation have often been brought against a company following a decline in the market price of its securities. In July 2025, we and certain of our current and former officers were named as defendants in a securities class action complaint captioned Hickman v. Flywire Corporation 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 alleges that the defendants violated Sections 10(b) and 20(a) of the Exchange Act by purportedly overstating the strength and sustainability of our revenue growth and understating the negative impact of certain government permit and visa related policies on the business. The lawsuit seeks unspecified damages, costs, attorneys’ fees, and other relief. We believe we have strong defenses against the asserted claims and intends to vigorously defend ourself.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pStyle w:val="TextBody"/>
        <w:bidi w:val="0"/>
        <w:spacing w:before="200" w:after="283"/>
        <w:jc w:val="left"/>
        <w:rPr>
          <w:rFonts w:ascii="Arial" w:hAnsi="Arial"/>
          <w:color w:val="000000"/>
          <w:sz w:val="20"/>
        </w:rPr>
      </w:pPr>
      <w:r>
        <w:rPr>
          <w:rFonts w:ascii="Arial" w:hAnsi="Arial"/>
          <w:color w:val="000000"/>
          <w:sz w:val="20"/>
        </w:rPr>
        <w:t>Any claims or litigation, even if fully indemnified or insured, could adversely affect our relationships with clients and business partners, damage our reputation, decrease client or their customers’ demand for our solutions and make it more 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 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pStyle w:val="TextBody"/>
        <w:bidi w:val="0"/>
        <w:spacing w:before="200" w:after="283"/>
        <w:jc w:val="left"/>
        <w:rPr>
          <w:rFonts w:ascii="Arial" w:hAnsi="Arial"/>
          <w:color w:val="000000"/>
          <w:sz w:val="20"/>
        </w:rPr>
      </w:pPr>
      <w:r>
        <w:rPr>
          <w:rFonts w:ascii="Arial" w:hAnsi="Arial"/>
          <w:color w:val="000000"/>
          <w:sz w:val="20"/>
        </w:rPr>
        <w:t>As a result, lawsuits involving us, or our officers or directors, could have a material adverse effect on our business, reputation, financial condition, results of operations, liquidity and the trading price of our common stock.</w:t>
      </w:r>
    </w:p>
    <w:p>
      <w:pPr>
        <w:pStyle w:val="TextBody"/>
        <w:bidi w:val="0"/>
        <w:spacing w:before="200" w:after="283"/>
        <w:jc w:val="left"/>
        <w:rPr>
          <w:rFonts w:ascii="Arial" w:hAnsi="Arial"/>
          <w:b/>
          <w:i/>
          <w:color w:val="000000"/>
          <w:sz w:val="20"/>
        </w:rPr>
      </w:pPr>
      <w:r>
        <w:rPr>
          <w:rFonts w:ascii="Arial" w:hAnsi="Arial"/>
          <w:b/>
          <w:i/>
          <w:color w:val="000000"/>
          <w:sz w:val="20"/>
        </w:rPr>
        <w:t>Raising additional capital may cause dilution to our existing stockholders, restrict our operations or require us to relinquish rights to our intellectual property on unfavorable terms to us.</w:t>
      </w:r>
    </w:p>
    <w:p>
      <w:pPr>
        <w:pStyle w:val="TextBody"/>
        <w:bidi w:val="0"/>
        <w:spacing w:before="200" w:after="283"/>
        <w:jc w:val="left"/>
        <w:rPr>
          <w:rFonts w:ascii="Arial" w:hAnsi="Arial"/>
          <w:color w:val="000000"/>
          <w:sz w:val="20"/>
        </w:rPr>
      </w:pPr>
      <w:r>
        <w:rPr>
          <w:rFonts w:ascii="Arial" w:hAnsi="Arial"/>
          <w:color w:val="000000"/>
          <w:sz w:val="20"/>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pStyle w:val="TextBody"/>
        <w:bidi w:val="0"/>
        <w:spacing w:before="200" w:after="283"/>
        <w:jc w:val="left"/>
        <w:rPr>
          <w:rFonts w:ascii="Arial" w:hAnsi="Arial"/>
          <w:color w:val="000000"/>
          <w:sz w:val="20"/>
        </w:rPr>
      </w:pPr>
      <w:r>
        <w:rPr>
          <w:rFonts w:ascii="Arial" w:hAnsi="Arial"/>
          <w:color w:val="000000"/>
          <w:sz w:val="20"/>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pStyle w:val="TextBody"/>
        <w:bidi w:val="0"/>
        <w:spacing w:before="200" w:after="283"/>
        <w:jc w:val="left"/>
        <w:rPr>
          <w:rFonts w:ascii="Arial" w:hAnsi="Arial"/>
          <w:b/>
          <w:i/>
          <w:color w:val="000000"/>
          <w:sz w:val="20"/>
        </w:rPr>
      </w:pPr>
      <w:r>
        <w:rPr>
          <w:rFonts w:ascii="Arial" w:hAnsi="Arial"/>
          <w:b/>
          <w:i/>
          <w:color w:val="000000"/>
          <w:sz w:val="20"/>
        </w:rPr>
        <w:t>We may allocate our cash and cash equivalents in ways that you and other stockholders may not approve.</w:t>
      </w:r>
    </w:p>
    <w:p>
      <w:pPr>
        <w:pStyle w:val="TextBody"/>
        <w:bidi w:val="0"/>
        <w:spacing w:before="200" w:after="283"/>
        <w:jc w:val="left"/>
        <w:rPr>
          <w:rFonts w:ascii="Arial" w:hAnsi="Arial"/>
          <w:color w:val="000000"/>
          <w:sz w:val="20"/>
        </w:rPr>
      </w:pPr>
      <w:r>
        <w:rPr>
          <w:rFonts w:ascii="Arial" w:hAnsi="Arial"/>
          <w:color w:val="000000"/>
          <w:sz w:val="20"/>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pStyle w:val="TextBody"/>
        <w:bidi w:val="0"/>
        <w:spacing w:before="200" w:after="283"/>
        <w:jc w:val="left"/>
        <w:rPr>
          <w:rFonts w:ascii="Arial" w:hAnsi="Arial"/>
          <w:b/>
          <w:i/>
          <w:color w:val="000000"/>
          <w:sz w:val="20"/>
        </w:rPr>
      </w:pPr>
      <w:r>
        <w:rPr>
          <w:rFonts w:ascii="Arial" w:hAnsi="Arial"/>
          <w:b/>
          <w:i/>
          <w:color w:val="000000"/>
          <w:sz w:val="20"/>
        </w:rPr>
        <w:t>We cannot guarantee that our Repurchase Program will be fully implemented or that it will enhance stockholder value, and share repurchases could affect the price of our common stock.</w:t>
      </w:r>
    </w:p>
    <w:p>
      <w:pPr>
        <w:pStyle w:val="TextBody"/>
        <w:bidi w:val="0"/>
        <w:spacing w:before="200" w:after="283"/>
        <w:jc w:val="left"/>
        <w:rPr>
          <w:rFonts w:ascii="Times New Roman" w:hAnsi="Times New Roman"/>
          <w:sz w:val="20"/>
        </w:rPr>
      </w:pPr>
      <w:r>
        <w:rPr>
          <w:rFonts w:ascii="Arial" w:hAnsi="Arial"/>
          <w:color w:val="000000"/>
          <w:sz w:val="20"/>
        </w:rPr>
        <w:t>In August 2024, we announced that our Board of Directors authorized the Repurchase Program, pursuant to which we may, from time to time, purchase shares of our Voting and Non-voting common stock for an aggregate purchase price not to exceed $150 million. In July 2025, our Board of Directors approved an increase in the aggregate amount of voting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and non-voting common stock outstanding that may be repurchased under the Repurchase Program by an additional $150 million, bringing the total authorized amount under the Repurchase Program to $300 million. As of December 31, 2025, approximately $181.9 million remained available for repurchases under the Repurchase Program. 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will depend on a number of factors, including price, corporate and regulatory requirements, capital allocation alternatives, and general market and economic conditions. The Repurchase Program does not obligate us to repurchase any minimum dollar amount or number of shares, and may be suspended or discontinued by our Board of Directors at any time, which may result in a decrease in the price of our common stock.</w:t>
      </w:r>
    </w:p>
    <w:p>
      <w:pPr>
        <w:pStyle w:val="TextBody"/>
        <w:bidi w:val="0"/>
        <w:spacing w:before="200" w:after="283"/>
        <w:jc w:val="left"/>
        <w:rPr>
          <w:rFonts w:ascii="Arial" w:hAnsi="Arial"/>
          <w:color w:val="000000"/>
          <w:sz w:val="20"/>
        </w:rPr>
      </w:pPr>
      <w:r>
        <w:rPr>
          <w:rFonts w:ascii="Arial" w:hAnsi="Arial"/>
          <w:color w:val="000000"/>
          <w:sz w:val="20"/>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pStyle w:val="TextBody"/>
        <w:bidi w:val="0"/>
        <w:spacing w:before="200" w:after="283"/>
        <w:jc w:val="left"/>
        <w:rPr>
          <w:rFonts w:ascii="Arial" w:hAnsi="Arial"/>
          <w:b/>
          <w:i/>
          <w:color w:val="000000"/>
          <w:sz w:val="20"/>
        </w:rPr>
      </w:pPr>
      <w:r>
        <w:rPr>
          <w:rFonts w:ascii="Arial" w:hAnsi="Arial"/>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200" w:after="283"/>
        <w:jc w:val="left"/>
        <w:rPr>
          <w:rFonts w:ascii="Arial" w:hAnsi="Arial"/>
          <w:color w:val="000000"/>
          <w:sz w:val="20"/>
        </w:rPr>
      </w:pPr>
      <w:r>
        <w:rPr>
          <w:rFonts w:ascii="Arial" w:hAnsi="Arial"/>
          <w:color w:val="000000"/>
          <w:sz w:val="20"/>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200" w:after="283"/>
        <w:jc w:val="left"/>
        <w:rPr>
          <w:rFonts w:ascii="Arial" w:hAnsi="Arial"/>
          <w:b/>
          <w:i/>
          <w:color w:val="000000"/>
          <w:sz w:val="20"/>
        </w:rPr>
      </w:pPr>
      <w:r>
        <w:rPr>
          <w:rFonts w:ascii="Arial" w:hAnsi="Arial"/>
          <w:b/>
          <w:i/>
          <w:color w:val="000000"/>
          <w:sz w:val="20"/>
        </w:rPr>
        <w:t>Sales of substantial amounts of our common stock in the public markets could cause the market price of our common stock to decline.</w:t>
      </w:r>
    </w:p>
    <w:p>
      <w:pPr>
        <w:pStyle w:val="TextBody"/>
        <w:bidi w:val="0"/>
        <w:spacing w:before="200" w:after="283"/>
        <w:jc w:val="left"/>
        <w:rPr>
          <w:rFonts w:ascii="Arial" w:hAnsi="Arial"/>
          <w:color w:val="000000"/>
          <w:sz w:val="20"/>
        </w:rPr>
      </w:pPr>
      <w:r>
        <w:rPr>
          <w:rFonts w:ascii="Arial" w:hAnsi="Arial"/>
          <w:color w:val="000000"/>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120,086,090 shares of our voting common stock and 1,873,320 shares of our non-voting common stock outstanding as of December 31, 2025.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pStyle w:val="TextBody"/>
        <w:bidi w:val="0"/>
        <w:spacing w:before="200" w:after="283"/>
        <w:jc w:val="left"/>
        <w:rPr>
          <w:rFonts w:ascii="Arial" w:hAnsi="Arial"/>
          <w:color w:val="000000"/>
          <w:sz w:val="20"/>
        </w:rPr>
      </w:pPr>
      <w:r>
        <w:rPr>
          <w:rFonts w:ascii="Arial" w:hAnsi="Arial"/>
          <w:color w:val="000000"/>
          <w:sz w:val="20"/>
        </w:rPr>
        <w:t>Certain of our stockholders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pStyle w:val="TextBody"/>
        <w:bidi w:val="0"/>
        <w:spacing w:before="200" w:after="283"/>
        <w:jc w:val="left"/>
        <w:rPr>
          <w:rFonts w:ascii="Arial" w:hAnsi="Arial"/>
          <w:color w:val="000000"/>
          <w:sz w:val="20"/>
        </w:rPr>
      </w:pPr>
      <w:r>
        <w:rPr>
          <w:rFonts w:ascii="Arial" w:hAnsi="Arial"/>
          <w:color w:val="000000"/>
          <w:sz w:val="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pStyle w:val="TextBody"/>
        <w:bidi w:val="0"/>
        <w:spacing w:before="200" w:after="283"/>
        <w:jc w:val="left"/>
        <w:rPr>
          <w:rFonts w:ascii="Arial" w:hAnsi="Arial"/>
          <w:b/>
          <w:i/>
          <w:color w:val="000000"/>
          <w:sz w:val="20"/>
        </w:rPr>
      </w:pPr>
      <w:r>
        <w:rPr>
          <w:rFonts w:ascii="Arial" w:hAnsi="Arial"/>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before="200" w:after="283"/>
        <w:jc w:val="left"/>
        <w:rPr>
          <w:rFonts w:ascii="Times New Roman" w:hAnsi="Times New Roman"/>
          <w:sz w:val="20"/>
        </w:rPr>
      </w:pPr>
      <w:r>
        <w:rPr>
          <w:rFonts w:ascii="Arial" w:hAnsi="Arial"/>
          <w:color w:val="000000"/>
          <w:sz w:val="20"/>
        </w:rPr>
        <w:t>As of December 31, 2025,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concentration of ownership might also have the effect of delaying or preventing a change of control of our company that other stockholders may view as beneficial.</w:t>
      </w:r>
    </w:p>
    <w:p>
      <w:pPr>
        <w:pStyle w:val="TextBody"/>
        <w:bidi w:val="0"/>
        <w:spacing w:before="200" w:after="283"/>
        <w:jc w:val="left"/>
        <w:rPr>
          <w:rFonts w:ascii="Arial" w:hAnsi="Arial"/>
          <w:b/>
          <w:i/>
          <w:color w:val="000000"/>
          <w:sz w:val="20"/>
        </w:rPr>
      </w:pPr>
      <w:r>
        <w:rPr>
          <w:rFonts w:ascii="Arial" w:hAnsi="Arial"/>
          <w:b/>
          <w:i/>
          <w:color w:val="000000"/>
          <w:sz w:val="20"/>
        </w:rPr>
        <w:t>We do not intend to pay dividends on our common stock, consequently, your ability to achieve a return on your investment will depend on appreciation in the price of our common stock.</w:t>
      </w:r>
    </w:p>
    <w:p>
      <w:pPr>
        <w:pStyle w:val="TextBody"/>
        <w:bidi w:val="0"/>
        <w:spacing w:before="200" w:after="283"/>
        <w:jc w:val="left"/>
        <w:rPr>
          <w:rFonts w:ascii="Arial" w:hAnsi="Arial"/>
          <w:color w:val="000000"/>
          <w:sz w:val="20"/>
        </w:rPr>
      </w:pPr>
      <w:r>
        <w:rPr>
          <w:rFonts w:ascii="Arial" w:hAnsi="Arial"/>
          <w:color w:val="000000"/>
          <w:sz w:val="20"/>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pStyle w:val="TextBody"/>
        <w:bidi w:val="0"/>
        <w:spacing w:before="200" w:after="283"/>
        <w:jc w:val="left"/>
        <w:rPr>
          <w:rFonts w:ascii="Arial" w:hAnsi="Arial"/>
          <w:b/>
          <w:i/>
          <w:color w:val="000000"/>
          <w:sz w:val="20"/>
        </w:rPr>
      </w:pPr>
      <w:r>
        <w:rPr>
          <w:rFonts w:ascii="Arial" w:hAnsi="Arial"/>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200" w:after="283"/>
        <w:jc w:val="left"/>
        <w:rPr>
          <w:rFonts w:ascii="Arial" w:hAnsi="Arial"/>
          <w:color w:val="000000"/>
          <w:sz w:val="20"/>
        </w:rPr>
      </w:pPr>
      <w:r>
        <w:rPr>
          <w:rFonts w:ascii="Arial" w:hAnsi="Arial"/>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classified board of directors with three-year staggered terms, which could delay the ability of stockholders to change the membership of a majority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prohibition on stockholder action by written consent, which forces stockholder action to be taken at an annual or special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00" w:after="283"/>
        <w:jc w:val="left"/>
        <w:rPr>
          <w:rFonts w:ascii="Times New Roman" w:hAnsi="Times New Roman"/>
          <w:sz w:val="20"/>
        </w:rPr>
      </w:pPr>
      <w:r>
        <w:rPr>
          <w:rFonts w:ascii="Arial" w:hAnsi="Arial"/>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before="200" w:after="283"/>
        <w:jc w:val="left"/>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pStyle w:val="TextBody"/>
        <w:bidi w:val="0"/>
        <w:spacing w:before="200" w:after="283"/>
        <w:jc w:val="left"/>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pStyle w:val="TextBody"/>
        <w:bidi w:val="0"/>
        <w:spacing w:before="12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6" w:name="item_1b_unresolved_staff_comments"/>
      <w:bookmarkEnd w:id="6"/>
      <w:r>
        <w:rPr>
          <w:rFonts w:ascii="Arial" w:hAnsi="Arial"/>
          <w:b/>
          <w:color w:val="000000"/>
          <w:sz w:val="20"/>
        </w:rPr>
        <w:t>Item 1B. Unresolved Staff Comments</w:t>
      </w:r>
    </w:p>
    <w:p>
      <w:pPr>
        <w:pStyle w:val="TextBody"/>
        <w:bidi w:val="0"/>
        <w:spacing w:before="200" w:after="283"/>
        <w:jc w:val="left"/>
        <w:rPr>
          <w:rFonts w:ascii="Arial" w:hAnsi="Arial"/>
          <w:color w:val="000000"/>
          <w:sz w:val="20"/>
        </w:rPr>
      </w:pPr>
      <w:r>
        <w:rPr>
          <w:rFonts w:ascii="Arial" w:hAnsi="Arial"/>
          <w:color w:val="000000"/>
          <w:sz w:val="20"/>
        </w:rPr>
        <w:t>None.</w:t>
      </w:r>
    </w:p>
    <w:p>
      <w:pPr>
        <w:pStyle w:val="TextBody"/>
        <w:bidi w:val="0"/>
        <w:spacing w:before="200" w:after="200"/>
        <w:jc w:val="left"/>
        <w:rPr>
          <w:rFonts w:ascii="Arial" w:hAnsi="Arial"/>
          <w:b/>
          <w:color w:val="000000"/>
          <w:sz w:val="20"/>
        </w:rPr>
      </w:pPr>
      <w:bookmarkStart w:id="7" w:name="item_1c"/>
      <w:bookmarkEnd w:id="7"/>
      <w:r>
        <w:rPr>
          <w:rFonts w:ascii="Arial" w:hAnsi="Arial"/>
          <w:b/>
          <w:color w:val="000000"/>
          <w:sz w:val="20"/>
        </w:rPr>
        <w:t>Item 1C. Cybersecurity</w:t>
      </w:r>
    </w:p>
    <w:p>
      <w:pPr>
        <w:pStyle w:val="TextBody"/>
        <w:bidi w:val="0"/>
        <w:spacing w:before="0" w:after="200"/>
        <w:jc w:val="left"/>
        <w:rPr>
          <w:rFonts w:ascii="Arial" w:hAnsi="Arial"/>
          <w:color w:val="000000"/>
          <w:sz w:val="20"/>
        </w:rPr>
      </w:pPr>
      <w:r>
        <w:rPr>
          <w:rFonts w:ascii="Arial" w:hAnsi="Arial"/>
          <w:color w:val="000000"/>
          <w:sz w:val="20"/>
        </w:rPr>
        <w:t>Flywire recognizes the critical importance of developing, implementing and maintaining robust cybersecurity measures to safeguard our information systems and protect the confidentiality, integrity, and availability of our and our client’s data.</w:t>
      </w:r>
    </w:p>
    <w:p>
      <w:pPr>
        <w:pStyle w:val="TextBody"/>
        <w:bidi w:val="0"/>
        <w:spacing w:before="0" w:after="200"/>
        <w:jc w:val="both"/>
        <w:rPr>
          <w:rFonts w:ascii="Arial" w:hAnsi="Arial"/>
          <w:b/>
          <w:i/>
          <w:color w:val="000000"/>
          <w:sz w:val="20"/>
        </w:rPr>
      </w:pPr>
      <w:r>
        <w:rPr>
          <w:rFonts w:ascii="Arial" w:hAnsi="Arial"/>
          <w:b/>
          <w:i/>
          <w:color w:val="000000"/>
          <w:sz w:val="20"/>
        </w:rPr>
        <w:t>Risk Management and Strategy</w:t>
      </w:r>
    </w:p>
    <w:p>
      <w:pPr>
        <w:pStyle w:val="TextBody"/>
        <w:bidi w:val="0"/>
        <w:spacing w:before="0" w:after="200"/>
        <w:jc w:val="both"/>
        <w:rPr>
          <w:rFonts w:ascii="Arial" w:hAnsi="Arial"/>
          <w:i/>
          <w:color w:val="000000"/>
          <w:sz w:val="20"/>
        </w:rPr>
      </w:pPr>
      <w:r>
        <w:rPr>
          <w:rFonts w:ascii="Arial" w:hAnsi="Arial"/>
          <w:i/>
          <w:color w:val="000000"/>
          <w:sz w:val="20"/>
        </w:rPr>
        <w:t>Managing Material Risks and Integrated Overall Risk Management</w:t>
      </w:r>
    </w:p>
    <w:p>
      <w:pPr>
        <w:pStyle w:val="TextBody"/>
        <w:bidi w:val="0"/>
        <w:spacing w:before="0" w:after="200"/>
        <w:jc w:val="left"/>
        <w:rPr>
          <w:rFonts w:ascii="Times New Roman" w:hAnsi="Times New Roman"/>
          <w:sz w:val="20"/>
        </w:rPr>
      </w:pPr>
      <w:r>
        <w:rPr>
          <w:rFonts w:ascii="Arial" w:hAnsi="Arial"/>
          <w:color w:val="000000"/>
          <w:sz w:val="20"/>
        </w:rPr>
        <w:t>Flywire has strategically integrated</w:t>
      </w:r>
      <w:r>
        <w:rPr>
          <w:rFonts w:ascii="Times New Roman" w:hAnsi="Times New Roman"/>
          <w:color w:val="000000"/>
          <w:sz w:val="20"/>
        </w:rPr>
        <w:t xml:space="preserve"> </w:t>
      </w:r>
      <w:r>
        <w:rPr>
          <w:rFonts w:ascii="Arial" w:hAnsi="Arial"/>
          <w:color w:val="000000"/>
          <w:sz w:val="20"/>
        </w:rPr>
        <w:t>cybersecurity risk management into our broader risk management framework to promote a company-wide culture of cybersecurity risk management. This integration is designed to ensure that cybersecurity considerations are an integral part of our decision-making processes at every level. Our security and risk management team works closely with our IT department to continuously evaluate and address cybersecurity risks in alignment with our business objectives and operational needs.</w:t>
      </w:r>
    </w:p>
    <w:p>
      <w:pPr>
        <w:pStyle w:val="TextBody"/>
        <w:bidi w:val="0"/>
        <w:spacing w:before="0" w:after="200"/>
        <w:jc w:val="both"/>
        <w:rPr>
          <w:rFonts w:ascii="Arial" w:hAnsi="Arial"/>
          <w:i/>
          <w:color w:val="000000"/>
          <w:sz w:val="20"/>
        </w:rPr>
      </w:pPr>
      <w:r>
        <w:rPr>
          <w:rFonts w:ascii="Arial" w:hAnsi="Arial"/>
          <w:i/>
          <w:color w:val="000000"/>
          <w:sz w:val="20"/>
        </w:rPr>
        <w:t>Engage Third-parties on Risk Management</w:t>
      </w:r>
    </w:p>
    <w:p>
      <w:pPr>
        <w:pStyle w:val="TextBody"/>
        <w:bidi w:val="0"/>
        <w:spacing w:before="0" w:after="200"/>
        <w:jc w:val="left"/>
        <w:rPr>
          <w:rFonts w:ascii="Times New Roman" w:hAnsi="Times New Roman"/>
          <w:sz w:val="20"/>
        </w:rPr>
      </w:pPr>
      <w:r>
        <w:rPr>
          <w:rFonts w:ascii="Arial" w:hAnsi="Arial"/>
          <w:color w:val="000000"/>
          <w:sz w:val="20"/>
        </w:rPr>
        <w:t>Recognizing the complexity and evolving nature of cybersecurity threats, Flywire engages</w:t>
      </w:r>
      <w:r>
        <w:rPr>
          <w:rFonts w:ascii="Times New Roman" w:hAnsi="Times New Roman"/>
          <w:color w:val="000000"/>
          <w:sz w:val="20"/>
        </w:rPr>
        <w:t xml:space="preserve"> </w:t>
      </w:r>
      <w:r>
        <w:rPr>
          <w:rFonts w:ascii="Arial" w:hAnsi="Arial"/>
          <w:color w:val="000000"/>
          <w:sz w:val="20"/>
        </w:rPr>
        <w:t>with a range of external experts, including cybersecurity assessors, consultants and auditors in evaluating and testing our risk management systems. These partnerships enable us to leverage specialized knowledge and insights to help ensure our cybersecurity strategies and processes remain at the forefront of industry best practices. Our collaboration with these third-parties includes regular audits, threat assessments and consultation on security enhancements.</w:t>
      </w:r>
    </w:p>
    <w:p>
      <w:pPr>
        <w:pStyle w:val="TextBody"/>
        <w:bidi w:val="0"/>
        <w:spacing w:before="0" w:after="200"/>
        <w:jc w:val="both"/>
        <w:rPr>
          <w:rFonts w:ascii="Arial" w:hAnsi="Arial"/>
          <w:i/>
          <w:color w:val="000000"/>
          <w:sz w:val="20"/>
        </w:rPr>
      </w:pPr>
      <w:r>
        <w:rPr>
          <w:rFonts w:ascii="Arial" w:hAnsi="Arial"/>
          <w:i/>
          <w:color w:val="000000"/>
          <w:sz w:val="20"/>
        </w:rPr>
        <w:t>Oversee Third-party Risk</w:t>
      </w:r>
    </w:p>
    <w:p>
      <w:pPr>
        <w:pStyle w:val="TextBody"/>
        <w:bidi w:val="0"/>
        <w:spacing w:before="0" w:after="200"/>
        <w:jc w:val="left"/>
        <w:rPr>
          <w:rFonts w:ascii="Arial" w:hAnsi="Arial"/>
          <w:color w:val="000000"/>
          <w:sz w:val="20"/>
        </w:rPr>
      </w:pPr>
      <w:r>
        <w:rPr>
          <w:rFonts w:ascii="Arial" w:hAnsi="Arial"/>
          <w:color w:val="000000"/>
          <w:sz w:val="20"/>
        </w:rPr>
        <w:t>Flywire implements stringent processes to oversee and manage the risks associated with third-party service providers. We conduct thorough security assessments of all third-party providers before engagement and maintain ongoing monitoring to ensure compliance with our cybersecurity standards. The monitoring includes annual assessments by our Chief Information Security Officer (CISO) and on an ongoing basis by our security and risk management team and our security engineers. This approach is designed to mitigate risks related to data breaches or other security incidents originating from third-parties.</w:t>
      </w:r>
    </w:p>
    <w:p>
      <w:pPr>
        <w:pStyle w:val="TextBody"/>
        <w:bidi w:val="0"/>
        <w:spacing w:before="0" w:after="200"/>
        <w:jc w:val="both"/>
        <w:rPr>
          <w:rFonts w:ascii="Arial" w:hAnsi="Arial"/>
          <w:i/>
          <w:color w:val="000000"/>
          <w:sz w:val="20"/>
        </w:rPr>
      </w:pPr>
      <w:r>
        <w:rPr>
          <w:rFonts w:ascii="Arial" w:hAnsi="Arial"/>
          <w:i/>
          <w:color w:val="000000"/>
          <w:sz w:val="20"/>
        </w:rPr>
        <w:t>Risks from Cybersecurity Threats</w:t>
      </w:r>
    </w:p>
    <w:p>
      <w:pPr>
        <w:pStyle w:val="TextBody"/>
        <w:bidi w:val="0"/>
        <w:spacing w:before="0" w:after="200"/>
        <w:jc w:val="left"/>
        <w:rPr>
          <w:rFonts w:ascii="Arial" w:hAnsi="Arial"/>
          <w:color w:val="000000"/>
          <w:sz w:val="20"/>
        </w:rPr>
      </w:pPr>
      <w:r>
        <w:rPr>
          <w:rFonts w:ascii="Arial" w:hAnsi="Arial"/>
          <w:color w:val="000000"/>
          <w:sz w:val="20"/>
        </w:rPr>
        <w:t>We have not encountered cybersecurity challenges that have materially impaired our operations or financial standing.</w:t>
      </w:r>
    </w:p>
    <w:p>
      <w:pPr>
        <w:pStyle w:val="TextBody"/>
        <w:bidi w:val="0"/>
        <w:spacing w:before="0" w:after="200"/>
        <w:jc w:val="both"/>
        <w:rPr>
          <w:rFonts w:ascii="Arial" w:hAnsi="Arial"/>
          <w:b/>
          <w:i/>
          <w:color w:val="000000"/>
          <w:sz w:val="20"/>
        </w:rPr>
      </w:pPr>
      <w:r>
        <w:rPr>
          <w:rFonts w:ascii="Arial" w:hAnsi="Arial"/>
          <w:b/>
          <w:i/>
          <w:color w:val="000000"/>
          <w:sz w:val="20"/>
        </w:rPr>
        <w:t>Governance</w:t>
      </w:r>
    </w:p>
    <w:p>
      <w:pPr>
        <w:pStyle w:val="TextBody"/>
        <w:bidi w:val="0"/>
        <w:spacing w:before="0" w:after="200"/>
        <w:jc w:val="left"/>
        <w:rPr>
          <w:rFonts w:ascii="Arial" w:hAnsi="Arial"/>
          <w:color w:val="000000"/>
          <w:sz w:val="20"/>
        </w:rPr>
      </w:pPr>
      <w:r>
        <w:rPr>
          <w:rFonts w:ascii="Arial" w:hAnsi="Arial"/>
          <w:color w:val="000000"/>
          <w:sz w:val="20"/>
        </w:rPr>
        <w:t>Our Board of Directors is acutely aware of the critical nature of managing risks associated with cybersecurity threats. Our Board has established robust oversight mechanisms to ensure effective governance in managing risks associated with cybersecurity threats because we recognize the significance of these threats to our operational integrity and stakeholder confidence.</w:t>
      </w:r>
    </w:p>
    <w:p>
      <w:pPr>
        <w:pStyle w:val="TextBody"/>
        <w:bidi w:val="0"/>
        <w:spacing w:before="0" w:after="200"/>
        <w:jc w:val="both"/>
        <w:rPr>
          <w:rFonts w:ascii="Arial" w:hAnsi="Arial"/>
          <w:i/>
          <w:color w:val="000000"/>
          <w:sz w:val="20"/>
        </w:rPr>
      </w:pPr>
      <w:r>
        <w:rPr>
          <w:rFonts w:ascii="Arial" w:hAnsi="Arial"/>
          <w:i/>
          <w:color w:val="000000"/>
          <w:sz w:val="20"/>
        </w:rPr>
        <w:t>Board of Directors Oversight</w:t>
      </w:r>
    </w:p>
    <w:p>
      <w:pPr>
        <w:pStyle w:val="TextBody"/>
        <w:bidi w:val="0"/>
        <w:spacing w:before="0" w:after="200"/>
        <w:jc w:val="left"/>
        <w:rPr>
          <w:rFonts w:ascii="Arial" w:hAnsi="Arial"/>
          <w:color w:val="000000"/>
          <w:sz w:val="20"/>
        </w:rPr>
      </w:pPr>
      <w:r>
        <w:rPr>
          <w:rFonts w:ascii="Arial" w:hAnsi="Arial"/>
          <w:color w:val="000000"/>
          <w:sz w:val="20"/>
        </w:rPr>
        <w:t>Our Audit Committee is central to the Board’s oversight of cybersecurity risks and bears the primary responsibility for this domain. The Audit Committee is composed of board members with diverse expertise including risk management, technology and finance, which we believe equips them to oversee cybersecurity risks effectively.</w:t>
      </w:r>
    </w:p>
    <w:p>
      <w:pPr>
        <w:pStyle w:val="TextBody"/>
        <w:bidi w:val="0"/>
        <w:spacing w:before="0" w:after="200"/>
        <w:jc w:val="both"/>
        <w:rPr>
          <w:rFonts w:ascii="Arial" w:hAnsi="Arial"/>
          <w:i/>
          <w:color w:val="000000"/>
          <w:sz w:val="20"/>
        </w:rPr>
      </w:pPr>
      <w:r>
        <w:rPr>
          <w:rFonts w:ascii="Arial" w:hAnsi="Arial"/>
          <w:i/>
          <w:color w:val="000000"/>
          <w:sz w:val="20"/>
        </w:rPr>
        <w:t>Management’s Role Managing Risk</w:t>
      </w:r>
    </w:p>
    <w:p>
      <w:pPr>
        <w:pStyle w:val="TextBody"/>
        <w:bidi w:val="0"/>
        <w:spacing w:before="0" w:after="200"/>
        <w:jc w:val="left"/>
        <w:rPr>
          <w:rFonts w:ascii="Times New Roman" w:hAnsi="Times New Roman"/>
          <w:sz w:val="20"/>
        </w:rPr>
      </w:pPr>
      <w:r>
        <w:rPr>
          <w:rFonts w:ascii="Arial" w:hAnsi="Arial"/>
          <w:color w:val="000000"/>
          <w:sz w:val="20"/>
        </w:rPr>
        <w:t>The CISO, General Counsel &amp; Chief Compliance Officer (GC &amp; CCO), Chief Operating Officer (COO) and the Chief Executive Officer (CEO) play a pivotal role in informing the Audit Committee on cybersecurity risks.</w:t>
      </w:r>
      <w:r>
        <w:rPr>
          <w:rFonts w:ascii="Times New Roman" w:hAnsi="Times New Roman"/>
          <w:color w:val="000000"/>
          <w:sz w:val="20"/>
        </w:rPr>
        <w:t xml:space="preserve"> </w:t>
      </w:r>
      <w:r>
        <w:rPr>
          <w:rFonts w:ascii="Arial" w:hAnsi="Arial"/>
          <w:color w:val="000000"/>
          <w:sz w:val="20"/>
        </w:rPr>
        <w:t xml:space="preserve">They provide </w:t>
      </w:r>
    </w:p>
    <w:p>
      <w:pPr>
        <w:pStyle w:val="TextBody"/>
        <w:bidi w:val="0"/>
        <w:spacing w:before="12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comprehensive briefings to the Audit Committee on a quarterly basis.</w:t>
      </w:r>
      <w:r>
        <w:rPr>
          <w:rFonts w:ascii="Times New Roman" w:hAnsi="Times New Roman"/>
          <w:color w:val="000000"/>
          <w:sz w:val="20"/>
        </w:rPr>
        <w:t xml:space="preserve"> </w:t>
      </w:r>
      <w:r>
        <w:rPr>
          <w:rFonts w:ascii="Arial" w:hAnsi="Arial"/>
          <w:color w:val="000000"/>
          <w:sz w:val="20"/>
        </w:rPr>
        <w:t>These briefings encompass a broad range of topics,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Current cybersecurity landscape and emerging threats;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Status of ongoing cybersecurity initiatives and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Incident reports and learnings from any cybersecurity events;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 mitigation efforts and insurance;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regulatory requirements and industry standards.</w:t>
      </w:r>
    </w:p>
    <w:p>
      <w:pPr>
        <w:pStyle w:val="TextBody"/>
        <w:bidi w:val="0"/>
        <w:spacing w:before="200" w:after="200"/>
        <w:jc w:val="left"/>
        <w:rPr>
          <w:rFonts w:ascii="Times New Roman" w:hAnsi="Times New Roman"/>
          <w:sz w:val="20"/>
        </w:rPr>
      </w:pPr>
      <w:r>
        <w:rPr>
          <w:rFonts w:ascii="Arial" w:hAnsi="Arial"/>
          <w:color w:val="000000"/>
          <w:sz w:val="20"/>
        </w:rPr>
        <w:t>In addition to our scheduled meetings, the Audit Committee, CISO, GC &amp; CCO, COO and CEO maintain an ongoing dialogue regarding emerging or potential cybersecurity risks. Together, they receive updates on any significant developments in the cybersecurity domain, ensuring the Board’s oversight is proactive and responsive.</w:t>
      </w:r>
      <w:r>
        <w:rPr>
          <w:rFonts w:ascii="Times New Roman" w:hAnsi="Times New Roman"/>
          <w:color w:val="000000"/>
          <w:sz w:val="20"/>
        </w:rPr>
        <w:t xml:space="preserve"> </w:t>
      </w:r>
      <w:r>
        <w:rPr>
          <w:rFonts w:ascii="Arial" w:hAnsi="Arial"/>
          <w:color w:val="000000"/>
          <w:sz w:val="20"/>
        </w:rPr>
        <w:t>The Audit Committee actively participates in strategic decisions related to cybersecurity, offering guidance and approval for major initiatives. This involvement ensures that cybersecurity considerations are integrated into the broader strategic objectives of Flywire. Our Audit Committee conducts an annual review of our cybersecurity posture and the effectiveness of its risk management strategies. This review helps in identifying areas for improvement and ensuring the alignment of cybersecurity efforts with the overall risk management framework.</w:t>
      </w:r>
    </w:p>
    <w:p>
      <w:pPr>
        <w:pStyle w:val="TextBody"/>
        <w:bidi w:val="0"/>
        <w:spacing w:before="0" w:after="200"/>
        <w:jc w:val="both"/>
        <w:rPr>
          <w:rFonts w:ascii="Arial" w:hAnsi="Arial"/>
          <w:i/>
          <w:color w:val="000000"/>
          <w:sz w:val="20"/>
        </w:rPr>
      </w:pPr>
      <w:r>
        <w:rPr>
          <w:rFonts w:ascii="Arial" w:hAnsi="Arial"/>
          <w:i/>
          <w:color w:val="000000"/>
          <w:sz w:val="20"/>
        </w:rPr>
        <w:t>Risk Management Personnel</w:t>
      </w:r>
    </w:p>
    <w:p>
      <w:pPr>
        <w:pStyle w:val="TextBody"/>
        <w:bidi w:val="0"/>
        <w:spacing w:before="0" w:after="200"/>
        <w:jc w:val="left"/>
        <w:rPr>
          <w:rFonts w:ascii="Arial" w:hAnsi="Arial"/>
          <w:color w:val="000000"/>
          <w:sz w:val="20"/>
        </w:rPr>
      </w:pPr>
      <w:r>
        <w:rPr>
          <w:rFonts w:ascii="Arial" w:hAnsi="Arial"/>
          <w:color w:val="000000"/>
          <w:sz w:val="20"/>
        </w:rPr>
        <w:t>Primary responsibility for assessing, monitoring and managing our cybersecurity risks rests with the CISO. With over 30 years of experience in the field of cybersecurity, the CISO brings a wealth of expertise to her role. Her background includes extensive experience as an enterprise CISO and she is well-recognized within the industry. Her in-depth knowledge and experience are instrumental in developing and executing our cybersecurity strategies. Our CISO oversees our governance programs, tests our compliance with standards, remediates known risks, and leads our employee training program.</w:t>
      </w:r>
    </w:p>
    <w:p>
      <w:pPr>
        <w:pStyle w:val="TextBody"/>
        <w:bidi w:val="0"/>
        <w:jc w:val="both"/>
        <w:rPr>
          <w:rFonts w:ascii="Arial" w:hAnsi="Arial"/>
          <w:i/>
          <w:color w:val="000000"/>
          <w:sz w:val="20"/>
        </w:rPr>
      </w:pPr>
      <w:r>
        <w:rPr>
          <w:rFonts w:ascii="Arial" w:hAnsi="Arial"/>
          <w:i/>
          <w:color w:val="000000"/>
          <w:sz w:val="20"/>
        </w:rPr>
        <w:t>Monitor Cybersecurity Incidents</w:t>
      </w:r>
    </w:p>
    <w:p>
      <w:pPr>
        <w:pStyle w:val="TextBody"/>
        <w:bidi w:val="0"/>
        <w:spacing w:before="200" w:after="200"/>
        <w:jc w:val="left"/>
        <w:rPr>
          <w:rFonts w:ascii="Arial" w:hAnsi="Arial"/>
          <w:color w:val="000000"/>
          <w:sz w:val="20"/>
        </w:rPr>
      </w:pPr>
      <w:r>
        <w:rPr>
          <w:rFonts w:ascii="Arial" w:hAnsi="Arial"/>
          <w:color w:val="000000"/>
          <w:sz w:val="20"/>
        </w:rPr>
        <w:t>The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 and is subject to periodic testing for effectiveness of response and remediation.</w:t>
      </w:r>
    </w:p>
    <w:p>
      <w:pPr>
        <w:pStyle w:val="TextBody"/>
        <w:bidi w:val="0"/>
        <w:jc w:val="both"/>
        <w:rPr>
          <w:rFonts w:ascii="Arial" w:hAnsi="Arial"/>
          <w:i/>
          <w:color w:val="000000"/>
          <w:sz w:val="20"/>
        </w:rPr>
      </w:pPr>
      <w:r>
        <w:rPr>
          <w:rFonts w:ascii="Arial" w:hAnsi="Arial"/>
          <w:i/>
          <w:color w:val="000000"/>
          <w:sz w:val="20"/>
        </w:rPr>
        <w:t>Reporting to Management and Board of Directors</w:t>
      </w:r>
    </w:p>
    <w:p>
      <w:pPr>
        <w:pStyle w:val="TextBody"/>
        <w:bidi w:val="0"/>
        <w:spacing w:before="200" w:after="283"/>
        <w:jc w:val="left"/>
        <w:rPr>
          <w:rFonts w:ascii="Arial" w:hAnsi="Arial"/>
          <w:color w:val="000000"/>
          <w:sz w:val="20"/>
        </w:rPr>
      </w:pPr>
      <w:r>
        <w:rPr>
          <w:rFonts w:ascii="Arial" w:hAnsi="Arial"/>
          <w:color w:val="000000"/>
          <w:sz w:val="20"/>
        </w:rPr>
        <w:t>Our CISO, in her capacity, regularly informs our Chief Financial Officer (CFO), GC &amp; CCO, COO and CEO of all aspects related to cybersecurity risks and incidents. This ensures that the highest levels of management are kept abreast of the cybersecurity posture and potential risks facing Flywire. Furthermore, our CISO reports to the Board of Directors at a minimum twice a year, ensuring that they have comprehensive oversight and can provide guidance on significant cybersecurity matters, and strategic risk management decisions.</w:t>
      </w:r>
    </w:p>
    <w:p>
      <w:pPr>
        <w:pStyle w:val="TextBody"/>
        <w:bidi w:val="0"/>
        <w:spacing w:before="200" w:after="283"/>
        <w:jc w:val="left"/>
        <w:rPr>
          <w:rFonts w:ascii="Arial" w:hAnsi="Arial"/>
          <w:b/>
          <w:color w:val="000000"/>
          <w:sz w:val="20"/>
        </w:rPr>
      </w:pPr>
      <w:bookmarkStart w:id="8" w:name="item_2_properties"/>
      <w:bookmarkEnd w:id="8"/>
      <w:r>
        <w:rPr>
          <w:rFonts w:ascii="Arial" w:hAnsi="Arial"/>
          <w:b/>
          <w:color w:val="000000"/>
          <w:sz w:val="20"/>
        </w:rPr>
        <w:t>Item 2. Properties</w:t>
      </w:r>
    </w:p>
    <w:p>
      <w:pPr>
        <w:pStyle w:val="TextBody"/>
        <w:bidi w:val="0"/>
        <w:spacing w:before="200" w:after="283"/>
        <w:jc w:val="left"/>
        <w:rPr>
          <w:rFonts w:ascii="Arial" w:hAnsi="Arial"/>
          <w:color w:val="000000"/>
          <w:sz w:val="20"/>
        </w:rPr>
      </w:pPr>
      <w:r>
        <w:rPr>
          <w:rFonts w:ascii="Arial" w:hAnsi="Arial"/>
          <w:color w:val="000000"/>
          <w:sz w:val="20"/>
        </w:rPr>
        <w:t>Our corporate headquarters are located in Boston, Massachusetts, where we occupy facilities totaling 10,946 square feet under a lease that expires in June 2027. We use these facilities for administration, finance, legal, compliance, human resources, payments, IT, sales and marketing, engineering, and customer success.</w:t>
      </w:r>
    </w:p>
    <w:p>
      <w:pPr>
        <w:pStyle w:val="TextBody"/>
        <w:bidi w:val="0"/>
        <w:spacing w:before="200" w:after="283"/>
        <w:jc w:val="left"/>
        <w:rPr>
          <w:rFonts w:ascii="Arial" w:hAnsi="Arial"/>
          <w:color w:val="000000"/>
          <w:sz w:val="20"/>
        </w:rPr>
      </w:pPr>
      <w:r>
        <w:rPr>
          <w:rFonts w:ascii="Arial" w:hAnsi="Arial"/>
          <w:color w:val="000000"/>
          <w:sz w:val="20"/>
        </w:rPr>
        <w:t>We maintain other leased locations in the United States and throughout the world. We intend to procure additional space as we strategically add FlyMates and expand geographically. We believe that our facilities are adequate to meet our needs for the immediate future, and that, should it be needed, suitable additional space will be available to accommodate any such expansion of our operations.</w:t>
      </w:r>
    </w:p>
    <w:p>
      <w:pPr>
        <w:pStyle w:val="TextBody"/>
        <w:bidi w:val="0"/>
        <w:spacing w:before="200" w:after="283"/>
        <w:jc w:val="left"/>
        <w:rPr>
          <w:rFonts w:ascii="Arial" w:hAnsi="Arial"/>
          <w:b/>
          <w:color w:val="000000"/>
          <w:sz w:val="20"/>
        </w:rPr>
      </w:pPr>
      <w:bookmarkStart w:id="9" w:name="item_3_legal_proceedings"/>
      <w:bookmarkEnd w:id="9"/>
      <w:r>
        <w:rPr>
          <w:rFonts w:ascii="Arial" w:hAnsi="Arial"/>
          <w:b/>
          <w:color w:val="000000"/>
          <w:sz w:val="20"/>
        </w:rPr>
        <w:t>Item 3. Legal Proceedings</w:t>
      </w:r>
    </w:p>
    <w:p>
      <w:pPr>
        <w:pStyle w:val="TextBody"/>
        <w:bidi w:val="0"/>
        <w:spacing w:before="12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third-parties may from time to time assert claims against us in the form of letters and other communications. We are not currently a party to any legal proceedings that we believe to be material, individually or in the aggregate, to our business or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200" w:after="283"/>
        <w:jc w:val="left"/>
        <w:rPr>
          <w:rFonts w:ascii="Arial" w:hAnsi="Arial"/>
          <w:color w:val="000000"/>
          <w:sz w:val="20"/>
        </w:rPr>
      </w:pPr>
      <w:r>
        <w:rPr>
          <w:rFonts w:ascii="Arial" w:hAnsi="Arial"/>
          <w:color w:val="000000"/>
          <w:sz w:val="20"/>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pStyle w:val="TextBody"/>
        <w:bidi w:val="0"/>
        <w:spacing w:before="200" w:after="283"/>
        <w:jc w:val="left"/>
        <w:rPr>
          <w:rFonts w:ascii="Arial" w:hAnsi="Arial"/>
          <w:color w:val="000000"/>
          <w:sz w:val="20"/>
        </w:rPr>
      </w:pPr>
      <w:r>
        <w:rPr>
          <w:rFonts w:ascii="Arial" w:hAnsi="Arial"/>
          <w:color w:val="000000"/>
          <w:sz w:val="20"/>
        </w:rPr>
        <w:t>On July 25, 2025, we and certain of our current and former officers were named as defendants in a securities class action complaint captioned Hickman v. Flywire Corporation 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 alleges that the defendants violated Sections 10(b) and 20(a) of the Exchange Act by purportedly overstating the strength and sustainability of our revenue growth and understating the negative impact of certain government permit and visa related policies on our business. The lawsuit seeks unspecified damages, costs, attorneys’ fees, and other relief. We believe we have strong defenses against the asserted claims and intend to vigorously defend ourselves.</w:t>
      </w:r>
    </w:p>
    <w:p>
      <w:pPr>
        <w:pStyle w:val="TextBody"/>
        <w:bidi w:val="0"/>
        <w:spacing w:before="200" w:after="283"/>
        <w:jc w:val="left"/>
        <w:rPr>
          <w:rFonts w:ascii="Arial" w:hAnsi="Arial"/>
          <w:color w:val="000000"/>
          <w:sz w:val="20"/>
        </w:rPr>
      </w:pPr>
      <w:r>
        <w:rPr>
          <w:rFonts w:ascii="Arial" w:hAnsi="Arial"/>
          <w:color w:val="000000"/>
          <w:sz w:val="20"/>
        </w:rPr>
        <w:t>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pStyle w:val="TextBody"/>
        <w:bidi w:val="0"/>
        <w:spacing w:before="200" w:after="283"/>
        <w:jc w:val="left"/>
        <w:rPr>
          <w:rFonts w:ascii="Arial" w:hAnsi="Arial"/>
          <w:b/>
          <w:color w:val="000000"/>
          <w:sz w:val="20"/>
        </w:rPr>
      </w:pPr>
      <w:bookmarkStart w:id="10" w:name="item_4_mine_safety_disclosures"/>
      <w:bookmarkEnd w:id="10"/>
      <w:r>
        <w:rPr>
          <w:rFonts w:ascii="Arial" w:hAnsi="Arial"/>
          <w:b/>
          <w:color w:val="000000"/>
          <w:sz w:val="20"/>
        </w:rPr>
        <w:t>Item 4. Mine Safety Disclosures</w:t>
      </w:r>
    </w:p>
    <w:p>
      <w:pPr>
        <w:pStyle w:val="TextBody"/>
        <w:bidi w:val="0"/>
        <w:spacing w:before="200" w:after="283"/>
        <w:jc w:val="left"/>
        <w:rPr>
          <w:rFonts w:ascii="Arial" w:hAnsi="Arial"/>
          <w:color w:val="000000"/>
          <w:sz w:val="20"/>
        </w:rPr>
      </w:pPr>
      <w:r>
        <w:rPr>
          <w:rFonts w:ascii="Arial" w:hAnsi="Arial"/>
          <w:color w:val="000000"/>
          <w:sz w:val="20"/>
        </w:rPr>
        <w:t>Not applicable.</w:t>
      </w:r>
    </w:p>
    <w:p>
      <w:pPr>
        <w:pStyle w:val="TextBody"/>
        <w:bidi w:val="0"/>
        <w:spacing w:before="12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PART II</w:t>
      </w:r>
    </w:p>
    <w:p>
      <w:pPr>
        <w:pStyle w:val="TextBody"/>
        <w:bidi w:val="0"/>
        <w:spacing w:before="200" w:after="283"/>
        <w:jc w:val="left"/>
        <w:rPr>
          <w:rFonts w:ascii="Arial" w:hAnsi="Arial"/>
          <w:b/>
          <w:color w:val="000000"/>
          <w:sz w:val="20"/>
        </w:rPr>
      </w:pPr>
      <w:bookmarkStart w:id="11" w:name="item_5_market_for_registrants_common"/>
      <w:bookmarkEnd w:id="11"/>
      <w:r>
        <w:rPr>
          <w:rFonts w:ascii="Arial" w:hAnsi="Arial"/>
          <w:b/>
          <w:color w:val="000000"/>
          <w:sz w:val="20"/>
        </w:rPr>
        <w:t>Item 5. Market for Registrant’s Common Equity, Related Stockholder Matters and Issuer Purchases of Equity Securities</w:t>
      </w:r>
    </w:p>
    <w:p>
      <w:pPr>
        <w:pStyle w:val="TextBody"/>
        <w:bidi w:val="0"/>
        <w:spacing w:before="200" w:after="283"/>
        <w:jc w:val="left"/>
        <w:rPr>
          <w:rFonts w:ascii="Arial" w:hAnsi="Arial"/>
          <w:b/>
          <w:color w:val="000000"/>
          <w:sz w:val="20"/>
        </w:rPr>
      </w:pPr>
      <w:r>
        <w:rPr>
          <w:rFonts w:ascii="Arial" w:hAnsi="Arial"/>
          <w:b/>
          <w:color w:val="000000"/>
          <w:sz w:val="20"/>
        </w:rPr>
        <w:t>Market Information</w:t>
      </w:r>
    </w:p>
    <w:p>
      <w:pPr>
        <w:pStyle w:val="TextBody"/>
        <w:bidi w:val="0"/>
        <w:spacing w:before="200" w:after="283"/>
        <w:jc w:val="left"/>
        <w:rPr>
          <w:rFonts w:ascii="Arial" w:hAnsi="Arial"/>
          <w:color w:val="000000"/>
          <w:sz w:val="20"/>
        </w:rPr>
      </w:pPr>
      <w:r>
        <w:rPr>
          <w:rFonts w:ascii="Arial" w:hAnsi="Arial"/>
          <w:color w:val="000000"/>
          <w:sz w:val="20"/>
        </w:rPr>
        <w:t>Our voting common stock trades on the Nasdaq Global Select Market under the symbol “FLYW.” Our non-voting common stock is not listed on any stock exchange nor traded on any public market.</w:t>
      </w:r>
    </w:p>
    <w:p>
      <w:pPr>
        <w:pStyle w:val="TextBody"/>
        <w:bidi w:val="0"/>
        <w:spacing w:before="200" w:after="283"/>
        <w:jc w:val="left"/>
        <w:rPr>
          <w:rFonts w:ascii="Arial" w:hAnsi="Arial"/>
          <w:b/>
          <w:color w:val="000000"/>
          <w:sz w:val="20"/>
        </w:rPr>
      </w:pPr>
      <w:r>
        <w:rPr>
          <w:rFonts w:ascii="Arial" w:hAnsi="Arial"/>
          <w:b/>
          <w:color w:val="000000"/>
          <w:sz w:val="20"/>
        </w:rPr>
        <w:t>Holders of Record</w:t>
      </w:r>
    </w:p>
    <w:p>
      <w:pPr>
        <w:pStyle w:val="TextBody"/>
        <w:bidi w:val="0"/>
        <w:spacing w:before="200" w:after="283"/>
        <w:jc w:val="left"/>
        <w:rPr>
          <w:rFonts w:ascii="Arial" w:hAnsi="Arial"/>
          <w:color w:val="000000"/>
          <w:sz w:val="20"/>
        </w:rPr>
      </w:pPr>
      <w:r>
        <w:rPr>
          <w:rFonts w:ascii="Arial" w:hAnsi="Arial"/>
          <w:color w:val="000000"/>
          <w:sz w:val="20"/>
        </w:rPr>
        <w:t>As of February 20, 2026, there were approximately 15 holders of record of our voting common stock. This number does not include beneficial owners whose shares are held by nominees in street name. As of February 20, 2026, there was 1 holder of record of our non-voting common stock.</w:t>
      </w:r>
    </w:p>
    <w:p>
      <w:pPr>
        <w:pStyle w:val="TextBody"/>
        <w:bidi w:val="0"/>
        <w:spacing w:before="200" w:after="283"/>
        <w:jc w:val="left"/>
        <w:rPr>
          <w:rFonts w:ascii="Arial" w:hAnsi="Arial"/>
          <w:b/>
          <w:color w:val="000000"/>
          <w:sz w:val="20"/>
        </w:rPr>
      </w:pPr>
      <w:r>
        <w:rPr>
          <w:rFonts w:ascii="Arial" w:hAnsi="Arial"/>
          <w:b/>
          <w:color w:val="000000"/>
          <w:sz w:val="20"/>
        </w:rPr>
        <w:t>Dividend Policy</w:t>
      </w:r>
    </w:p>
    <w:p>
      <w:pPr>
        <w:pStyle w:val="TextBody"/>
        <w:bidi w:val="0"/>
        <w:spacing w:before="200" w:after="283"/>
        <w:jc w:val="left"/>
        <w:rPr>
          <w:rFonts w:ascii="Arial" w:hAnsi="Arial"/>
          <w:color w:val="000000"/>
          <w:sz w:val="20"/>
        </w:rPr>
      </w:pPr>
      <w:r>
        <w:rPr>
          <w:rFonts w:ascii="Arial" w:hAnsi="Arial"/>
          <w:color w:val="000000"/>
          <w:sz w:val="20"/>
        </w:rPr>
        <w:t>We have never declared nor paid any cash dividends on our capital stock. We currently intend to retain all available funds and any future earnings for reinvestment to fund the development, operation, expansion and growth of our business and to fund our Repurchase Program,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the terms of our revolving credit syndication loan restrict our ability to pay dividends.</w:t>
      </w:r>
    </w:p>
    <w:p>
      <w:pPr>
        <w:pStyle w:val="TextBody"/>
        <w:bidi w:val="0"/>
        <w:spacing w:before="200" w:after="283"/>
        <w:jc w:val="left"/>
        <w:rPr>
          <w:rFonts w:ascii="Arial" w:hAnsi="Arial"/>
          <w:b/>
          <w:color w:val="000000"/>
          <w:sz w:val="20"/>
        </w:rPr>
      </w:pPr>
      <w:r>
        <w:rPr>
          <w:rFonts w:ascii="Arial" w:hAnsi="Arial"/>
          <w:b/>
          <w:color w:val="000000"/>
          <w:sz w:val="20"/>
        </w:rPr>
        <w:t>Stock Performance Graph</w:t>
      </w:r>
    </w:p>
    <w:p>
      <w:pPr>
        <w:pStyle w:val="TextBody"/>
        <w:bidi w:val="0"/>
        <w:spacing w:before="200" w:after="283"/>
        <w:jc w:val="left"/>
        <w:rPr>
          <w:rFonts w:ascii="Arial" w:hAnsi="Arial"/>
          <w:color w:val="000000"/>
          <w:sz w:val="20"/>
        </w:rPr>
      </w:pPr>
      <w:r>
        <w:rPr>
          <w:rFonts w:ascii="Arial" w:hAnsi="Arial"/>
          <w:color w:val="000000"/>
          <w:sz w:val="20"/>
        </w:rPr>
        <w:t>The following performance graph and related information shall not be deemed “soliciting material” or to be “filed” with the SEC for purposes of Section 18 of the Exchange Act,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pStyle w:val="TextBody"/>
        <w:bidi w:val="0"/>
        <w:spacing w:before="200" w:after="200"/>
        <w:jc w:val="left"/>
        <w:rPr>
          <w:rFonts w:ascii="Arial" w:hAnsi="Arial"/>
          <w:color w:val="000000"/>
          <w:sz w:val="20"/>
        </w:rPr>
      </w:pPr>
      <w:r>
        <w:rPr>
          <w:rFonts w:ascii="Arial" w:hAnsi="Arial"/>
          <w:color w:val="000000"/>
          <w:sz w:val="20"/>
        </w:rPr>
        <w:t>The following graph depicts the total cumulative stockholder return on our common stock from May 26, 2021, the first day of trading of our common stock on the Nasdaq Global Select Market, through December 31, 2025, relative to the performance of the S&amp;P 500 Index and S&amp;P 500 IT Index. The graph assumes an initial investment of $100.00 at the close of trading on May 26, 2021 and that all dividends paid by companies included in these indices have been reinvested. The performance shown in the graph below is not intended to forecast or be indicative of future stock price performance.</w:t>
      </w:r>
    </w:p>
    <w:p>
      <w:pPr>
        <w:pStyle w:val="TextBody"/>
        <w:bidi w:val="0"/>
        <w:spacing w:before="12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pPr>
      <w:r>
        <w:rPr/>
        <w:drawing>
          <wp:inline distT="0" distB="0" distL="0" distR="0">
            <wp:extent cx="6162675" cy="3752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162675" cy="3752850"/>
                    </a:xfrm>
                    <a:prstGeom prst="rect">
                      <a:avLst/>
                    </a:prstGeom>
                  </pic:spPr>
                </pic:pic>
              </a:graphicData>
            </a:graphic>
          </wp:inline>
        </w:drawing>
      </w:r>
    </w:p>
    <w:p>
      <w:pPr>
        <w:pStyle w:val="TextBody"/>
        <w:bidi w:val="0"/>
        <w:jc w:val="left"/>
        <w:rPr>
          <w:rFonts w:ascii="Arial" w:hAnsi="Arial"/>
          <w:b/>
          <w:color w:val="000000"/>
          <w:sz w:val="20"/>
        </w:rPr>
      </w:pPr>
      <w:r>
        <w:rPr>
          <w:rFonts w:ascii="Arial" w:hAnsi="Arial"/>
          <w:b/>
          <w:color w:val="000000"/>
          <w:sz w:val="20"/>
        </w:rPr>
        <w:t>Issuer Purchases of Equity Securities</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repurchases of voting common stock during the three months ended December 31, 2025 (in thousands, except shares and per share amounts):</w:t>
      </w:r>
    </w:p>
    <w:tbl>
      <w:tblPr>
        <w:tblW w:w="10205" w:type="dxa"/>
        <w:jc w:val="left"/>
        <w:tblInd w:w="0" w:type="dxa"/>
        <w:tblLayout w:type="fixed"/>
        <w:tblCellMar>
          <w:top w:w="28" w:type="dxa"/>
          <w:left w:w="28" w:type="dxa"/>
          <w:bottom w:w="28" w:type="dxa"/>
          <w:right w:w="28" w:type="dxa"/>
        </w:tblCellMar>
      </w:tblPr>
      <w:tblGrid>
        <w:gridCol w:w="1614"/>
        <w:gridCol w:w="146"/>
        <w:gridCol w:w="1559"/>
        <w:gridCol w:w="146"/>
        <w:gridCol w:w="350"/>
        <w:gridCol w:w="947"/>
        <w:gridCol w:w="146"/>
        <w:gridCol w:w="2434"/>
        <w:gridCol w:w="146"/>
        <w:gridCol w:w="551"/>
        <w:gridCol w:w="2166"/>
      </w:tblGrid>
      <w:tr>
        <w:trPr/>
        <w:tc>
          <w:tcPr>
            <w:tcW w:w="1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r>
      <w:tr>
        <w:trPr/>
        <w:tc>
          <w:tcPr>
            <w:tcW w:w="1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Total Number of Shares Purchased </w:t>
            </w:r>
            <w:r>
              <w:rPr>
                <w:rFonts w:ascii="Arial" w:hAnsi="Arial"/>
                <w:b/>
                <w:color w:val="000000"/>
                <w:sz w:val="11"/>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Average Price Paid per Share </w:t>
            </w:r>
            <w:r>
              <w:rPr>
                <w:rFonts w:ascii="Arial" w:hAnsi="Arial"/>
                <w:b/>
                <w:color w:val="000000"/>
                <w:sz w:val="11"/>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 of Shares Purchased as Part of Publicly Announced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Approximate Dollar Value of Shares that May Yet Be Purchased Under the Plans</w:t>
            </w:r>
          </w:p>
        </w:tc>
      </w:tr>
      <w:tr>
        <w:trPr/>
        <w:tc>
          <w:tcPr>
            <w:tcW w:w="16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October 1 - October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191,940</w:t>
            </w:r>
          </w:p>
        </w:tc>
      </w:tr>
      <w:tr>
        <w:trPr/>
        <w:tc>
          <w:tcPr>
            <w:tcW w:w="16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November 1 -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181,926</w:t>
            </w:r>
          </w:p>
        </w:tc>
      </w:tr>
      <w:tr>
        <w:trPr/>
        <w:tc>
          <w:tcPr>
            <w:tcW w:w="16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December 1 -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181,926</w:t>
            </w:r>
          </w:p>
        </w:tc>
      </w:tr>
      <w:tr>
        <w:trPr/>
        <w:tc>
          <w:tcPr>
            <w:tcW w:w="16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Arial" w:hAnsi="Arial"/>
          <w:color w:val="000000"/>
          <w:sz w:val="12"/>
        </w:rPr>
        <w:t>(a)</w:t>
      </w:r>
      <w:r>
        <w:rPr>
          <w:rFonts w:ascii="Times New Roman" w:hAnsi="Times New Roman"/>
          <w:color w:val="000000"/>
          <w:sz w:val="20"/>
        </w:rPr>
        <w:t xml:space="preserve"> </w:t>
      </w:r>
      <w:r>
        <w:rPr>
          <w:rFonts w:ascii="Arial" w:hAnsi="Arial"/>
          <w:color w:val="000000"/>
          <w:sz w:val="16"/>
        </w:rPr>
        <w:t xml:space="preserve">All shares were repurchased in open market transactions pursuant to a share repurchase program to repurchase up to $300 million of our outstanding voting and non-voting common stock for an indefinite period (the Repurchase Program). The Repurchase Program was authorized by our board of directors and publicly announced on August 6, 2024. On July 30, 2025, our board of directors approved an increase to the capacity of the Repurchase Program by $150 million.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hAnsi="Arial"/>
          <w:i/>
          <w:color w:val="000000"/>
          <w:sz w:val="16"/>
        </w:rPr>
        <w:t xml:space="preserve">Note 13 - Stockholders’ Equity </w:t>
      </w:r>
      <w:r>
        <w:rPr>
          <w:rFonts w:ascii="Arial" w:hAnsi="Arial"/>
          <w:color w:val="000000"/>
          <w:sz w:val="16"/>
        </w:rPr>
        <w:t>in our consolidated financial statements included elsewhere in this Annual Report on Form 10-K.</w:t>
      </w:r>
    </w:p>
    <w:p>
      <w:pPr>
        <w:pStyle w:val="TextBody"/>
        <w:bidi w:val="0"/>
        <w:spacing w:before="120" w:after="283"/>
        <w:jc w:val="left"/>
        <w:rPr>
          <w:rFonts w:ascii="Times New Roman" w:hAnsi="Times New Roman"/>
          <w:sz w:val="20"/>
        </w:rPr>
      </w:pPr>
      <w:r>
        <w:rPr>
          <w:rFonts w:ascii="Arial" w:hAnsi="Arial"/>
          <w:color w:val="000000"/>
          <w:sz w:val="12"/>
        </w:rPr>
        <w:t>(b)</w:t>
      </w:r>
      <w:r>
        <w:rPr>
          <w:rFonts w:ascii="Times New Roman" w:hAnsi="Times New Roman"/>
          <w:color w:val="000000"/>
          <w:sz w:val="20"/>
        </w:rPr>
        <w:t xml:space="preserve"> </w:t>
      </w:r>
      <w:r>
        <w:rPr>
          <w:rFonts w:ascii="Arial" w:hAnsi="Arial"/>
          <w:color w:val="000000"/>
          <w:sz w:val="16"/>
        </w:rPr>
        <w:t>Average price paid per share includes related commissions, but excludes the 1% excise tax accrued on our share repurchases as a result of the Inflation Reduction Act of 2022.</w:t>
      </w:r>
    </w:p>
    <w:p>
      <w:pPr>
        <w:pStyle w:val="TextBody"/>
        <w:bidi w:val="0"/>
        <w:spacing w:before="200" w:after="283"/>
        <w:jc w:val="left"/>
        <w:rPr>
          <w:rFonts w:ascii="Times New Roman" w:hAnsi="Times New Roman"/>
          <w:sz w:val="20"/>
        </w:rPr>
      </w:pPr>
      <w:bookmarkStart w:id="12" w:name="item_6_selected_financial_data"/>
      <w:bookmarkEnd w:id="12"/>
      <w:r>
        <w:rPr>
          <w:rFonts w:ascii="Arial" w:hAnsi="Arial"/>
          <w:b/>
          <w:color w:val="000000"/>
          <w:sz w:val="20"/>
        </w:rPr>
        <w:t xml:space="preserve">Item 6. </w:t>
      </w:r>
      <w:bookmarkStart w:id="13" w:name="reserved"/>
      <w:bookmarkEnd w:id="13"/>
      <w:r>
        <w:rPr>
          <w:rFonts w:ascii="Arial" w:hAnsi="Arial"/>
          <w:b/>
          <w:color w:val="000000"/>
          <w:sz w:val="20"/>
        </w:rPr>
        <w:t>[Reserved]</w:t>
      </w:r>
    </w:p>
    <w:p>
      <w:pPr>
        <w:pStyle w:val="TextBody"/>
        <w:bidi w:val="0"/>
        <w:spacing w:before="12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14" w:name="item_7_managements_discussion"/>
      <w:bookmarkEnd w:id="14"/>
      <w:r>
        <w:rPr>
          <w:rFonts w:ascii="Arial" w:hAnsi="Arial"/>
          <w:b/>
          <w:color w:val="000000"/>
          <w:sz w:val="20"/>
        </w:rPr>
        <w:t>Item 7. Management’s Discussion and Analysis of Financial Condition and Results of Operations</w:t>
      </w:r>
    </w:p>
    <w:p>
      <w:pPr>
        <w:pStyle w:val="TextBody"/>
        <w:bidi w:val="0"/>
        <w:spacing w:before="200" w:after="283"/>
        <w:jc w:val="left"/>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Annual Report on Form 10-K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 A discussion of our financial condition, results of operations, and cash flows for the year ended December 31, 2024 compared to the year ended December 31, 2023 is included in the section titled “Management’s Discussion and Analysis of Financial Condition and Results of Operations” in Part II, Item 7 of our Annual Report on Form 10-K for the year ended December 31, 2024, filed on February 26, 2025.</w:t>
      </w:r>
    </w:p>
    <w:p>
      <w:pPr>
        <w:pStyle w:val="TextBody"/>
        <w:bidi w:val="0"/>
        <w:spacing w:before="200" w:after="283"/>
        <w:jc w:val="left"/>
        <w:rPr>
          <w:rFonts w:ascii="Times New Roman" w:hAnsi="Times New Roman"/>
          <w:sz w:val="20"/>
        </w:rPr>
      </w:pPr>
      <w:r>
        <w:rPr>
          <w:rFonts w:ascii="Arial" w:hAnsi="Arial"/>
          <w:i/>
          <w:color w:val="000000"/>
          <w:sz w:val="20"/>
        </w:rPr>
        <w:t>As discussed in Note 1 - Business Overview and Summary of Significant Accounting Policies to the consolidated financial statements included elsewhere in this Annual Report on Form 10-K, the Company has revised its financial statements for the years ended December 31, 2024 and 2023, to correct certain statement of cash flow classification errors the Company determined were not material to any previously issued financial statements. The amounts included in this Item 7 have been similarly revised.</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r>
        <w:rPr>
          <w:rFonts w:ascii="Arial" w:hAnsi="Arial"/>
          <w:b/>
          <w:color w:val="000000"/>
          <w:sz w:val="20"/>
        </w:rPr>
        <w:t>Overview</w:t>
      </w:r>
    </w:p>
    <w:p>
      <w:pPr>
        <w:pStyle w:val="TextBody"/>
        <w:bidi w:val="0"/>
        <w:spacing w:before="200" w:after="283"/>
        <w:jc w:val="left"/>
        <w:rPr>
          <w:rFonts w:ascii="Arial" w:hAnsi="Arial"/>
          <w:color w:val="000000"/>
          <w:sz w:val="20"/>
        </w:rPr>
      </w:pPr>
      <w:r>
        <w:rPr>
          <w:rFonts w:ascii="Arial" w:hAnsi="Arial"/>
          <w:color w:val="000000"/>
          <w:sz w:val="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pStyle w:val="TextBody"/>
        <w:bidi w:val="0"/>
        <w:spacing w:before="200" w:after="283"/>
        <w:jc w:val="left"/>
        <w:rPr>
          <w:rFonts w:ascii="Times New Roman" w:hAnsi="Times New Roman"/>
          <w:sz w:val="20"/>
        </w:rPr>
      </w:pPr>
      <w:r>
        <w:rPr>
          <w:rFonts w:ascii="Arial" w:hAnsi="Arial"/>
          <w:color w:val="000000"/>
          <w:sz w:val="20"/>
        </w:rPr>
        <w:t xml:space="preserve">Our </w:t>
      </w:r>
      <w:r>
        <w:rPr>
          <w:rFonts w:ascii="Arial" w:hAnsi="Arial"/>
          <w:i/>
          <w:color w:val="000000"/>
          <w:sz w:val="20"/>
        </w:rPr>
        <w:t>Flywire Advantage</w:t>
      </w:r>
      <w:r>
        <w:rPr>
          <w:rFonts w:ascii="Times New Roman" w:hAnsi="Times New Roman"/>
          <w:color w:val="000000"/>
          <w:sz w:val="20"/>
        </w:rPr>
        <w:t xml:space="preserve"> </w:t>
      </w:r>
      <w:r>
        <w:rPr>
          <w:rFonts w:ascii="Arial" w:hAnsi="Arial"/>
          <w:color w:val="000000"/>
          <w:sz w:val="20"/>
        </w:rPr>
        <w:t xml:space="preserve">is derived from three core elements: (i) our next-gen payments platform; (ii) our proprietary global payment network; and (iii) our vertical-specific software backed by our deep industry expertise. With our </w:t>
      </w:r>
      <w:r>
        <w:rPr>
          <w:rFonts w:ascii="Arial" w:hAnsi="Arial"/>
          <w:i/>
          <w:color w:val="000000"/>
          <w:sz w:val="20"/>
        </w:rPr>
        <w:t>Flywire Advantage</w:t>
      </w:r>
      <w:r>
        <w:rPr>
          <w:rFonts w:ascii="Arial" w:hAnsi="Arial"/>
          <w:color w:val="000000"/>
          <w:sz w:val="20"/>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pStyle w:val="TextBody"/>
        <w:bidi w:val="0"/>
        <w:spacing w:before="200" w:after="200"/>
        <w:jc w:val="left"/>
        <w:rPr>
          <w:rFonts w:ascii="Arial" w:hAnsi="Arial"/>
          <w:color w:val="000000"/>
          <w:sz w:val="20"/>
        </w:rPr>
      </w:pPr>
      <w:r>
        <w:rPr>
          <w:rFonts w:ascii="Arial" w:hAnsi="Arial"/>
          <w:color w:val="000000"/>
          <w:sz w:val="20"/>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pStyle w:val="TextBody"/>
        <w:bidi w:val="0"/>
        <w:spacing w:before="12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pPr>
      <w:r>
        <w:rPr/>
        <w:drawing>
          <wp:inline distT="0" distB="0" distL="0" distR="0">
            <wp:extent cx="6257925" cy="4086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257925" cy="4086225"/>
                    </a:xfrm>
                    <a:prstGeom prst="rect">
                      <a:avLst/>
                    </a:prstGeom>
                  </pic:spPr>
                </pic:pic>
              </a:graphicData>
            </a:graphic>
          </wp:inline>
        </w:drawing>
      </w:r>
    </w:p>
    <w:p>
      <w:pPr>
        <w:pStyle w:val="TextBody"/>
        <w:bidi w:val="0"/>
        <w:jc w:val="left"/>
        <w:rPr>
          <w:rFonts w:ascii="Arial" w:hAnsi="Arial"/>
          <w:color w:val="000000"/>
          <w:sz w:val="20"/>
        </w:rPr>
      </w:pPr>
      <w:r>
        <w:rPr>
          <w:rFonts w:ascii="Arial" w:hAnsi="Arial"/>
          <w:color w:val="000000"/>
          <w:sz w:val="20"/>
        </w:rPr>
        <w:t>The combination of our differentiated solution and efficient go-to-market strategy has resulted in strong and consistent client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Rapid domestic and international payments volume growth</w:t>
      </w:r>
      <w:r>
        <w:rPr>
          <w:rFonts w:ascii="Arial" w:hAnsi="Arial"/>
          <w:i/>
          <w:color w:val="000000"/>
          <w:sz w:val="20"/>
        </w:rPr>
        <w:t>.</w:t>
      </w:r>
      <w:r>
        <w:rPr>
          <w:color w:val="000000"/>
        </w:rPr>
        <w:t xml:space="preserve"> </w:t>
      </w:r>
      <w:r>
        <w:rPr>
          <w:rFonts w:ascii="Arial" w:hAnsi="Arial"/>
          <w:color w:val="000000"/>
          <w:sz w:val="20"/>
        </w:rPr>
        <w:t>We have grown our total payment volume by approximately 26.4% period-over-period from $29.7 billion during the year ended December 31, 2024 to $37.6 billion during the year ended December 31, 2025. We have grown our total payment volume by approximately 23.6% period-over-period from $24.0 billion during the year ended December 31, 2023 to $29.7 billion during the year ended December 31,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Expanded global payments network</w:t>
      </w:r>
      <w:r>
        <w:rPr>
          <w:rFonts w:ascii="Arial" w:hAnsi="Arial"/>
          <w:i/>
          <w:color w:val="000000"/>
          <w:sz w:val="20"/>
        </w:rPr>
        <w:t>.</w:t>
      </w:r>
      <w:r>
        <w:rPr>
          <w:color w:val="000000"/>
        </w:rPr>
        <w:t xml:space="preserve"> </w:t>
      </w:r>
      <w:r>
        <w:rPr>
          <w:rFonts w:ascii="Arial" w:hAnsi="Arial"/>
          <w:color w:val="000000"/>
          <w:sz w:val="20"/>
        </w:rPr>
        <w:t>We have continued to add to the capabilities of our payment network by means of new local bank accounts and payment partners, and have expanded our global reach to over 240 countries and territories and more than 140 currencies.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Strong dollar-based net retention</w:t>
      </w:r>
      <w:r>
        <w:rPr>
          <w:rFonts w:ascii="Arial" w:hAnsi="Arial"/>
          <w:i/>
          <w:color w:val="000000"/>
          <w:sz w:val="20"/>
        </w:rPr>
        <w:t>.</w:t>
      </w:r>
      <w:r>
        <w:rPr>
          <w:color w:val="000000"/>
        </w:rPr>
        <w:t xml:space="preserve"> </w:t>
      </w:r>
      <w:r>
        <w:rPr>
          <w:rFonts w:ascii="Arial" w:hAnsi="Arial"/>
          <w:color w:val="000000"/>
          <w:sz w:val="20"/>
        </w:rPr>
        <w:t>For the years ended December 31, 2025, 2024, and 2023, our annual net dollar-based retention rate was approximately 110%, 114%, and 125%, respectively. A main factor driving the decrease between 2023 and 2024 was changes to the international student visa policy in Canada.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pStyle w:val="TextBody"/>
        <w:bidi w:val="0"/>
        <w:spacing w:before="200" w:after="283"/>
        <w:jc w:val="left"/>
        <w:rPr>
          <w:rFonts w:ascii="Arial" w:hAnsi="Arial"/>
          <w:color w:val="000000"/>
          <w:sz w:val="20"/>
        </w:rPr>
      </w:pPr>
      <w:r>
        <w:rPr>
          <w:rFonts w:ascii="Arial" w:hAnsi="Arial"/>
          <w:color w:val="000000"/>
          <w:sz w:val="20"/>
        </w:rPr>
        <w:t>As of December 31, 2025, we serve approximately 5,000 clients around the world, excluding clients acquired from the Sertifi and Invoiced acquisitions. In education, we serve more than 3,200 institutions. In healthcare, we power more than 150 healthcare systems, including four of the top 10 healthcare systems in the United States ranked by hospital size as of December 31, 2025. In our travel and B2B verticals, we have a growing portfolio of approximately 1,600 clients as of December 31, 2025.</w:t>
      </w:r>
    </w:p>
    <w:p>
      <w:pPr>
        <w:pStyle w:val="TextBody"/>
        <w:bidi w:val="0"/>
        <w:spacing w:before="200" w:after="283"/>
        <w:jc w:val="left"/>
        <w:rPr>
          <w:rFonts w:ascii="Times New Roman" w:hAnsi="Times New Roman"/>
          <w:sz w:val="20"/>
        </w:rPr>
      </w:pPr>
      <w:r>
        <w:rPr>
          <w:rFonts w:ascii="Arial" w:hAnsi="Arial"/>
          <w:color w:val="000000"/>
          <w:sz w:val="20"/>
        </w:rPr>
        <w:t>Our success in building our client base around the world and expanding utilization by our clients’ customers has allowed us to achieve significant scale. We enabled over $37.6 billion, $29.7 billion, and $24.0 billion in total payment volume during the years ended December 31, 2025, 2024, and 2023, respectively. We reported revenue of $623.0 million,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$492.1 million, and $403.1 million for the years ended December 31, 2025, 2024, and 2023, respectively, and incurred net income of $13.5 million and $2.9 million for the years ended December 31, 2025 and 2024, respectively, and net loss of $8.6 million for the year ended December 31, 2023.</w:t>
      </w:r>
    </w:p>
    <w:p>
      <w:pPr>
        <w:pStyle w:val="TextBody"/>
        <w:bidi w:val="0"/>
        <w:spacing w:before="200" w:after="283"/>
        <w:jc w:val="left"/>
        <w:rPr>
          <w:rFonts w:ascii="Arial" w:hAnsi="Arial"/>
          <w:color w:val="000000"/>
          <w:sz w:val="20"/>
        </w:rPr>
      </w:pPr>
      <w:r>
        <w:rPr>
          <w:rFonts w:ascii="Arial" w:hAnsi="Arial"/>
          <w:color w:val="000000"/>
          <w:sz w:val="20"/>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pStyle w:val="TextBody"/>
        <w:bidi w:val="0"/>
        <w:spacing w:before="200" w:after="283"/>
        <w:jc w:val="left"/>
        <w:rPr>
          <w:rFonts w:ascii="Arial" w:hAnsi="Arial"/>
          <w:color w:val="000000"/>
          <w:sz w:val="20"/>
        </w:rPr>
      </w:pPr>
      <w:r>
        <w:rPr>
          <w:rFonts w:ascii="Arial" w:hAnsi="Arial"/>
          <w:color w:val="000000"/>
          <w:sz w:val="20"/>
        </w:rPr>
        <w:t>While we have experienced significant growth and increased demand for our solutions over recent periods, we may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pStyle w:val="TextBody"/>
        <w:bidi w:val="0"/>
        <w:spacing w:before="200" w:after="283"/>
        <w:jc w:val="left"/>
        <w:rPr>
          <w:rFonts w:ascii="Arial" w:hAnsi="Arial"/>
          <w:color w:val="000000"/>
          <w:sz w:val="20"/>
        </w:rPr>
      </w:pPr>
      <w:r>
        <w:rPr>
          <w:rFonts w:ascii="Arial" w:hAnsi="Arial"/>
          <w:color w:val="000000"/>
          <w:sz w:val="20"/>
        </w:rPr>
        <w:t>We had approximately 1,400 full-time FlyMates as of December 31, 2025, compared to approximately 1,250 full-time FlyMates as of December 31, 2024.</w:t>
      </w:r>
    </w:p>
    <w:p>
      <w:pPr>
        <w:pStyle w:val="TextBody"/>
        <w:bidi w:val="0"/>
        <w:spacing w:before="200" w:after="283"/>
        <w:jc w:val="left"/>
        <w:rPr>
          <w:rFonts w:ascii="Arial" w:hAnsi="Arial"/>
          <w:b/>
          <w:color w:val="000000"/>
          <w:sz w:val="20"/>
        </w:rPr>
      </w:pPr>
      <w:r>
        <w:rPr>
          <w:rFonts w:ascii="Arial" w:hAnsi="Arial"/>
          <w:b/>
          <w:color w:val="000000"/>
          <w:sz w:val="20"/>
        </w:rPr>
        <w:t>Recent Acquisitions</w:t>
      </w:r>
    </w:p>
    <w:p>
      <w:pPr>
        <w:pStyle w:val="TextBody"/>
        <w:bidi w:val="0"/>
        <w:spacing w:before="200" w:after="283"/>
        <w:jc w:val="left"/>
        <w:rPr>
          <w:rFonts w:ascii="Arial" w:hAnsi="Arial"/>
          <w:color w:val="000000"/>
          <w:sz w:val="20"/>
        </w:rPr>
      </w:pPr>
      <w:r>
        <w:rPr>
          <w:rFonts w:ascii="Arial" w:hAnsi="Arial"/>
          <w:color w:val="000000"/>
          <w:sz w:val="20"/>
        </w:rPr>
        <w:t>In February 2025, we entered into a Purchase and Sale Agreement (the Agreement) to acquire the business of Sertifi LLC (Sertifi) for upfront cash consideration of $330.0 million, subject to certain post-closing adjustments set forth in the Agreement, and contingent consideration of up to $10.0 million upon the completion or satisfaction of certain technical and commercial milestones by Sertifi, with an estimated fair value of $3.1 million on the date of acquisition. During the year ended December 31, 2025, we paid $5.1 million for post-closing adjustments. Sertifi is a vertical software and payments platform digitizing hospitality-specific workflows and associated payments. We paid the upfront cash consideration through a combination of cash on hand and borrowings from our 2024 Revolving Credit Facility. The acquisition of Sertifi was intended to accelerate our travel business and expand our offerings to support over 20,000 hotel locations globally.</w:t>
      </w:r>
    </w:p>
    <w:p>
      <w:pPr>
        <w:pStyle w:val="TextBody"/>
        <w:bidi w:val="0"/>
        <w:spacing w:before="200" w:after="283"/>
        <w:jc w:val="left"/>
        <w:rPr>
          <w:rFonts w:ascii="Arial" w:hAnsi="Arial"/>
          <w:color w:val="000000"/>
          <w:sz w:val="20"/>
        </w:rPr>
      </w:pPr>
      <w:r>
        <w:rPr>
          <w:rFonts w:ascii="Arial" w:hAnsi="Arial"/>
          <w:color w:val="000000"/>
          <w:sz w:val="20"/>
        </w:rPr>
        <w:t>In August 2024, we acquired all of the issued and outstanding shares of Invoiced for an estimated total aggregate purchase price of approximately $51.7 million, consisting of approximately $47.2 million in cash consideration, net of cash acquired and up to $7.5 million of contingent consideration, with an estimated fair value of $4.5 million on the date of acquisition. The contingent consideration represented additional payments that we were required to make in the future dependent on the successful achievement of revenue, cross-selling, product, and security and IT milestones. During the years ended December 31, 2025 and 2024, we paid contingent considerations of $2.6 million and $1.1 million based on Invoiced's successful and timely achievement of contracted milestones. As of December 31, 2025, there were no remaining contingent consideration milestones for Invoiced outstanding. Invoiced is a U.S.-based software as a service (SaaS) B2B company that provides accounts receivable software that automates all aspects of billing, collections, payments, reporting, and forecasting within a single online platform. The acquisition of Invoiced was intended to accelerate our global expansion in our B2B vertical.</w:t>
      </w:r>
    </w:p>
    <w:p>
      <w:pPr>
        <w:pStyle w:val="TextBody"/>
        <w:bidi w:val="0"/>
        <w:spacing w:before="200" w:after="283"/>
        <w:jc w:val="left"/>
        <w:rPr>
          <w:rFonts w:ascii="Times New Roman" w:hAnsi="Times New Roman"/>
          <w:sz w:val="20"/>
        </w:rPr>
      </w:pPr>
      <w:r>
        <w:rPr>
          <w:rFonts w:ascii="Arial" w:hAnsi="Arial"/>
          <w:color w:val="000000"/>
          <w:sz w:val="20"/>
        </w:rPr>
        <w:t xml:space="preserve">See </w:t>
      </w:r>
      <w:r>
        <w:rPr>
          <w:rFonts w:ascii="Arial" w:hAnsi="Arial"/>
          <w:i/>
          <w:color w:val="000000"/>
          <w:sz w:val="20"/>
        </w:rPr>
        <w:t>Note 10 - Business Combinations</w:t>
      </w:r>
      <w:r>
        <w:rPr>
          <w:rFonts w:ascii="Times New Roman" w:hAnsi="Times New Roman"/>
          <w:color w:val="000000"/>
          <w:sz w:val="20"/>
        </w:rPr>
        <w:t xml:space="preserve"> </w:t>
      </w:r>
      <w:r>
        <w:rPr>
          <w:rFonts w:ascii="Arial" w:hAnsi="Arial"/>
          <w:color w:val="000000"/>
          <w:sz w:val="20"/>
        </w:rPr>
        <w:t>in our consolidated financial statements appearing elsewhere in this Annual Report on Form 10-K for additional details related to these acquisitions.</w:t>
      </w:r>
    </w:p>
    <w:p>
      <w:pPr>
        <w:pStyle w:val="TextBody"/>
        <w:bidi w:val="0"/>
        <w:spacing w:before="200" w:after="283"/>
        <w:jc w:val="left"/>
        <w:rPr>
          <w:rFonts w:ascii="Arial" w:hAnsi="Arial"/>
          <w:b/>
          <w:color w:val="000000"/>
          <w:sz w:val="20"/>
        </w:rPr>
      </w:pPr>
      <w:r>
        <w:rPr>
          <w:rFonts w:ascii="Arial" w:hAnsi="Arial"/>
          <w:b/>
          <w:color w:val="000000"/>
          <w:sz w:val="20"/>
        </w:rPr>
        <w:t>Restructuring</w:t>
      </w:r>
    </w:p>
    <w:p>
      <w:pPr>
        <w:pStyle w:val="TextBody"/>
        <w:bidi w:val="0"/>
        <w:spacing w:before="200" w:after="283"/>
        <w:jc w:val="left"/>
        <w:rPr>
          <w:rFonts w:ascii="Times New Roman" w:hAnsi="Times New Roman"/>
          <w:sz w:val="20"/>
        </w:rPr>
      </w:pPr>
      <w:r>
        <w:rPr>
          <w:rFonts w:ascii="Arial" w:hAnsi="Arial"/>
          <w:color w:val="000000"/>
          <w:sz w:val="20"/>
        </w:rPr>
        <w:t>In February 2025, we announced a restructuring plan designed to improve operational efficiencies, reduce operating costs and better align our workforce with current business needs, top strategic priorities, and key growth opportunities (collectively, the Restructuring Plan). In connection with the Restructuring Plan, we incurred restructuring and restructuring-related charges of $8.7 million during the year ended December 31, 2025, recorded within restructuring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expenses on the consolidated statements of operations and comprehensive income (loss). Restructuring costs during the year ended December 31, 2025, primarily consisted of cash expenditures for severance payments and related expenses of $6.3 million and non-cash expenditures related to acceleration of vesting of share-based awards of $2.4 million. As of December 31, 2025, the accrued restructuring liability was less than $0.1 million, which is included within accrued expenses and other current liabilities in the consolidated balance sheets. Total costs incurred in connection with the Restructuring Plan were complete as of June 30, 2025.</w:t>
      </w:r>
    </w:p>
    <w:p>
      <w:pPr>
        <w:pStyle w:val="TextBody"/>
        <w:bidi w:val="0"/>
        <w:spacing w:before="200" w:after="283"/>
        <w:jc w:val="left"/>
        <w:rPr>
          <w:rFonts w:ascii="Arial" w:hAnsi="Arial"/>
          <w:b/>
          <w:color w:val="000000"/>
          <w:sz w:val="20"/>
        </w:rPr>
      </w:pPr>
      <w:r>
        <w:rPr>
          <w:rFonts w:ascii="Arial" w:hAnsi="Arial"/>
          <w:b/>
          <w:color w:val="000000"/>
          <w:sz w:val="20"/>
        </w:rPr>
        <w:t>Our Revenue Model</w:t>
      </w:r>
    </w:p>
    <w:p>
      <w:pPr>
        <w:pStyle w:val="TextBody"/>
        <w:bidi w:val="0"/>
        <w:spacing w:before="200" w:after="283"/>
        <w:jc w:val="left"/>
        <w:rPr>
          <w:rFonts w:ascii="Arial" w:hAnsi="Arial"/>
          <w:color w:val="000000"/>
          <w:sz w:val="20"/>
        </w:rPr>
      </w:pPr>
      <w:r>
        <w:rPr>
          <w:rFonts w:ascii="Arial" w:hAnsi="Arial"/>
          <w:color w:val="000000"/>
          <w:sz w:val="20"/>
        </w:rPr>
        <w:t>We generate revenue from transactions and from platform and other fees as described below.</w:t>
      </w:r>
    </w:p>
    <w:p>
      <w:pPr>
        <w:pStyle w:val="TextBody"/>
        <w:bidi w:val="0"/>
        <w:spacing w:before="200" w:after="283"/>
        <w:jc w:val="left"/>
        <w:rPr>
          <w:rFonts w:ascii="Times New Roman" w:hAnsi="Times New Roman"/>
          <w:sz w:val="20"/>
        </w:rPr>
      </w:pPr>
      <w:r>
        <w:rPr>
          <w:rFonts w:ascii="Arial" w:hAnsi="Arial"/>
          <w:i/>
          <w:color w:val="000000"/>
          <w:sz w:val="20"/>
        </w:rPr>
        <w:t>Transaction revenue</w:t>
      </w:r>
      <w:r>
        <w:rPr>
          <w:rFonts w:ascii="Times New Roman" w:hAnsi="Times New Roman"/>
          <w:color w:val="000000"/>
          <w:sz w:val="20"/>
        </w:rPr>
        <w:t xml:space="preserve"> </w:t>
      </w:r>
      <w:r>
        <w:rPr>
          <w:rFonts w:ascii="Arial" w:hAnsi="Arial"/>
          <w:color w:val="000000"/>
          <w:sz w:val="20"/>
        </w:rPr>
        <w:t>includes fees earned from payment processing services provided to our clients, which is comprised of processing 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pStyle w:val="TextBody"/>
        <w:bidi w:val="0"/>
        <w:spacing w:before="200" w:after="200"/>
        <w:jc w:val="left"/>
        <w:rPr>
          <w:rFonts w:ascii="Times New Roman" w:hAnsi="Times New Roman"/>
          <w:sz w:val="20"/>
        </w:rPr>
      </w:pPr>
      <w:r>
        <w:rPr>
          <w:rFonts w:ascii="Arial" w:hAnsi="Arial"/>
          <w:i/>
          <w:color w:val="000000"/>
          <w:sz w:val="20"/>
        </w:rPr>
        <w:t>Platform and other revenues</w:t>
      </w:r>
      <w:r>
        <w:rPr>
          <w:rFonts w:ascii="Times New Roman" w:hAnsi="Times New Roman"/>
          <w:color w:val="000000"/>
          <w:sz w:val="20"/>
        </w:rPr>
        <w:t xml:space="preserve"> </w:t>
      </w:r>
      <w:r>
        <w:rPr>
          <w:rFonts w:ascii="Arial" w:hAnsi="Arial"/>
          <w:color w:val="000000"/>
          <w:sz w:val="20"/>
        </w:rPr>
        <w:t>primarily include (i) fees earned for the utilization of our platforms to optimize cash collections and student 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pStyle w:val="TextBody"/>
        <w:bidi w:val="0"/>
        <w:jc w:val="left"/>
        <w:rPr>
          <w:rFonts w:ascii="Arial" w:hAnsi="Arial"/>
          <w:b/>
          <w:i/>
          <w:color w:val="000000"/>
          <w:sz w:val="20"/>
        </w:rPr>
      </w:pPr>
      <w:r>
        <w:rPr>
          <w:rFonts w:ascii="Arial" w:hAnsi="Arial"/>
          <w:b/>
          <w:i/>
          <w:color w:val="000000"/>
          <w:sz w:val="20"/>
        </w:rPr>
        <w:t>Total Payment Volume</w:t>
      </w:r>
    </w:p>
    <w:p>
      <w:pPr>
        <w:pStyle w:val="TextBody"/>
        <w:bidi w:val="0"/>
        <w:spacing w:before="200" w:after="283"/>
        <w:jc w:val="left"/>
        <w:rPr>
          <w:rFonts w:ascii="Arial" w:hAnsi="Arial"/>
          <w:color w:val="000000"/>
          <w:sz w:val="20"/>
        </w:rPr>
      </w:pPr>
      <w:r>
        <w:rPr>
          <w:rFonts w:ascii="Arial" w:hAnsi="Arial"/>
          <w:color w:val="000000"/>
          <w:sz w:val="20"/>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pStyle w:val="TextBody"/>
        <w:bidi w:val="0"/>
        <w:spacing w:before="200" w:after="200"/>
        <w:jc w:val="left"/>
        <w:rPr>
          <w:rFonts w:ascii="Arial" w:hAnsi="Arial"/>
          <w:color w:val="000000"/>
          <w:sz w:val="20"/>
        </w:rPr>
      </w:pPr>
      <w:r>
        <w:rPr>
          <w:rFonts w:ascii="Arial" w:hAnsi="Arial"/>
          <w:color w:val="000000"/>
          <w:sz w:val="20"/>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tbl>
      <w:tblPr>
        <w:tblW w:w="8361" w:type="dxa"/>
        <w:jc w:val="left"/>
        <w:tblInd w:w="0" w:type="dxa"/>
        <w:tblLayout w:type="fixed"/>
        <w:tblCellMar>
          <w:top w:w="28" w:type="dxa"/>
          <w:left w:w="28" w:type="dxa"/>
          <w:bottom w:w="28" w:type="dxa"/>
          <w:right w:w="28" w:type="dxa"/>
        </w:tblCellMar>
      </w:tblPr>
      <w:tblGrid>
        <w:gridCol w:w="3826"/>
        <w:gridCol w:w="146"/>
        <w:gridCol w:w="222"/>
        <w:gridCol w:w="871"/>
        <w:gridCol w:w="153"/>
        <w:gridCol w:w="222"/>
        <w:gridCol w:w="871"/>
        <w:gridCol w:w="146"/>
        <w:gridCol w:w="211"/>
        <w:gridCol w:w="721"/>
        <w:gridCol w:w="146"/>
        <w:gridCol w:w="82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Transaction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30,713.4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Platform and other revenues payment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6,840.7</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37,554.1</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Key Factors Affecting Our Performance</w:t>
      </w:r>
    </w:p>
    <w:p>
      <w:pPr>
        <w:pStyle w:val="TextBody"/>
        <w:bidi w:val="0"/>
        <w:spacing w:before="200" w:after="283"/>
        <w:jc w:val="left"/>
        <w:rPr>
          <w:rFonts w:ascii="Arial" w:hAnsi="Arial"/>
          <w:b/>
          <w:i/>
          <w:color w:val="000000"/>
          <w:sz w:val="20"/>
        </w:rPr>
      </w:pPr>
      <w:r>
        <w:rPr>
          <w:rFonts w:ascii="Arial" w:hAnsi="Arial"/>
          <w:b/>
          <w:i/>
          <w:color w:val="000000"/>
          <w:sz w:val="20"/>
        </w:rPr>
        <w:t>Increased Utilization by Our Clients and Their Customers</w:t>
      </w:r>
    </w:p>
    <w:p>
      <w:pPr>
        <w:pStyle w:val="TextBody"/>
        <w:bidi w:val="0"/>
        <w:spacing w:before="200" w:after="283"/>
        <w:jc w:val="left"/>
        <w:rPr>
          <w:rFonts w:ascii="Arial" w:hAnsi="Arial"/>
          <w:color w:val="000000"/>
          <w:sz w:val="20"/>
        </w:rPr>
      </w:pPr>
      <w:r>
        <w:rPr>
          <w:rFonts w:ascii="Arial" w:hAnsi="Arial"/>
          <w:color w:val="000000"/>
          <w:sz w:val="20"/>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pStyle w:val="TextBody"/>
        <w:bidi w:val="0"/>
        <w:spacing w:before="12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B2B solutions, and our student financial software (SFS) solution, which provides institutions a comprehensive platform spanning the student financial lifecycle.</w:t>
      </w:r>
    </w:p>
    <w:p>
      <w:pPr>
        <w:pStyle w:val="TextBody"/>
        <w:bidi w:val="0"/>
        <w:spacing w:before="200" w:after="283"/>
        <w:jc w:val="left"/>
        <w:rPr>
          <w:rFonts w:ascii="Arial" w:hAnsi="Arial"/>
          <w:b/>
          <w:i/>
          <w:color w:val="000000"/>
          <w:sz w:val="20"/>
        </w:rPr>
      </w:pPr>
      <w:r>
        <w:rPr>
          <w:rFonts w:ascii="Arial" w:hAnsi="Arial"/>
          <w:b/>
          <w:i/>
          <w:color w:val="000000"/>
          <w:sz w:val="20"/>
        </w:rPr>
        <w:t>Mix of Business on Our Platform</w:t>
      </w:r>
    </w:p>
    <w:p>
      <w:pPr>
        <w:pStyle w:val="TextBody"/>
        <w:bidi w:val="0"/>
        <w:spacing w:before="200" w:after="283"/>
        <w:jc w:val="left"/>
        <w:rPr>
          <w:rFonts w:ascii="Times New Roman" w:hAnsi="Times New Roman"/>
          <w:sz w:val="20"/>
        </w:rPr>
      </w:pPr>
      <w:r>
        <w:rPr>
          <w:rFonts w:ascii="Arial" w:hAnsi="Arial"/>
          <w:color w:val="000000"/>
          <w:sz w:val="20"/>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compared to domestic payments, which may increase or decrease depending on the industry in which our clients operate. In addition, the mix of payment methods utilized by our clients’ customers may have an impact on our margins given that our costs associated with certain payment methods, such as credit cards, are higher than other payment methods accepted by our solutions, such as bank transfers.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In addition, we are expanding our payment processing capabilities to offer a more comprehensive solution to our clients. While this new capability is expected to be a source of future growth, it is characterized by a lower gross margin profile compared to our traditional, higher-margin products. We anticipate that the inclusion of this business mix will exert a moderate, downward pressure during the initial ramp-up phase on our overall consolidated gross profit margin percentage, even as it continues to contribute positively to our absolute gross profit dollars.</w:t>
      </w:r>
    </w:p>
    <w:p>
      <w:pPr>
        <w:pStyle w:val="TextBody"/>
        <w:bidi w:val="0"/>
        <w:spacing w:before="200" w:after="283"/>
        <w:jc w:val="left"/>
        <w:rPr>
          <w:rFonts w:ascii="Arial" w:hAnsi="Arial"/>
          <w:color w:val="000000"/>
          <w:sz w:val="20"/>
        </w:rPr>
      </w:pPr>
      <w:r>
        <w:rPr>
          <w:rFonts w:ascii="Arial" w:hAnsi="Arial"/>
          <w:color w:val="000000"/>
          <w:sz w:val="20"/>
        </w:rPr>
        <w:t>During the year ended December 31, 2025, our business mix continued to exert downward pressure on our margins, driven by growing share of domestic transactions and credit card usage in travel and B2B and by our new payment processing solution in Healthcare, travel and B2B, partially offset by ongoing optimization of payment costs. We may experience shifts in the type of revenue we earn (transaction revenue or platform and other revenues) depending on the nature of the activity of our clients and our clients’ customers on our platform.</w:t>
      </w:r>
    </w:p>
    <w:p>
      <w:pPr>
        <w:pStyle w:val="TextBody"/>
        <w:bidi w:val="0"/>
        <w:spacing w:before="200" w:after="283"/>
        <w:jc w:val="left"/>
        <w:rPr>
          <w:rFonts w:ascii="Arial" w:hAnsi="Arial"/>
          <w:b/>
          <w:i/>
          <w:color w:val="000000"/>
          <w:sz w:val="20"/>
        </w:rPr>
      </w:pPr>
      <w:r>
        <w:rPr>
          <w:rFonts w:ascii="Arial" w:hAnsi="Arial"/>
          <w:b/>
          <w:i/>
          <w:color w:val="000000"/>
          <w:sz w:val="20"/>
        </w:rPr>
        <w:t>Digital Transformation and Operational Focus</w:t>
      </w:r>
    </w:p>
    <w:p>
      <w:pPr>
        <w:pStyle w:val="TextBody"/>
        <w:bidi w:val="0"/>
        <w:spacing w:before="200" w:after="283"/>
        <w:jc w:val="left"/>
        <w:rPr>
          <w:rFonts w:ascii="Arial" w:hAnsi="Arial"/>
          <w:color w:val="000000"/>
          <w:sz w:val="20"/>
        </w:rPr>
      </w:pPr>
      <w:r>
        <w:rPr>
          <w:rFonts w:ascii="Arial" w:hAnsi="Arial"/>
          <w:color w:val="000000"/>
          <w:sz w:val="20"/>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pStyle w:val="TextBody"/>
        <w:bidi w:val="0"/>
        <w:spacing w:before="200" w:after="283"/>
        <w:jc w:val="left"/>
        <w:rPr>
          <w:rFonts w:ascii="Arial" w:hAnsi="Arial"/>
          <w:color w:val="000000"/>
          <w:sz w:val="20"/>
        </w:rPr>
      </w:pPr>
      <w:r>
        <w:rPr>
          <w:rFonts w:ascii="Arial" w:hAnsi="Arial"/>
          <w:color w:val="000000"/>
          <w:sz w:val="20"/>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pStyle w:val="TextBody"/>
        <w:bidi w:val="0"/>
        <w:spacing w:before="200" w:after="283"/>
        <w:jc w:val="left"/>
        <w:rPr>
          <w:rFonts w:ascii="Arial" w:hAnsi="Arial"/>
          <w:color w:val="000000"/>
          <w:sz w:val="20"/>
        </w:rPr>
      </w:pPr>
      <w:r>
        <w:rPr>
          <w:rFonts w:ascii="Arial" w:hAnsi="Arial"/>
          <w:color w:val="000000"/>
          <w:sz w:val="20"/>
        </w:rPr>
        <w:t>We are also executing a digital transformation initiative focused on enhancing our data, analytics, and systems. This includes investment in our data architecture, leveraging structured data across our distinct verticals to generate real-time insights, predictive capabilities, and innovative AI use cases for both our internal teams and clients. Our foundational data work is designed to enable enterprise-wide AI deployment, ensuring speed, accuracy, and maximizing long-term value through more efficient processes.</w:t>
      </w:r>
    </w:p>
    <w:p>
      <w:pPr>
        <w:pStyle w:val="TextBody"/>
        <w:bidi w:val="0"/>
        <w:spacing w:before="200" w:after="283"/>
        <w:jc w:val="left"/>
        <w:rPr>
          <w:color w:val="000000"/>
        </w:rPr>
      </w:pPr>
      <w:r>
        <w:rPr>
          <w:rFonts w:ascii="Arial" w:hAnsi="Arial"/>
          <w:color w:val="000000"/>
          <w:sz w:val="20"/>
        </w:rPr>
        <w:t>Furthermore, we are optimizing internal systems and tools by consolidating our vendor footprint and automating processes. These efforts collectively reinforce our commitment to driving productivity, optimizing investments, and streamlining operations, thereby enhancing our platform's overall capabilities and providing deeper insights for our stakeholders.</w:t>
      </w:r>
      <w:r>
        <w:rPr>
          <w:rFonts w:cs="Arial"/>
          <w:color w:val="000000"/>
          <w:szCs w:val="20"/>
        </w:rPr>
        <w:t>﻿</w:t>
      </w:r>
    </w:p>
    <w:p>
      <w:pPr>
        <w:pStyle w:val="TextBody"/>
        <w:bidi w:val="0"/>
        <w:spacing w:before="200" w:after="283"/>
        <w:jc w:val="left"/>
        <w:rPr>
          <w:rFonts w:ascii="Arial" w:hAnsi="Arial"/>
          <w:b/>
          <w:i/>
          <w:color w:val="000000"/>
          <w:sz w:val="20"/>
        </w:rPr>
      </w:pPr>
      <w:r>
        <w:rPr>
          <w:rFonts w:ascii="Arial" w:hAnsi="Arial"/>
          <w:b/>
          <w:i/>
          <w:color w:val="000000"/>
          <w:sz w:val="20"/>
        </w:rPr>
        <w:t>Seasonality</w:t>
      </w:r>
    </w:p>
    <w:p>
      <w:pPr>
        <w:pStyle w:val="TextBody"/>
        <w:bidi w:val="0"/>
        <w:spacing w:before="200" w:after="283"/>
        <w:jc w:val="left"/>
        <w:rPr>
          <w:rFonts w:ascii="Times New Roman" w:hAnsi="Times New Roman"/>
          <w:sz w:val="20"/>
        </w:rPr>
      </w:pPr>
      <w:r>
        <w:rPr>
          <w:rFonts w:ascii="Arial" w:hAnsi="Arial"/>
          <w:color w:val="000000"/>
          <w:sz w:val="20"/>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their tuition payments on our payment platform and the number of business days in a month or quarter. For example, due to the overlap of China’s National Day and Mid-Autumn Festival in early October 2025, certain payments from our client’s Chinese customers that would typically be settled in the fourth quarter were accelerated into the third quarter prior to the start of the holidays. As a result, revenue that would ordinarily be recognized in the fourth quarter was instead recognized in the third quarter, distorting period-over-period comparisons and contributing to elevated third quarter results. Management does not expect this temporary shift in payment timing to have a material effect on overall annual results, but it may impact comparisons between affected quarters. We also experience volatility in certain other metrics, such as transactions processed, total payment volume and payment mix.</w:t>
      </w:r>
    </w:p>
    <w:p>
      <w:pPr>
        <w:pStyle w:val="TextBody"/>
        <w:bidi w:val="0"/>
        <w:spacing w:before="200" w:after="283"/>
        <w:jc w:val="left"/>
        <w:rPr>
          <w:rFonts w:ascii="Arial" w:hAnsi="Arial"/>
          <w:b/>
          <w:i/>
          <w:color w:val="000000"/>
          <w:sz w:val="20"/>
        </w:rPr>
      </w:pPr>
      <w:r>
        <w:rPr>
          <w:rFonts w:ascii="Arial" w:hAnsi="Arial"/>
          <w:b/>
          <w:i/>
          <w:color w:val="000000"/>
          <w:sz w:val="20"/>
        </w:rPr>
        <w:t>Economic Conditions and Resulting Consumer Spending Trends</w:t>
      </w:r>
    </w:p>
    <w:p>
      <w:pPr>
        <w:pStyle w:val="TextBody"/>
        <w:bidi w:val="0"/>
        <w:spacing w:before="200" w:after="283"/>
        <w:jc w:val="left"/>
        <w:rPr>
          <w:rFonts w:ascii="Arial" w:hAnsi="Arial"/>
          <w:color w:val="000000"/>
          <w:sz w:val="20"/>
        </w:rPr>
      </w:pPr>
      <w:r>
        <w:rPr>
          <w:rFonts w:ascii="Arial" w:hAnsi="Arial"/>
          <w:color w:val="000000"/>
          <w:sz w:val="20"/>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pStyle w:val="TextBody"/>
        <w:bidi w:val="0"/>
        <w:spacing w:before="200" w:after="283"/>
        <w:jc w:val="left"/>
        <w:rPr>
          <w:rFonts w:ascii="Arial" w:hAnsi="Arial"/>
          <w:b/>
          <w:i/>
          <w:color w:val="000000"/>
          <w:sz w:val="20"/>
        </w:rPr>
      </w:pPr>
      <w:r>
        <w:rPr>
          <w:rFonts w:ascii="Arial" w:hAnsi="Arial"/>
          <w:b/>
          <w:i/>
          <w:color w:val="000000"/>
          <w:sz w:val="20"/>
        </w:rPr>
        <w:t>Impacts Resulting From Government Changes to International Student and H-1B Visa Policies</w:t>
      </w:r>
    </w:p>
    <w:p>
      <w:pPr>
        <w:pStyle w:val="TextBody"/>
        <w:bidi w:val="0"/>
        <w:spacing w:before="200" w:after="283"/>
        <w:jc w:val="left"/>
        <w:rPr>
          <w:rFonts w:ascii="Arial" w:hAnsi="Arial"/>
          <w:color w:val="000000"/>
          <w:sz w:val="20"/>
        </w:rPr>
      </w:pPr>
      <w:r>
        <w:rPr>
          <w:rFonts w:ascii="Arial" w:hAnsi="Arial"/>
          <w:color w:val="000000"/>
          <w:sz w:val="20"/>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In November 2025, the IRCC announced that it expects to issue up to 408,000 study permits, including 155,000 to newly arriving international students, as outlined in the 2026–2028 Immigration Levels Plan, and 253,000 extensions for current and returning students. This number is 7% lower than the 2025 issuance target of 437,000 and 16% lower than the 2024 issuance target of 485,000. As of January 1, 2026, master’s and doctoral level students enrolled at a public designated learning institution in Canada will not need to submit a provincial or territorial attestation letter with their study permit application. When first instituted by the IRCC, the cap initially excluded students enrolled in master’s and PhD programs, but the IRCC more recently included master’s and doctoral students within the cap.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for the year ended December 31, 2025.</w:t>
      </w:r>
    </w:p>
    <w:p>
      <w:pPr>
        <w:pStyle w:val="TextBody"/>
        <w:bidi w:val="0"/>
        <w:spacing w:before="200" w:after="283"/>
        <w:jc w:val="left"/>
        <w:rPr>
          <w:rFonts w:ascii="Arial" w:hAnsi="Arial"/>
          <w:color w:val="000000"/>
          <w:sz w:val="20"/>
        </w:rPr>
      </w:pPr>
      <w:r>
        <w:rPr>
          <w:rFonts w:ascii="Arial" w:hAnsi="Arial"/>
          <w:color w:val="000000"/>
          <w:sz w:val="20"/>
        </w:rPr>
        <w:t>Similarly, since late 2023, the Australian government has taken similar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for the year ended December 31, 2025, and we anticipate will continue to impact our Australian revenues in 2026.</w:t>
      </w:r>
    </w:p>
    <w:p>
      <w:pPr>
        <w:pStyle w:val="TextBody"/>
        <w:bidi w:val="0"/>
        <w:spacing w:before="200" w:after="283"/>
        <w:jc w:val="left"/>
        <w:rPr>
          <w:rFonts w:ascii="Times New Roman" w:hAnsi="Times New Roman"/>
          <w:sz w:val="20"/>
        </w:rPr>
      </w:pPr>
      <w:r>
        <w:rPr>
          <w:rFonts w:ascii="Arial" w:hAnsi="Arial"/>
          <w:color w:val="000000"/>
          <w:sz w:val="20"/>
        </w:rPr>
        <w:t>The Australian government reclassified India as a highest-risk (Evidence Level 3) student-visa assessment jurisdiction under its Simplified Student Visa Framework (SSVF), shifting India from Evidence Level 2 to the more stringent Evidence Level 3 category effective January 8, 2026. This reclassification was attributed to what the Department of Home Affairs described as “emerging integrity risks,” including concerns about non-genuine applications and fraudulent documentation within the student visa system. Indian student visa applicants are now required to submit more extensive documentation, including detailed financial evidence, authenticated academic records, proof of English language proficiency, and may be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subject to additional background checks or interviews before a visa decision can be finalized. Some expected impacts to Australian universities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Expectation of longer student visa processing times, potentially extending from current medians to four–eight or more weeks, which could disrupt admissions and orientation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administrative burden on international offices and recruitment staff to assist Indian applicants with enhanced documentation and compliance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 of a reduction in Indian student enrollments or delays in arrival, affecting tuition revenue and program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Necessity for universities to adjust intake planning, including staggered start dates or expanded online coursework, to accommodate delayed visa issuance.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for higher refusal rates requiring additional counseling and risk management for affected applicants.</w:t>
      </w:r>
    </w:p>
    <w:p>
      <w:pPr>
        <w:pStyle w:val="TextBody"/>
        <w:bidi w:val="0"/>
        <w:spacing w:before="200" w:after="283"/>
        <w:jc w:val="left"/>
        <w:rPr>
          <w:rFonts w:ascii="Arial" w:hAnsi="Arial"/>
          <w:color w:val="000000"/>
          <w:sz w:val="20"/>
        </w:rPr>
      </w:pPr>
      <w:r>
        <w:rPr>
          <w:rFonts w:ascii="Arial" w:hAnsi="Arial"/>
          <w:color w:val="000000"/>
          <w:sz w:val="20"/>
        </w:rPr>
        <w:t>Flywire could experience reduced transaction volumes and delayed payment flows from its Australian clients’ Indian student corridors due to slower visa processing times, increased application friction, and potential declines in enrollment. These factors could adversely affect our revenue growth in the Asia-Pacific education vertical and increase operational complexity associated with refunds, deferred intakes, and compliance-related payment adjustments.</w:t>
      </w:r>
    </w:p>
    <w:p>
      <w:pPr>
        <w:pStyle w:val="TextBody"/>
        <w:bidi w:val="0"/>
        <w:spacing w:before="200" w:after="283"/>
        <w:jc w:val="left"/>
        <w:rPr>
          <w:rFonts w:ascii="Arial" w:hAnsi="Arial"/>
          <w:color w:val="000000"/>
          <w:sz w:val="20"/>
        </w:rPr>
      </w:pPr>
      <w:r>
        <w:rPr>
          <w:rFonts w:ascii="Arial" w:hAnsi="Arial"/>
          <w:color w:val="000000"/>
          <w:sz w:val="20"/>
        </w:rPr>
        <w:t>In the U.K. as well, there have recently been significant modifications to the process and standards for issuance of international student visas which may reduce demand for international study and adversely affect our business. In November 2025, the U.K. budget confirmed that a levy of £925 per student per year of study will commence from August 2028, at the start of the 2028/29 academic year, for higher education institutions in England. All providers will be given an allowance of the first 220 international students per year not paying the levy, which may protect smaller, specialist providers from paying the charge. Of potentially more significance is the reduction of the U.K.’s Graduate Route post-study-work-visa from 24 to 18 months as taking effect for visa applications made after January 1, 2027. The change applies to bachelor’s and master’s degrees, and not to PhDs (which retain a 3-year option). All of these changes in UK visa policies for international students could potentially discourage international students from studying in the U.K. and have an adverse impact on our business.</w:t>
      </w:r>
    </w:p>
    <w:p>
      <w:pPr>
        <w:pStyle w:val="TextBody"/>
        <w:bidi w:val="0"/>
        <w:spacing w:before="200" w:after="283"/>
        <w:jc w:val="left"/>
        <w:rPr>
          <w:rFonts w:ascii="Arial" w:hAnsi="Arial"/>
          <w:color w:val="000000"/>
          <w:sz w:val="20"/>
        </w:rPr>
      </w:pPr>
      <w:r>
        <w:rPr>
          <w:rFonts w:ascii="Arial" w:hAnsi="Arial"/>
          <w:color w:val="000000"/>
          <w:sz w:val="20"/>
        </w:rPr>
        <w:t>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The new H-1B visa fee does not apply to international students already in the U.S. looking to apply for a status change.Our U.S. market saw slower growth for the year ended December 31, 2025, due to shifting visa trends. In addition, in 2025 U.S. policy shifts have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 which could be exacerbated by the recent U.S. government shutdown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We expect these changes to U.S. immigration policy will continue to dampen demands for international study and adversely impact our revenue growth in the U.S. in 2026.</w:t>
      </w:r>
    </w:p>
    <w:p>
      <w:pPr>
        <w:pStyle w:val="TextBody"/>
        <w:bidi w:val="0"/>
        <w:spacing w:before="200" w:after="283"/>
        <w:jc w:val="left"/>
        <w:rPr>
          <w:rFonts w:ascii="Arial" w:hAnsi="Arial"/>
          <w:color w:val="000000"/>
          <w:sz w:val="20"/>
        </w:rPr>
      </w:pPr>
      <w:r>
        <w:rPr>
          <w:rFonts w:ascii="Arial" w:hAnsi="Arial"/>
          <w:color w:val="000000"/>
          <w:sz w:val="20"/>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Requests for deferred admissions, increased student inquiries/concerns, and delays in expected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Visa appointment cancellations, unavailability or delays in scheduling interviews as well as higher visa rejection rates - especially as to potential students from the countries that send the most students to the United States; and</w:t>
      </w:r>
    </w:p>
    <w:p>
      <w:pPr>
        <w:pStyle w:val="TextBody"/>
        <w:bidi w:val="0"/>
        <w:spacing w:before="12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These European and Asian study destinations that are gaining in market share of student interest often carry lower tuition and related costs of living relative to the United States, which may result in lower volume of payments processed within our education vertical.</w:t>
      </w:r>
    </w:p>
    <w:p>
      <w:pPr>
        <w:pStyle w:val="TextBody"/>
        <w:bidi w:val="0"/>
        <w:spacing w:before="200" w:after="283"/>
        <w:jc w:val="left"/>
        <w:rPr>
          <w:rFonts w:ascii="Arial" w:hAnsi="Arial"/>
          <w:color w:val="000000"/>
          <w:sz w:val="20"/>
        </w:rPr>
      </w:pPr>
      <w:r>
        <w:rPr>
          <w:rFonts w:ascii="Arial" w:hAnsi="Arial"/>
          <w:color w:val="000000"/>
          <w:sz w:val="20"/>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pStyle w:val="TextBody"/>
        <w:bidi w:val="0"/>
        <w:spacing w:before="200" w:after="283"/>
        <w:jc w:val="left"/>
        <w:rPr>
          <w:rFonts w:ascii="Arial" w:hAnsi="Arial"/>
          <w:color w:val="000000"/>
          <w:sz w:val="20"/>
        </w:rPr>
      </w:pPr>
      <w:r>
        <w:rPr>
          <w:rFonts w:ascii="Arial" w:hAnsi="Arial"/>
          <w:color w:val="000000"/>
          <w:sz w:val="20"/>
        </w:rPr>
        <w:t>There is still a degree of uncertainty in terms of the impact the changes to international student visa policy and international trade policies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and international trade policies. We believe our business continues to remain strong amid these visa-related policy shifts, benefiting from our increasingly global and diversified footprint across verticals, sub-sectors, countries, currencies and clients.</w:t>
      </w:r>
    </w:p>
    <w:p>
      <w:pPr>
        <w:pStyle w:val="TextBody"/>
        <w:bidi w:val="0"/>
        <w:spacing w:before="200" w:after="283"/>
        <w:jc w:val="left"/>
        <w:rPr>
          <w:rFonts w:ascii="Arial" w:hAnsi="Arial"/>
          <w:b/>
          <w:color w:val="000000"/>
          <w:sz w:val="20"/>
        </w:rPr>
      </w:pPr>
      <w:r>
        <w:rPr>
          <w:rFonts w:ascii="Arial" w:hAnsi="Arial"/>
          <w:b/>
          <w:color w:val="000000"/>
          <w:sz w:val="20"/>
        </w:rPr>
        <w:t>Impact of New H-1B Visa Fee Requirement</w:t>
      </w:r>
    </w:p>
    <w:p>
      <w:pPr>
        <w:pStyle w:val="TextBody"/>
        <w:bidi w:val="0"/>
        <w:spacing w:before="200" w:after="283"/>
        <w:jc w:val="left"/>
        <w:rPr>
          <w:rFonts w:ascii="Times New Roman" w:hAnsi="Times New Roman"/>
          <w:sz w:val="20"/>
        </w:rPr>
      </w:pPr>
      <w:r>
        <w:rPr>
          <w:rFonts w:ascii="Arial" w:hAnsi="Arial"/>
          <w:color w:val="000000"/>
          <w:sz w:val="20"/>
        </w:rPr>
        <w:t xml:space="preserve">See discussion above under </w:t>
      </w:r>
      <w:r>
        <w:rPr>
          <w:rFonts w:ascii="Arial" w:hAnsi="Arial"/>
          <w:i/>
          <w:color w:val="000000"/>
          <w:sz w:val="20"/>
        </w:rPr>
        <w:t>Impacts Resulting From Government Changes to International Student and H-1B Visa Policies</w:t>
      </w:r>
      <w:r>
        <w:rPr>
          <w:rFonts w:ascii="Times New Roman" w:hAnsi="Times New Roman"/>
          <w:color w:val="000000"/>
          <w:sz w:val="20"/>
        </w:rPr>
        <w:t xml:space="preserve"> </w:t>
      </w:r>
      <w:r>
        <w:rPr>
          <w:rFonts w:ascii="Arial" w:hAnsi="Arial"/>
          <w:color w:val="000000"/>
          <w:sz w:val="20"/>
        </w:rPr>
        <w:t>regarding the U.S. government's announced plans to require employers to pay a $100,000 filing fee per H-1B visa petition to bring new H-1B workers into the U.S. This new requirement materially increases the cost of employing new foreign nationals in the U.S. The new H-1B visa fee does not apply to international students already in the U.S. looking to apply for a status change. The fee is not expected to apply to petitions filed before the effective date or to renewals. Flywire currently employs a number of specialized personnel under H-1B visas — primarily software engineers and product managers — whose skills are essential to maintaining and expanding our global payments platform.</w:t>
      </w:r>
    </w:p>
    <w:p>
      <w:pPr>
        <w:pStyle w:val="TextBody"/>
        <w:bidi w:val="0"/>
        <w:spacing w:before="200" w:after="283"/>
        <w:jc w:val="left"/>
        <w:rPr>
          <w:rFonts w:ascii="Arial" w:hAnsi="Arial"/>
          <w:color w:val="000000"/>
          <w:sz w:val="20"/>
        </w:rPr>
      </w:pPr>
      <w:r>
        <w:rPr>
          <w:rFonts w:ascii="Arial" w:hAnsi="Arial"/>
          <w:color w:val="000000"/>
          <w:sz w:val="20"/>
        </w:rPr>
        <w:t>The new regulation could potentially increase our annual personnel costs as existing H-1B holders become eligible for renewal and as we recruit new employees in technical and operational roles. While the overall financial impact is not yet determinable, the incremental costs could be significant if the rule remains in effect or expands to other visa categories.</w:t>
      </w:r>
    </w:p>
    <w:p>
      <w:pPr>
        <w:pStyle w:val="TextBody"/>
        <w:bidi w:val="0"/>
        <w:spacing w:before="200" w:after="283"/>
        <w:jc w:val="left"/>
        <w:rPr>
          <w:rFonts w:ascii="Arial" w:hAnsi="Arial"/>
          <w:color w:val="000000"/>
          <w:sz w:val="20"/>
        </w:rPr>
      </w:pPr>
      <w:r>
        <w:rPr>
          <w:rFonts w:ascii="Arial" w:hAnsi="Arial"/>
          <w:color w:val="000000"/>
          <w:sz w:val="20"/>
        </w:rPr>
        <w:t>To mitigate these potential cost increases, we are evaluating a combination of strategies,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Reallocating hiring and development activities to lower-cost jurisdictions where we already operate;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Investing in automation, AI-based solutions and process efficiency to reduce reliance on incremental headcount growth in the U.S.;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Enhancing our domestic talent pipeline through university partnerships, internships, and remote-work arrangements to expand access to U.S.-based workers not requiring sponsorship.</w:t>
      </w:r>
    </w:p>
    <w:p>
      <w:pPr>
        <w:pStyle w:val="TextBody"/>
        <w:bidi w:val="0"/>
        <w:spacing w:before="200" w:after="283"/>
        <w:jc w:val="left"/>
        <w:rPr>
          <w:rFonts w:ascii="Arial" w:hAnsi="Arial"/>
          <w:color w:val="000000"/>
          <w:sz w:val="20"/>
        </w:rPr>
      </w:pPr>
      <w:r>
        <w:rPr>
          <w:rFonts w:ascii="Arial" w:hAnsi="Arial"/>
          <w:color w:val="000000"/>
          <w:sz w:val="20"/>
        </w:rPr>
        <w:t>We are also engaging through industry associations to monitor legal challenges and regulatory developments related to this rule and to advocate for more balanced immigration policies that support innovation and growth in the U.S. technology and fintech sectors.</w:t>
      </w:r>
    </w:p>
    <w:p>
      <w:pPr>
        <w:pStyle w:val="TextBody"/>
        <w:bidi w:val="0"/>
        <w:spacing w:before="200" w:after="283"/>
        <w:jc w:val="left"/>
        <w:rPr>
          <w:rFonts w:ascii="Arial" w:hAnsi="Arial"/>
          <w:color w:val="000000"/>
          <w:sz w:val="20"/>
        </w:rPr>
      </w:pPr>
      <w:r>
        <w:rPr>
          <w:rFonts w:ascii="Arial" w:hAnsi="Arial"/>
          <w:color w:val="000000"/>
          <w:sz w:val="20"/>
        </w:rPr>
        <w:t>Although these mitigation efforts may partially offset the impact, increased visa-related costs or restrictions could reduce our flexibility in hiring and allocating talent, increase our operating expenses, and slow the pace of product innovation - all of which could adversely affect our financial condition and results of operations.</w:t>
      </w:r>
    </w:p>
    <w:p>
      <w:pPr>
        <w:pStyle w:val="TextBody"/>
        <w:bidi w:val="0"/>
        <w:spacing w:before="200" w:after="283"/>
        <w:jc w:val="left"/>
        <w:rPr>
          <w:rFonts w:ascii="Arial" w:hAnsi="Arial"/>
          <w:b/>
          <w:i/>
          <w:color w:val="000000"/>
          <w:sz w:val="20"/>
        </w:rPr>
      </w:pPr>
      <w:r>
        <w:rPr>
          <w:rFonts w:ascii="Arial" w:hAnsi="Arial"/>
          <w:b/>
          <w:i/>
          <w:color w:val="000000"/>
          <w:sz w:val="20"/>
        </w:rPr>
        <w:t>Impacts Resulting From U.S. Government Policy Towards Higher Education</w:t>
      </w:r>
    </w:p>
    <w:p>
      <w:pPr>
        <w:pStyle w:val="TextBody"/>
        <w:bidi w:val="0"/>
        <w:spacing w:before="200" w:after="283"/>
        <w:jc w:val="left"/>
        <w:rPr>
          <w:rFonts w:ascii="Times New Roman" w:hAnsi="Times New Roman"/>
          <w:sz w:val="20"/>
        </w:rPr>
      </w:pPr>
      <w:r>
        <w:rPr>
          <w:rFonts w:ascii="Arial" w:hAnsi="Arial"/>
          <w:color w:val="000000"/>
          <w:sz w:val="20"/>
        </w:rPr>
        <w:t>In the U.S., the “One Big Beautiful Bill” contains a number of provisions with the potential to significantly change the landscape for financing undergraduate and graduate study and which could adversely affect the demand for higher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education in the U.S. The One Big Beautiful Bill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Although most of these changes will not go into effect until July 1, 2026, so U.S. students entering or returning to college in the fall of 2025 were unaffected, the longer-term impacts of the bill may impact U.S. student enrollment in undergraduate and postgraduate programs and could materially and adversely affect our revenue and results of operations.</w:t>
      </w:r>
    </w:p>
    <w:p>
      <w:pPr>
        <w:pStyle w:val="TextBody"/>
        <w:bidi w:val="0"/>
        <w:spacing w:before="200" w:after="283"/>
        <w:jc w:val="left"/>
        <w:rPr>
          <w:rFonts w:ascii="Arial" w:hAnsi="Arial"/>
          <w:color w:val="000000"/>
          <w:sz w:val="20"/>
        </w:rPr>
      </w:pPr>
      <w:r>
        <w:rPr>
          <w:rFonts w:ascii="Arial" w:hAnsi="Arial"/>
          <w:color w:val="000000"/>
          <w:sz w:val="20"/>
        </w:rPr>
        <w:t>In addition, in October 2025 the current administration introduced a proposed policy initiative known as the “Compact for Academic Excellence in Higher Education” (Compact), which would condition certain federal funding and grant eligibility for U.S. universities on compliance with a new set of policy standards. These standards reportedly include tuition caps, modifications to international student enrollment, changes to admissions criteria, and governance-related certifications. While the proposal remains under review and subject to public comment, its adoption - whether in its current or modified form - could materially affect the operating environment for higher-education institutions in the United States.</w:t>
      </w:r>
    </w:p>
    <w:p>
      <w:pPr>
        <w:pStyle w:val="TextBody"/>
        <w:bidi w:val="0"/>
        <w:spacing w:before="200" w:after="283"/>
        <w:jc w:val="left"/>
        <w:rPr>
          <w:rFonts w:ascii="Arial" w:hAnsi="Arial"/>
          <w:color w:val="000000"/>
          <w:sz w:val="20"/>
        </w:rPr>
      </w:pPr>
      <w:r>
        <w:rPr>
          <w:rFonts w:ascii="Arial" w:hAnsi="Arial"/>
          <w:color w:val="000000"/>
          <w:sz w:val="20"/>
        </w:rPr>
        <w:t>Many of our U.S. universities and colleges rely on federal funding for research, student aid, and institutional support. If the proposed Compact is implemented, universities may adjust enrollment levels, particularly of international students, or redirect administrative resources to compliance efforts. Such developments could reduce cross-border tuition payment volumes, delay new client implementations, or lead institutions to reevaluate third-party vendor relationships. These effects could, in turn, moderate revenue growth and increase client concentration risk within our education vertical.</w:t>
      </w:r>
    </w:p>
    <w:p>
      <w:pPr>
        <w:pStyle w:val="TextBody"/>
        <w:bidi w:val="0"/>
        <w:spacing w:before="200" w:after="283"/>
        <w:jc w:val="left"/>
        <w:rPr>
          <w:rFonts w:ascii="Arial" w:hAnsi="Arial"/>
          <w:color w:val="000000"/>
          <w:sz w:val="20"/>
        </w:rPr>
      </w:pPr>
      <w:r>
        <w:rPr>
          <w:rFonts w:ascii="Arial" w:hAnsi="Arial"/>
          <w:color w:val="000000"/>
          <w:sz w:val="20"/>
        </w:rPr>
        <w:t>At this stage, the potential financial impact of the Compact cannot be quantified, as the proposal has not yet been finalized or enacted. Management continues to monitor the policy’s development and is engaging with industry associations and higher-education partners to assess potential outcomes. To mitigate exposure, Flywire is taking several proactive steps,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Diversifying our education client base internationally to reduce reliance on U.S. higher-education volumes;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Expanding into adjacent services (e.g., housing payments, student refunds, and education-related B2B flows) to offset potential domestic revenue headwinds;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flexibility in pricing and support structures to accommodate clients undergoing funding or enrollment adjustments.</w:t>
      </w:r>
    </w:p>
    <w:p>
      <w:pPr>
        <w:pStyle w:val="TextBody"/>
        <w:bidi w:val="0"/>
        <w:spacing w:before="200" w:after="283"/>
        <w:jc w:val="left"/>
        <w:rPr>
          <w:rFonts w:ascii="Arial" w:hAnsi="Arial"/>
          <w:color w:val="000000"/>
          <w:sz w:val="20"/>
        </w:rPr>
      </w:pPr>
      <w:r>
        <w:rPr>
          <w:rFonts w:ascii="Arial" w:hAnsi="Arial"/>
          <w:color w:val="000000"/>
          <w:sz w:val="20"/>
        </w:rPr>
        <w:t>While the proposed compact may not be implemented in its current form and was rejected in its initial form by most of the approached universities, uncertainty surrounding federal higher-education policy in the U.S. may influence the timing of new client contracts and the pace of adoption of our technology platform.</w:t>
      </w:r>
    </w:p>
    <w:p>
      <w:pPr>
        <w:pStyle w:val="TextBody"/>
        <w:bidi w:val="0"/>
        <w:spacing w:before="200" w:after="283"/>
        <w:jc w:val="left"/>
        <w:rPr>
          <w:rFonts w:ascii="Arial" w:hAnsi="Arial"/>
          <w:b/>
          <w:i/>
          <w:color w:val="000000"/>
          <w:sz w:val="20"/>
        </w:rPr>
      </w:pPr>
      <w:r>
        <w:rPr>
          <w:rFonts w:ascii="Arial" w:hAnsi="Arial"/>
          <w:b/>
          <w:i/>
          <w:color w:val="000000"/>
          <w:sz w:val="20"/>
        </w:rPr>
        <w:t>Diversified Mix of Clients</w:t>
      </w:r>
    </w:p>
    <w:p>
      <w:pPr>
        <w:pStyle w:val="TextBody"/>
        <w:bidi w:val="0"/>
        <w:spacing w:before="200" w:after="283"/>
        <w:jc w:val="left"/>
        <w:rPr>
          <w:rFonts w:ascii="Arial" w:hAnsi="Arial"/>
          <w:color w:val="000000"/>
          <w:sz w:val="20"/>
        </w:rPr>
      </w:pPr>
      <w:r>
        <w:rPr>
          <w:rFonts w:ascii="Arial" w:hAnsi="Arial"/>
          <w:color w:val="000000"/>
          <w:sz w:val="20"/>
        </w:rPr>
        <w:t>We have a wide range of clients across our education, healthcare, travel, and B2B verticals. Volumes and revenue from clients in education, our largest vertical, rely on international enrollments and student school preferences, which can fluctuate over time.</w:t>
      </w:r>
    </w:p>
    <w:p>
      <w:pPr>
        <w:pStyle w:val="TextBody"/>
        <w:bidi w:val="0"/>
        <w:spacing w:before="200" w:after="283"/>
        <w:jc w:val="left"/>
        <w:rPr>
          <w:rFonts w:ascii="Arial" w:hAnsi="Arial"/>
          <w:b/>
          <w:i/>
          <w:color w:val="000000"/>
          <w:sz w:val="20"/>
        </w:rPr>
      </w:pPr>
      <w:r>
        <w:rPr>
          <w:rFonts w:ascii="Arial" w:hAnsi="Arial"/>
          <w:b/>
          <w:i/>
          <w:color w:val="000000"/>
          <w:sz w:val="20"/>
        </w:rPr>
        <w:t>Dynamic Changes to Client Communication and Product Solutions</w:t>
      </w:r>
    </w:p>
    <w:p>
      <w:pPr>
        <w:pStyle w:val="TextBody"/>
        <w:bidi w:val="0"/>
        <w:spacing w:before="200" w:after="283"/>
        <w:jc w:val="left"/>
        <w:rPr>
          <w:rFonts w:ascii="Arial" w:hAnsi="Arial"/>
          <w:color w:val="000000"/>
          <w:sz w:val="20"/>
        </w:rPr>
      </w:pPr>
      <w:r>
        <w:rPr>
          <w:rFonts w:ascii="Arial" w:hAnsi="Arial"/>
          <w:color w:val="000000"/>
          <w:sz w:val="20"/>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pStyle w:val="TextBody"/>
        <w:bidi w:val="0"/>
        <w:spacing w:before="200" w:after="283"/>
        <w:jc w:val="left"/>
        <w:rPr>
          <w:rFonts w:ascii="Arial" w:hAnsi="Arial"/>
          <w:b/>
          <w:i/>
          <w:color w:val="000000"/>
          <w:sz w:val="20"/>
        </w:rPr>
      </w:pPr>
      <w:r>
        <w:rPr>
          <w:rFonts w:ascii="Arial" w:hAnsi="Arial"/>
          <w:b/>
          <w:i/>
          <w:color w:val="000000"/>
          <w:sz w:val="20"/>
        </w:rPr>
        <w:t>Business Continuity</w:t>
      </w:r>
    </w:p>
    <w:p>
      <w:pPr>
        <w:pStyle w:val="TextBody"/>
        <w:bidi w:val="0"/>
        <w:spacing w:before="200" w:after="283"/>
        <w:jc w:val="left"/>
        <w:rPr>
          <w:rFonts w:ascii="Times New Roman" w:hAnsi="Times New Roman"/>
          <w:sz w:val="20"/>
        </w:rPr>
      </w:pPr>
      <w:r>
        <w:rPr>
          <w:rFonts w:ascii="Arial" w:hAnsi="Arial"/>
          <w:color w:val="000000"/>
          <w:sz w:val="20"/>
        </w:rPr>
        <w:t>We have a history of operating losses and while we have experienced significant revenue growth in recent years and achieved profitability on a GAAP basis in the years ended December 31, 2024 and 2025, we are not certain whether or when we will obtain a high enough volume of revenue to sustain or increase our growth or achieve or maintain profitability in the future. We also expect our costs and expenses to increase in future periods, which could negatively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affect our future operating results if our revenue does not increase. In particular, we intend to continue to strategically invest in headcount and technologies and systems to improve operating efficiencies, to further develop and enhance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In addition, we are expanding our payment processing capabilities to offer a more comprehensive solution to our clients. While this new capability is expected to be a source of future growth, it is characterized by a lower gross margin profile. We are addressing operating losses by making continued improvements designed to create operating efficiencies and a focus on cost discipline, including investing in automation and product development to further enhance our offerings with a focus on scale and productivity across all areas. Beginning in the first quarter of 2025 and continuing into the second quarter of 2025, we implemented a restructuring plan designed to improve operational efficiencies, reduce operating costs and better align our workforce with current business needs, top strategic priorities, and key growth opportunities. We believe these improvements, our strong product portfolio, client retention and established product market fit along with strong gross margins and cash flows from operations will help us achieve our goal of maintaining positive annual GAAP net income in the future. As of the date of this report, we expect that our clients’ business and our business will continue to be adversely impacted, directly or indirectly, by the ongoing macroeconomic and geopolitical issues. However, the extent of the ongoing impact of these macroeconomic events on our and our clients’ business, our markets and on global economic activity, is uncertain and the related financial impact cannot be reasonably estimated with any certainty at this time.</w:t>
      </w:r>
    </w:p>
    <w:p>
      <w:pPr>
        <w:pStyle w:val="TextBody"/>
        <w:bidi w:val="0"/>
        <w:spacing w:before="200" w:after="283"/>
        <w:jc w:val="left"/>
        <w:rPr>
          <w:rFonts w:ascii="Arial" w:hAnsi="Arial"/>
          <w:color w:val="000000"/>
          <w:sz w:val="20"/>
        </w:rPr>
      </w:pPr>
      <w:r>
        <w:rPr>
          <w:rFonts w:ascii="Arial" w:hAnsi="Arial"/>
          <w:color w:val="000000"/>
          <w:sz w:val="20"/>
        </w:rPr>
        <w:t>If the recent cessation of hostilities involving Israel and Hamas is permanent, workforce planning for our Israeli FlyMates may again normalize after a period of active workforce planning to implement safety measures for FlyMates in Israel and support the business without interruption.</w:t>
      </w:r>
    </w:p>
    <w:p>
      <w:pPr>
        <w:pStyle w:val="TextBody"/>
        <w:bidi w:val="0"/>
        <w:spacing w:before="200" w:after="283"/>
        <w:jc w:val="left"/>
        <w:rPr>
          <w:rFonts w:ascii="Arial" w:hAnsi="Arial"/>
          <w:b/>
          <w:color w:val="000000"/>
          <w:sz w:val="20"/>
        </w:rPr>
      </w:pPr>
      <w:r>
        <w:rPr>
          <w:rFonts w:ascii="Arial" w:hAnsi="Arial"/>
          <w:b/>
          <w:color w:val="000000"/>
          <w:sz w:val="20"/>
        </w:rPr>
        <w:t>Components of Results of Operations</w:t>
      </w:r>
    </w:p>
    <w:p>
      <w:pPr>
        <w:pStyle w:val="TextBody"/>
        <w:bidi w:val="0"/>
        <w:spacing w:before="200" w:after="283"/>
        <w:jc w:val="left"/>
        <w:rPr>
          <w:rFonts w:ascii="Arial" w:hAnsi="Arial"/>
          <w:b/>
          <w:i/>
          <w:color w:val="000000"/>
          <w:sz w:val="20"/>
        </w:rPr>
      </w:pPr>
      <w:r>
        <w:rPr>
          <w:rFonts w:ascii="Arial" w:hAnsi="Arial"/>
          <w:b/>
          <w:i/>
          <w:color w:val="000000"/>
          <w:sz w:val="20"/>
        </w:rPr>
        <w:t>Revenue</w:t>
      </w:r>
    </w:p>
    <w:p>
      <w:pPr>
        <w:pStyle w:val="TextBody"/>
        <w:bidi w:val="0"/>
        <w:spacing w:before="200" w:after="283"/>
        <w:jc w:val="left"/>
        <w:rPr>
          <w:rFonts w:ascii="Times New Roman" w:hAnsi="Times New Roman"/>
          <w:sz w:val="20"/>
        </w:rPr>
      </w:pPr>
      <w:r>
        <w:rPr>
          <w:rFonts w:ascii="Arial" w:hAnsi="Arial"/>
          <w:color w:val="000000"/>
          <w:sz w:val="20"/>
        </w:rPr>
        <w:t>We generate revenue from transactions and platform and other fees as described above under “</w:t>
      </w:r>
      <w:r>
        <w:rPr>
          <w:rFonts w:ascii="Arial" w:hAnsi="Arial"/>
          <w:i/>
          <w:color w:val="000000"/>
          <w:sz w:val="20"/>
        </w:rPr>
        <w:t>Our Revenue Model</w:t>
      </w:r>
      <w:r>
        <w:rPr>
          <w:rFonts w:ascii="Times New Roman" w:hAnsi="Times New Roman"/>
          <w:color w:val="000000"/>
          <w:sz w:val="20"/>
        </w:rPr>
        <w:t>”</w:t>
      </w:r>
      <w:r>
        <w:rPr>
          <w:rFonts w:ascii="Arial" w:hAnsi="Arial"/>
          <w:color w:val="000000"/>
          <w:sz w:val="20"/>
        </w:rPr>
        <w:t>.</w:t>
      </w:r>
    </w:p>
    <w:p>
      <w:pPr>
        <w:pStyle w:val="TextBody"/>
        <w:bidi w:val="0"/>
        <w:spacing w:before="200" w:after="283"/>
        <w:jc w:val="left"/>
        <w:rPr>
          <w:rFonts w:ascii="Arial" w:hAnsi="Arial"/>
          <w:b/>
          <w:i/>
          <w:color w:val="000000"/>
          <w:sz w:val="20"/>
        </w:rPr>
      </w:pPr>
      <w:r>
        <w:rPr>
          <w:rFonts w:ascii="Arial" w:hAnsi="Arial"/>
          <w:b/>
          <w:i/>
          <w:color w:val="000000"/>
          <w:sz w:val="20"/>
        </w:rPr>
        <w:t>Payment Processing Services Costs</w:t>
      </w:r>
    </w:p>
    <w:p>
      <w:pPr>
        <w:pStyle w:val="TextBody"/>
        <w:bidi w:val="0"/>
        <w:spacing w:before="200" w:after="283"/>
        <w:jc w:val="left"/>
        <w:rPr>
          <w:rFonts w:ascii="Arial" w:hAnsi="Arial"/>
          <w:color w:val="000000"/>
          <w:sz w:val="20"/>
        </w:rPr>
      </w:pPr>
      <w:r>
        <w:rPr>
          <w:rFonts w:ascii="Arial" w:hAnsi="Arial"/>
          <w:color w:val="000000"/>
          <w:sz w:val="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pStyle w:val="TextBody"/>
        <w:bidi w:val="0"/>
        <w:spacing w:before="200" w:after="283"/>
        <w:jc w:val="left"/>
        <w:rPr>
          <w:rFonts w:ascii="Arial" w:hAnsi="Arial"/>
          <w:b/>
          <w:i/>
          <w:color w:val="000000"/>
          <w:sz w:val="20"/>
        </w:rPr>
      </w:pPr>
      <w:r>
        <w:rPr>
          <w:rFonts w:ascii="Arial" w:hAnsi="Arial"/>
          <w:b/>
          <w:i/>
          <w:color w:val="000000"/>
          <w:sz w:val="20"/>
        </w:rPr>
        <w:t>Technology and Development</w:t>
      </w:r>
    </w:p>
    <w:p>
      <w:pPr>
        <w:pStyle w:val="TextBody"/>
        <w:bidi w:val="0"/>
        <w:spacing w:before="200" w:after="283"/>
        <w:jc w:val="left"/>
        <w:rPr>
          <w:rFonts w:ascii="Arial" w:hAnsi="Arial"/>
          <w:color w:val="000000"/>
          <w:sz w:val="20"/>
        </w:rPr>
      </w:pPr>
      <w:r>
        <w:rPr>
          <w:rFonts w:ascii="Arial" w:hAnsi="Arial"/>
          <w:color w:val="000000"/>
          <w:sz w:val="20"/>
        </w:rPr>
        <w:t>Technology and development includes (i) costs incurred in connection with the development of our solution and the improvement of existing solutions, including the amortization of software and website development costs incurred in developing our solution, which are capitalized, and acquired developed technology, (ii) site operations and other infrastructure costs incurred, (iii) amortization related to capitalized cost to fulfill a contract, (iv) personnel-related expenses, including salaries, stock-based compensation and other expenses, (v) hardware and software engineering, consultant services, and other costs associated with our technology platform and products, (vi) research materials and facilities, and (vii) depreciation and maintenance expense.</w:t>
      </w:r>
    </w:p>
    <w:p>
      <w:pPr>
        <w:pStyle w:val="TextBody"/>
        <w:bidi w:val="0"/>
        <w:spacing w:before="200" w:after="283"/>
        <w:jc w:val="left"/>
        <w:rPr>
          <w:rFonts w:ascii="Arial" w:hAnsi="Arial"/>
          <w:color w:val="000000"/>
          <w:sz w:val="20"/>
        </w:rPr>
      </w:pPr>
      <w:r>
        <w:rPr>
          <w:rFonts w:ascii="Arial" w:hAnsi="Arial"/>
          <w:color w:val="000000"/>
          <w:sz w:val="20"/>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pStyle w:val="TextBody"/>
        <w:bidi w:val="0"/>
        <w:spacing w:before="12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Selling and Marketing</w:t>
      </w:r>
    </w:p>
    <w:p>
      <w:pPr>
        <w:pStyle w:val="TextBody"/>
        <w:bidi w:val="0"/>
        <w:spacing w:before="200" w:after="283"/>
        <w:jc w:val="left"/>
        <w:rPr>
          <w:rFonts w:ascii="Arial" w:hAnsi="Arial"/>
          <w:color w:val="000000"/>
          <w:sz w:val="20"/>
        </w:rPr>
      </w:pPr>
      <w:r>
        <w:rPr>
          <w:rFonts w:ascii="Arial" w:hAnsi="Arial"/>
          <w:color w:val="000000"/>
          <w:sz w:val="20"/>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pStyle w:val="TextBody"/>
        <w:bidi w:val="0"/>
        <w:spacing w:before="200" w:after="283"/>
        <w:jc w:val="left"/>
        <w:rPr>
          <w:rFonts w:ascii="Arial" w:hAnsi="Arial"/>
          <w:color w:val="000000"/>
          <w:sz w:val="20"/>
        </w:rPr>
      </w:pPr>
      <w:r>
        <w:rPr>
          <w:rFonts w:ascii="Arial" w:hAnsi="Arial"/>
          <w:color w:val="000000"/>
          <w:sz w:val="20"/>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pStyle w:val="TextBody"/>
        <w:bidi w:val="0"/>
        <w:spacing w:before="200" w:after="283"/>
        <w:jc w:val="left"/>
        <w:rPr>
          <w:rFonts w:ascii="Arial" w:hAnsi="Arial"/>
          <w:b/>
          <w:i/>
          <w:color w:val="000000"/>
          <w:sz w:val="20"/>
        </w:rPr>
      </w:pPr>
      <w:r>
        <w:rPr>
          <w:rFonts w:ascii="Arial" w:hAnsi="Arial"/>
          <w:b/>
          <w:i/>
          <w:color w:val="000000"/>
          <w:sz w:val="20"/>
        </w:rPr>
        <w:t>General and Administrative</w:t>
      </w:r>
    </w:p>
    <w:p>
      <w:pPr>
        <w:pStyle w:val="TextBody"/>
        <w:bidi w:val="0"/>
        <w:spacing w:before="200" w:after="283"/>
        <w:jc w:val="left"/>
        <w:rPr>
          <w:rFonts w:ascii="Arial" w:hAnsi="Arial"/>
          <w:color w:val="000000"/>
          <w:sz w:val="20"/>
        </w:rPr>
      </w:pPr>
      <w:r>
        <w:rPr>
          <w:rFonts w:ascii="Arial" w:hAnsi="Arial"/>
          <w:color w:val="000000"/>
          <w:sz w:val="20"/>
        </w:rPr>
        <w:t>General and administrative expenses consist of personnel-related expenses, including stock-based compensation expense for finance, risk management, legal and compliance, human resources, IT, and other administrative functions, costs incurred for external professional services, as well as rent and facility and insurance costs. We expect to incur additional general and administrative expenses as we continue to invest in our planned growth of our business, including certain costs incurred relating to our digital transformation initiative.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pStyle w:val="TextBody"/>
        <w:bidi w:val="0"/>
        <w:spacing w:before="200" w:after="283"/>
        <w:jc w:val="left"/>
        <w:rPr>
          <w:rFonts w:ascii="Arial" w:hAnsi="Arial"/>
          <w:b/>
          <w:i/>
          <w:color w:val="000000"/>
          <w:sz w:val="20"/>
        </w:rPr>
      </w:pPr>
      <w:r>
        <w:rPr>
          <w:rFonts w:ascii="Arial" w:hAnsi="Arial"/>
          <w:b/>
          <w:i/>
          <w:color w:val="000000"/>
          <w:sz w:val="20"/>
        </w:rPr>
        <w:t>Restructuring</w:t>
      </w:r>
    </w:p>
    <w:p>
      <w:pPr>
        <w:pStyle w:val="TextBody"/>
        <w:bidi w:val="0"/>
        <w:spacing w:before="200" w:after="283"/>
        <w:jc w:val="left"/>
        <w:rPr>
          <w:rFonts w:ascii="Arial" w:hAnsi="Arial"/>
          <w:color w:val="000000"/>
          <w:sz w:val="20"/>
        </w:rPr>
      </w:pPr>
      <w:r>
        <w:rPr>
          <w:rFonts w:ascii="Arial" w:hAnsi="Arial"/>
          <w:color w:val="000000"/>
          <w:sz w:val="20"/>
        </w:rPr>
        <w:t>In February 2025, we announced the Restructuring Plan that is designed to improve operational efficiencies, reduce operating costs and better align our workforce with current business needs, top strategic priorities and key growth opportunities. Restructuring expenses included restructuring and restructuring related expenses incurred as part of the Restructuring Plan announced in February 2025, related to employee transition, notice period, severance, employee benefits and facilitation costs.</w:t>
      </w:r>
    </w:p>
    <w:p>
      <w:pPr>
        <w:pStyle w:val="TextBody"/>
        <w:bidi w:val="0"/>
        <w:spacing w:before="200" w:after="283"/>
        <w:jc w:val="left"/>
        <w:rPr>
          <w:rFonts w:ascii="Arial" w:hAnsi="Arial"/>
          <w:b/>
          <w:i/>
          <w:color w:val="000000"/>
          <w:sz w:val="20"/>
        </w:rPr>
      </w:pPr>
      <w:r>
        <w:rPr>
          <w:rFonts w:ascii="Arial" w:hAnsi="Arial"/>
          <w:b/>
          <w:i/>
          <w:color w:val="000000"/>
          <w:sz w:val="20"/>
        </w:rPr>
        <w:t>Interest Expense</w:t>
      </w:r>
    </w:p>
    <w:p>
      <w:pPr>
        <w:pStyle w:val="TextBody"/>
        <w:bidi w:val="0"/>
        <w:spacing w:before="200" w:after="283"/>
        <w:jc w:val="left"/>
        <w:rPr>
          <w:rFonts w:ascii="Arial" w:hAnsi="Arial"/>
          <w:color w:val="000000"/>
          <w:sz w:val="20"/>
        </w:rPr>
      </w:pPr>
      <w:r>
        <w:rPr>
          <w:rFonts w:ascii="Arial" w:hAnsi="Arial"/>
          <w:color w:val="000000"/>
          <w:sz w:val="20"/>
        </w:rPr>
        <w:t>On February 23, 2024, we entered into an Amended and Restated Credit Agreement for a five-year senior secured revolving credit syndication loan (2024 Revolving Credit Facility) with four banks for a total commitment of $125.0 million. On August 1, 2025, we entered into an amendment (the 2025 Revolving Credit Facility Amendment) to the 2024 Revolving Credit Facility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The 2024 Revolving Credit Facility replaced the 2021 Revolving Credit Facility of $50.0 million, which was entered into in July 2021, under which $50.0 million was available to Flywire as of December 31, 2023.</w:t>
      </w:r>
    </w:p>
    <w:p>
      <w:pPr>
        <w:pStyle w:val="TextBody"/>
        <w:bidi w:val="0"/>
        <w:spacing w:before="200" w:after="283"/>
        <w:jc w:val="left"/>
        <w:rPr>
          <w:rFonts w:ascii="Arial" w:hAnsi="Arial"/>
          <w:color w:val="000000"/>
          <w:sz w:val="20"/>
        </w:rPr>
      </w:pPr>
      <w:r>
        <w:rPr>
          <w:rFonts w:ascii="Arial" w:hAnsi="Arial"/>
          <w:color w:val="000000"/>
          <w:sz w:val="20"/>
        </w:rPr>
        <w:t>Interest expense consists of interest, amortization of debt issuance costs, and unused commitment fees on our 2024 Amended Revolving Credit Facility and our former 2021 Revolving Credit Facility. As of December 31, 2025 and 2024, there was no outstanding indebtedness under the 2024 Amended Revolving Credit Facility and 2024 Revolving Credit Facility, respectively.</w:t>
      </w:r>
    </w:p>
    <w:p>
      <w:pPr>
        <w:pStyle w:val="TextBody"/>
        <w:bidi w:val="0"/>
        <w:spacing w:before="200" w:after="283"/>
        <w:jc w:val="left"/>
        <w:rPr>
          <w:rFonts w:ascii="Arial" w:hAnsi="Arial"/>
          <w:b/>
          <w:i/>
          <w:color w:val="000000"/>
          <w:sz w:val="20"/>
        </w:rPr>
      </w:pPr>
      <w:r>
        <w:rPr>
          <w:rFonts w:ascii="Arial" w:hAnsi="Arial"/>
          <w:b/>
          <w:i/>
          <w:color w:val="000000"/>
          <w:sz w:val="20"/>
        </w:rPr>
        <w:t>Interest Income</w:t>
      </w:r>
    </w:p>
    <w:p>
      <w:pPr>
        <w:pStyle w:val="TextBody"/>
        <w:bidi w:val="0"/>
        <w:spacing w:before="200" w:after="283"/>
        <w:jc w:val="left"/>
        <w:rPr>
          <w:rFonts w:ascii="Arial" w:hAnsi="Arial"/>
          <w:color w:val="000000"/>
          <w:sz w:val="20"/>
        </w:rPr>
      </w:pPr>
      <w:r>
        <w:rPr>
          <w:rFonts w:ascii="Arial" w:hAnsi="Arial"/>
          <w:color w:val="000000"/>
          <w:sz w:val="20"/>
        </w:rPr>
        <w:t>Interest income consists of interest on cash held in interest bearing operating accounts, including money market funds and investments in available-for-sale debt securities.</w:t>
      </w:r>
    </w:p>
    <w:p>
      <w:pPr>
        <w:pStyle w:val="TextBody"/>
        <w:bidi w:val="0"/>
        <w:spacing w:before="200" w:after="283"/>
        <w:jc w:val="left"/>
        <w:rPr>
          <w:rFonts w:ascii="Arial" w:hAnsi="Arial"/>
          <w:b/>
          <w:i/>
          <w:color w:val="000000"/>
          <w:sz w:val="20"/>
        </w:rPr>
      </w:pPr>
      <w:r>
        <w:rPr>
          <w:rFonts w:ascii="Arial" w:hAnsi="Arial"/>
          <w:b/>
          <w:i/>
          <w:color w:val="000000"/>
          <w:sz w:val="20"/>
        </w:rPr>
        <w:t>Gain (Loss) from Remeasurement of Foreign Currency</w:t>
      </w:r>
    </w:p>
    <w:p>
      <w:pPr>
        <w:pStyle w:val="TextBody"/>
        <w:bidi w:val="0"/>
        <w:spacing w:before="200" w:after="283"/>
        <w:jc w:val="left"/>
        <w:rPr>
          <w:rFonts w:ascii="Arial" w:hAnsi="Arial"/>
          <w:color w:val="000000"/>
          <w:sz w:val="20"/>
        </w:rPr>
      </w:pPr>
      <w:r>
        <w:rPr>
          <w:rFonts w:ascii="Arial" w:hAnsi="Arial"/>
          <w:color w:val="000000"/>
          <w:sz w:val="20"/>
        </w:rPr>
        <w:t>Gain (loss) from remeasurement of foreign currency consists of realized and unrealized gains and losses from the remeasurement of foreign currency transactions into its functional currency, partially offset by foreign currency exchange forward contracts to hedge our foreign currency exposure.</w:t>
      </w:r>
    </w:p>
    <w:p>
      <w:pPr>
        <w:pStyle w:val="TextBody"/>
        <w:bidi w:val="0"/>
        <w:spacing w:before="12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Provision for (Benefit from) Income Taxes</w:t>
      </w:r>
    </w:p>
    <w:p>
      <w:pPr>
        <w:pStyle w:val="TextBody"/>
        <w:bidi w:val="0"/>
        <w:spacing w:before="200" w:after="283"/>
        <w:jc w:val="left"/>
        <w:rPr>
          <w:rFonts w:ascii="Arial" w:hAnsi="Arial"/>
          <w:color w:val="000000"/>
          <w:sz w:val="20"/>
        </w:rPr>
      </w:pPr>
      <w:r>
        <w:rPr>
          <w:rFonts w:ascii="Arial" w:hAnsi="Arial"/>
          <w:color w:val="000000"/>
          <w:sz w:val="20"/>
        </w:rPr>
        <w:t>Provision for (benefit from) income taxes in 2025 and 2024 was primarily driven by foreign and state income taxes and the release of U.S. and foreign valuation allowances, respectively. We have historically generated net operating losses (NOL) carryforwards for U.S. Federal and state tax purposes as we expand the scale of our business activities. Changes in the U.S. and foreign tax law may impact our overall provision for (benefit from) income taxes in the future.</w:t>
      </w:r>
    </w:p>
    <w:p>
      <w:pPr>
        <w:pStyle w:val="TextBody"/>
        <w:bidi w:val="0"/>
        <w:spacing w:before="200" w:after="283"/>
        <w:jc w:val="left"/>
        <w:rPr>
          <w:rFonts w:ascii="Arial" w:hAnsi="Arial"/>
          <w:color w:val="000000"/>
          <w:sz w:val="20"/>
        </w:rPr>
      </w:pPr>
      <w:r>
        <w:rPr>
          <w:rFonts w:ascii="Arial" w:hAnsi="Arial"/>
          <w:color w:val="000000"/>
          <w:sz w:val="20"/>
        </w:rPr>
        <w:t>We have a valuation allowance on our net U.S. deferred tax assets, including federal and state NOLs. We expect to maintain these valuation allowances until it becomes more likely than not that the benefit of our deferred tax assets are realized through future taxable income generated in these jurisdictions. We released our valuation allowance on our net deferred tax assets in the U.K. as of December 31, 2024.</w:t>
      </w:r>
    </w:p>
    <w:p>
      <w:pPr>
        <w:pStyle w:val="TextBody"/>
        <w:bidi w:val="0"/>
        <w:spacing w:before="200" w:after="283"/>
        <w:jc w:val="left"/>
        <w:rPr>
          <w:rFonts w:ascii="Arial" w:hAnsi="Arial"/>
          <w:b/>
          <w:color w:val="000000"/>
          <w:sz w:val="20"/>
        </w:rPr>
      </w:pPr>
      <w:r>
        <w:rPr>
          <w:rFonts w:ascii="Arial" w:hAnsi="Arial"/>
          <w:b/>
          <w:color w:val="000000"/>
          <w:sz w:val="20"/>
        </w:rPr>
        <w:t>Results of Operations</w:t>
      </w:r>
    </w:p>
    <w:p>
      <w:pPr>
        <w:pStyle w:val="TextBody"/>
        <w:bidi w:val="0"/>
        <w:spacing w:before="150" w:after="283"/>
        <w:jc w:val="left"/>
        <w:rPr>
          <w:rFonts w:ascii="Arial" w:hAnsi="Arial"/>
          <w:b/>
          <w:i/>
          <w:color w:val="000000"/>
          <w:sz w:val="20"/>
        </w:rPr>
      </w:pPr>
      <w:r>
        <w:rPr>
          <w:rFonts w:ascii="Arial" w:hAnsi="Arial"/>
          <w:b/>
          <w:i/>
          <w:color w:val="000000"/>
          <w:sz w:val="20"/>
        </w:rPr>
        <w:t>Comparison of results for the years ended December 31, 2025 and 2024</w:t>
      </w:r>
    </w:p>
    <w:p>
      <w:pPr>
        <w:pStyle w:val="TextBody"/>
        <w:bidi w:val="0"/>
        <w:spacing w:before="200" w:after="200"/>
        <w:jc w:val="left"/>
        <w:rPr>
          <w:rFonts w:ascii="Arial" w:hAnsi="Arial"/>
          <w:color w:val="000000"/>
          <w:sz w:val="20"/>
        </w:rPr>
      </w:pPr>
      <w:r>
        <w:rPr>
          <w:rFonts w:ascii="Arial" w:hAnsi="Arial"/>
          <w:color w:val="000000"/>
          <w:sz w:val="20"/>
        </w:rPr>
        <w:t>All dollar amounts in the tables below are rounded and as a result, certain amounts may not recalculate using the rounded amounts provided.</w:t>
      </w:r>
    </w:p>
    <w:p>
      <w:pPr>
        <w:pStyle w:val="TextBody"/>
        <w:bidi w:val="0"/>
        <w:spacing w:before="0" w:after="200"/>
        <w:jc w:val="left"/>
        <w:rPr>
          <w:rFonts w:ascii="Arial" w:hAnsi="Arial"/>
          <w:color w:val="000000"/>
          <w:sz w:val="20"/>
        </w:rPr>
      </w:pPr>
      <w:r>
        <w:rPr>
          <w:rFonts w:ascii="Arial" w:hAnsi="Arial"/>
          <w:color w:val="000000"/>
          <w:sz w:val="20"/>
        </w:rPr>
        <w:t>The following table sets forth our consolidated results of operations for periods presented:</w:t>
      </w:r>
    </w:p>
    <w:tbl>
      <w:tblPr>
        <w:tblW w:w="10205" w:type="dxa"/>
        <w:jc w:val="left"/>
        <w:tblInd w:w="0" w:type="dxa"/>
        <w:tblLayout w:type="fixed"/>
        <w:tblCellMar>
          <w:top w:w="28" w:type="dxa"/>
          <w:left w:w="28" w:type="dxa"/>
          <w:bottom w:w="28" w:type="dxa"/>
          <w:right w:w="28" w:type="dxa"/>
        </w:tblCellMar>
      </w:tblPr>
      <w:tblGrid>
        <w:gridCol w:w="5664"/>
        <w:gridCol w:w="146"/>
        <w:gridCol w:w="274"/>
        <w:gridCol w:w="742"/>
        <w:gridCol w:w="189"/>
        <w:gridCol w:w="274"/>
        <w:gridCol w:w="760"/>
        <w:gridCol w:w="146"/>
        <w:gridCol w:w="211"/>
        <w:gridCol w:w="583"/>
        <w:gridCol w:w="146"/>
        <w:gridCol w:w="1070"/>
      </w:tblGrid>
      <w:tr>
        <w:trPr/>
        <w:tc>
          <w:tcPr>
            <w:tcW w:w="5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5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26.6%</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Payment processing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35.4%</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5.4%</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21.3%</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7.7%</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254.8%</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(600.0)%</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(73.8)%</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(loss)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166.9%</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1026.3%</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890.0%</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365.5%</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230.6%</w:t>
            </w:r>
          </w:p>
        </w:tc>
      </w:tr>
      <w:tr>
        <w:trPr/>
        <w:tc>
          <w:tcPr>
            <w:tcW w:w="5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(losses) gains on available-for-sale debt securities,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r>
      <w:tr>
        <w:trPr/>
        <w:tc>
          <w:tcPr>
            <w:tcW w:w="5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3720.0%</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Revenue</w:t>
      </w:r>
    </w:p>
    <w:p>
      <w:pPr>
        <w:pStyle w:val="TextBody"/>
        <w:bidi w:val="0"/>
        <w:spacing w:before="0" w:after="200"/>
        <w:jc w:val="left"/>
        <w:rPr>
          <w:rFonts w:ascii="Arial" w:hAnsi="Arial"/>
          <w:color w:val="000000"/>
          <w:sz w:val="20"/>
        </w:rPr>
      </w:pPr>
      <w:r>
        <w:rPr>
          <w:rFonts w:ascii="Arial" w:hAnsi="Arial"/>
          <w:color w:val="000000"/>
          <w:sz w:val="20"/>
        </w:rPr>
        <w:t>Revenue was $623.0 million for the year ended December 31, 2025, compared to $492.1 million for the year ended December 31, 2024, an increase of $130.9 million or 26.6%. Revenue is comprised of transaction revenue and platform and other revenues as follows:</w:t>
      </w:r>
    </w:p>
    <w:tbl>
      <w:tblPr>
        <w:tblW w:w="6814" w:type="dxa"/>
        <w:jc w:val="left"/>
        <w:tblInd w:w="0" w:type="dxa"/>
        <w:tblLayout w:type="fixed"/>
        <w:tblCellMar>
          <w:top w:w="28" w:type="dxa"/>
          <w:left w:w="28" w:type="dxa"/>
          <w:bottom w:w="28" w:type="dxa"/>
          <w:right w:w="28" w:type="dxa"/>
        </w:tblCellMar>
      </w:tblPr>
      <w:tblGrid>
        <w:gridCol w:w="2431"/>
        <w:gridCol w:w="146"/>
        <w:gridCol w:w="288"/>
        <w:gridCol w:w="781"/>
        <w:gridCol w:w="199"/>
        <w:gridCol w:w="288"/>
        <w:gridCol w:w="781"/>
        <w:gridCol w:w="146"/>
        <w:gridCol w:w="211"/>
        <w:gridCol w:w="571"/>
        <w:gridCol w:w="146"/>
        <w:gridCol w:w="82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Transaction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Platform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r>
    </w:tbl>
    <w:p>
      <w:pPr>
        <w:pStyle w:val="TextBody"/>
        <w:bidi w:val="0"/>
        <w:spacing w:before="200" w:after="283"/>
        <w:jc w:val="left"/>
        <w:rPr>
          <w:rFonts w:ascii="Arial" w:hAnsi="Arial"/>
          <w:color w:val="000000"/>
          <w:sz w:val="20"/>
        </w:rPr>
      </w:pPr>
      <w:r>
        <w:rPr>
          <w:rFonts w:ascii="Arial" w:hAnsi="Arial"/>
          <w:color w:val="000000"/>
          <w:sz w:val="20"/>
        </w:rPr>
        <w:t>Transaction revenue was $502.7 million for the year ended December 31, 2025, compared to $410.2 million for the year ended December 31, 2024, an increase of $92.4 million or 22.5%. The increase in transaction revenue was primarily driven by growth in transaction payment volumes inclusive of the Sertifi acquisition for the year ended December 31, 2025 from both our existing clients and new clients added during the year ended December 31, 2025, compared to the year ended December 31, 2024. Our transaction payment volume outpaced our revenue growth during the year ended December 31, 2025, primarily due to the increase in domestic transactions that have a lower average monetization rate. We experienced strong growth in transaction payment volume across most regions and verticals during the period, excluding Canada, which decreased primarily due to Canada’s international student permit applications cap introduced earlier in 2024. Transaction payment volume increased approximately 32.3% during the year ended December 31, 2025 to $30.7 million compared to $23.2 million during the year ended December 31, 2024.</w:t>
      </w:r>
    </w:p>
    <w:p>
      <w:pPr>
        <w:pStyle w:val="TextBody"/>
        <w:bidi w:val="0"/>
        <w:spacing w:before="200" w:after="283"/>
        <w:jc w:val="left"/>
        <w:rPr>
          <w:rFonts w:ascii="Arial" w:hAnsi="Arial"/>
          <w:color w:val="000000"/>
          <w:sz w:val="20"/>
        </w:rPr>
      </w:pPr>
      <w:r>
        <w:rPr>
          <w:rFonts w:ascii="Arial" w:hAnsi="Arial"/>
          <w:color w:val="000000"/>
          <w:sz w:val="20"/>
        </w:rPr>
        <w:t>Platform and other revenues was $120.4 million for the year ended December 31, 2025, compared to $81.9 million for the year ended December 31, 2024, an increase of $38.5 million or 47.0%. The increase in platform and other revenues was primarily driven by the Sertifi and Invoiced acquisitions, an increase in healthcare platform products, and revenue from interest earned on funds held for customers in interest-bearing accounts.</w:t>
      </w:r>
    </w:p>
    <w:p>
      <w:pPr>
        <w:pStyle w:val="TextBody"/>
        <w:bidi w:val="0"/>
        <w:jc w:val="left"/>
        <w:rPr>
          <w:rFonts w:ascii="Arial" w:hAnsi="Arial"/>
          <w:i/>
          <w:color w:val="000000"/>
          <w:sz w:val="20"/>
        </w:rPr>
      </w:pPr>
      <w:r>
        <w:rPr>
          <w:rFonts w:ascii="Arial" w:hAnsi="Arial"/>
          <w:i/>
          <w:color w:val="000000"/>
          <w:sz w:val="20"/>
        </w:rPr>
        <w:t>Payment Processing Services Costs</w:t>
      </w:r>
    </w:p>
    <w:p>
      <w:pPr>
        <w:pStyle w:val="TextBody"/>
        <w:bidi w:val="0"/>
        <w:spacing w:before="200" w:after="283"/>
        <w:jc w:val="left"/>
        <w:rPr>
          <w:rFonts w:ascii="Arial" w:hAnsi="Arial"/>
          <w:color w:val="000000"/>
          <w:sz w:val="20"/>
        </w:rPr>
      </w:pPr>
      <w:r>
        <w:rPr>
          <w:rFonts w:ascii="Arial" w:hAnsi="Arial"/>
          <w:color w:val="000000"/>
          <w:sz w:val="20"/>
        </w:rPr>
        <w:t>Payment processing services costs were $240.4 million for the year ended December 31, 2025, compared to $177.5 million for the year ended December 31, 2024, an increase of $62.9 million or 35.4%. The increase in payment processing services costs is correlated with the increase in total payment volume of approximately 26.4% over the same period. Our payment processing costs outpaced our total payment volume primarily due to our growing share of domestic transactions and credit card usage as well as our expanded payment processing capabilities that all have higher costs than other payment methods or payment solutions, respectively.</w:t>
      </w:r>
    </w:p>
    <w:p>
      <w:pPr>
        <w:pStyle w:val="TextBody"/>
        <w:bidi w:val="0"/>
        <w:spacing w:before="200" w:after="283"/>
        <w:jc w:val="left"/>
        <w:rPr>
          <w:rFonts w:ascii="Arial" w:hAnsi="Arial"/>
          <w:i/>
          <w:color w:val="000000"/>
          <w:sz w:val="20"/>
        </w:rPr>
      </w:pPr>
      <w:r>
        <w:rPr>
          <w:rFonts w:ascii="Arial" w:hAnsi="Arial"/>
          <w:i/>
          <w:color w:val="000000"/>
          <w:sz w:val="20"/>
        </w:rPr>
        <w:t>Technology and Development</w:t>
      </w:r>
    </w:p>
    <w:p>
      <w:pPr>
        <w:pStyle w:val="TextBody"/>
        <w:bidi w:val="0"/>
        <w:spacing w:before="200" w:after="283"/>
        <w:jc w:val="left"/>
        <w:rPr>
          <w:rFonts w:ascii="Arial" w:hAnsi="Arial"/>
          <w:color w:val="000000"/>
          <w:sz w:val="20"/>
        </w:rPr>
      </w:pPr>
      <w:r>
        <w:rPr>
          <w:rFonts w:ascii="Arial" w:hAnsi="Arial"/>
          <w:color w:val="000000"/>
          <w:sz w:val="20"/>
        </w:rPr>
        <w:t>Technology and development expenses were $70.2 million for the year ended December 31, 2025, compared to $66.6 million for the year ended December 31, 2024, an increase of $3.6 million or 5.4%. The increase in technology and development cost was primarily driven by an increase in personnel costs and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Personnel costs were $43.7 million for the year ended December 31, 2025, compared to $42.1 million for the year ended December 31, 2024, an increase of $1.6 million or 3.8%. The increase in personnel costs was primarily driven by higher headcount resulting from our recent acquisition of Sertifi.</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Stock-based compensation expense was $13.3 million for the year ended December 31, 2025, compared to $11.7 million for the year ended December 31, 2024, an increase of $1.7 million or 14.4%. The increase in stock-based compensation is attributable to an increase in equity grants awarded to existing and new FlyMates, including our new FlyMates from our recent acquisition of Sertifi.</w:t>
      </w:r>
    </w:p>
    <w:p>
      <w:pPr>
        <w:pStyle w:val="TextBody"/>
        <w:bidi w:val="0"/>
        <w:spacing w:before="200" w:after="283"/>
        <w:jc w:val="left"/>
        <w:rPr>
          <w:rFonts w:ascii="Arial" w:hAnsi="Arial"/>
          <w:i/>
          <w:color w:val="000000"/>
          <w:sz w:val="20"/>
        </w:rPr>
      </w:pPr>
      <w:r>
        <w:rPr>
          <w:rFonts w:ascii="Arial" w:hAnsi="Arial"/>
          <w:i/>
          <w:color w:val="000000"/>
          <w:sz w:val="20"/>
        </w:rPr>
        <w:t>Selling and Marketing</w:t>
      </w:r>
    </w:p>
    <w:p>
      <w:pPr>
        <w:pStyle w:val="TextBody"/>
        <w:bidi w:val="0"/>
        <w:spacing w:before="200" w:after="283"/>
        <w:jc w:val="left"/>
        <w:rPr>
          <w:rFonts w:ascii="Arial" w:hAnsi="Arial"/>
          <w:color w:val="000000"/>
          <w:sz w:val="20"/>
        </w:rPr>
      </w:pPr>
      <w:r>
        <w:rPr>
          <w:rFonts w:ascii="Arial" w:hAnsi="Arial"/>
          <w:color w:val="000000"/>
          <w:sz w:val="20"/>
        </w:rPr>
        <w:t>Selling and marketing expenses were $157.0 million for the year ended December 31, 2025, compared to $129.4 million for the year ended December 31, 2024, an increase of $27.6 million or 21.3%. The increase in selling and marketing expenses was primarily driven by an increase in depreciation and amortization expense, personnel costs, and professional fees.</w:t>
      </w:r>
    </w:p>
    <w:p>
      <w:pPr>
        <w:pStyle w:val="TextBody"/>
        <w:bidi w:val="0"/>
        <w:spacing w:before="12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Depreciation and amortization expense was $15.8 million for the year ended December 31, 2025, compared to $8.1 million for the year ended December 31, 2024, an increase of $7.7 million or 94.9%. The increase in depreciation and amortization expense was primarily due to amortization of acquired intangible assets related to the Sertifi and Invoiced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Personnel costs were $73.3 million for the year ended December 31, 2025, compared to $66.3 million for the year ended December 31, 2024, an increase of $6.9 million or 10.4%. The increase in personnel costs was primarily driven by higher headcount resulting from our recent acquisition of Sertifi.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Professional fees were $28.0 million during the year ended December 31, 2025, compared to $21.2 million for the year ended December 31, 2024, an increase of $6.8 million or 31.9%. The increase in professional fees was primarily due to increases in third party commissions from growth in payment volume.</w:t>
      </w:r>
    </w:p>
    <w:p>
      <w:pPr>
        <w:pStyle w:val="TextBody"/>
        <w:bidi w:val="0"/>
        <w:spacing w:before="200" w:after="283"/>
        <w:jc w:val="left"/>
        <w:rPr>
          <w:rFonts w:ascii="Arial" w:hAnsi="Arial"/>
          <w:i/>
          <w:color w:val="000000"/>
          <w:sz w:val="20"/>
        </w:rPr>
      </w:pPr>
      <w:r>
        <w:rPr>
          <w:rFonts w:ascii="Arial" w:hAnsi="Arial"/>
          <w:i/>
          <w:color w:val="000000"/>
          <w:sz w:val="20"/>
        </w:rPr>
        <w:t>General and Administrative</w:t>
      </w:r>
    </w:p>
    <w:p>
      <w:pPr>
        <w:pStyle w:val="TextBody"/>
        <w:bidi w:val="0"/>
        <w:spacing w:before="200" w:after="283"/>
        <w:jc w:val="left"/>
        <w:rPr>
          <w:rFonts w:ascii="Arial" w:hAnsi="Arial"/>
          <w:color w:val="000000"/>
          <w:sz w:val="20"/>
        </w:rPr>
      </w:pPr>
      <w:r>
        <w:rPr>
          <w:rFonts w:ascii="Arial" w:hAnsi="Arial"/>
          <w:color w:val="000000"/>
          <w:sz w:val="20"/>
        </w:rPr>
        <w:t>General and administrative expenses were $135.5 million for the year ended December 31, 2025, compared to $125.8 million for the year ended December 31, 2024, an increase of $9.7 million or 7.7%. The increase in general and administrative expenses was primarily driven by an increase in personnel costs, engineering tools, and acquisition costs, partially offset by a decrease in professional fees.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Personnel costs were $52.4 million for the year ended December 31, 2025, compared to $47.9 million for the year ended December 31, 2024, an increase of $4.5 million or 9.3%. The increase in personnel costs was primarily driven by an increase in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Engineering tools were $12.9 million for the year ended December 31, 2025, compared to $9.2 million for the year ended December 31, 2024, an increase of $3.7 million or 39.8%. The increase in engineering tools was primarily driven by increasing hosting fees.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Acquisition costs were $2.6 million for the year ended December 31, 2025, compared to $0.6 million for the year ended December 31, 2024, an increase of $1.9 million or 307.5%. The increase in acquisition costs were attributable to the Sertifi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Professional fees were $13.0 million for the year ended December 31, 2025, compared to $14.7 million for the year ended December 31, 2024, a decrease of $1.8 million or 11.9%. The decrease in professional fees was primarily driven by a decrease in external consultants.</w:t>
      </w:r>
    </w:p>
    <w:p>
      <w:pPr>
        <w:pStyle w:val="TextBody"/>
        <w:bidi w:val="0"/>
        <w:spacing w:before="200" w:after="283"/>
        <w:jc w:val="left"/>
        <w:rPr>
          <w:rFonts w:ascii="Arial" w:hAnsi="Arial"/>
          <w:i/>
          <w:color w:val="000000"/>
          <w:sz w:val="20"/>
        </w:rPr>
      </w:pPr>
      <w:r>
        <w:rPr>
          <w:rFonts w:ascii="Arial" w:hAnsi="Arial"/>
          <w:i/>
          <w:color w:val="000000"/>
          <w:sz w:val="20"/>
        </w:rPr>
        <w:t>Restructuring</w:t>
      </w:r>
    </w:p>
    <w:p>
      <w:pPr>
        <w:pStyle w:val="TextBody"/>
        <w:bidi w:val="0"/>
        <w:spacing w:before="200" w:after="200"/>
        <w:jc w:val="left"/>
        <w:rPr>
          <w:rFonts w:ascii="Arial" w:hAnsi="Arial"/>
          <w:color w:val="000000"/>
          <w:sz w:val="20"/>
        </w:rPr>
      </w:pPr>
      <w:r>
        <w:rPr>
          <w:rFonts w:ascii="Arial" w:hAnsi="Arial"/>
          <w:color w:val="000000"/>
          <w:sz w:val="20"/>
        </w:rPr>
        <w:t>Restructuring expenses were $8.7 million for the year ended December 31, 2025. There were no restructuring expenses during the year ended December 31, 2024. Restructuring expenses included restructuring and restructuring-related expenses incurred as part of the Restructuring Plan announced in February 2025, related primarily to severance payments, employee benefits, and facilitation costs of $6.3 million and $2.4 million of expense related to the acceleration of stock-based compensation for terminated employees.</w:t>
      </w:r>
    </w:p>
    <w:p>
      <w:pPr>
        <w:pStyle w:val="TextBody"/>
        <w:bidi w:val="0"/>
        <w:jc w:val="left"/>
        <w:rPr>
          <w:rFonts w:ascii="Arial" w:hAnsi="Arial"/>
          <w:i/>
          <w:color w:val="000000"/>
          <w:sz w:val="20"/>
        </w:rPr>
      </w:pPr>
      <w:r>
        <w:rPr>
          <w:rFonts w:ascii="Arial" w:hAnsi="Arial"/>
          <w:i/>
          <w:color w:val="000000"/>
          <w:sz w:val="20"/>
        </w:rPr>
        <w:t>Interest Expense</w:t>
      </w:r>
    </w:p>
    <w:p>
      <w:pPr>
        <w:pStyle w:val="TextBody"/>
        <w:bidi w:val="0"/>
        <w:spacing w:before="200" w:after="200"/>
        <w:jc w:val="left"/>
        <w:rPr>
          <w:rFonts w:ascii="Arial" w:hAnsi="Arial"/>
          <w:color w:val="000000"/>
          <w:sz w:val="20"/>
        </w:rPr>
      </w:pPr>
      <w:r>
        <w:rPr>
          <w:rFonts w:ascii="Arial" w:hAnsi="Arial"/>
          <w:color w:val="000000"/>
          <w:sz w:val="20"/>
        </w:rPr>
        <w:t>Interest expense was $3.5 million for the year ended December 31, 2025, compared to $0.5 million for the year ended December 31, 2024, an increase of $3.0 million or 600.0%. During the year ended December 31, 2025, we drew down $125.0 million and fully repaid our 2024 Amended Revolving Credit Facility. As of December 31, 2025 and 2024, there was no outstanding indebtedness under the 2024 Amended Revolving Credit Facility and 2024 Revolving Credit Facility, respectively. Interest expense consists primarily of interest expense, amortization of debt issuance costs and unused commitment fees related to our 2024 Amended Revolving Credit Facility and our former 2024 Revolving Credit Facility.</w:t>
      </w:r>
    </w:p>
    <w:p>
      <w:pPr>
        <w:pStyle w:val="TextBody"/>
        <w:bidi w:val="0"/>
        <w:jc w:val="left"/>
        <w:rPr>
          <w:rFonts w:ascii="Arial" w:hAnsi="Arial"/>
          <w:i/>
          <w:color w:val="000000"/>
          <w:sz w:val="20"/>
        </w:rPr>
      </w:pPr>
      <w:r>
        <w:rPr>
          <w:rFonts w:ascii="Arial" w:hAnsi="Arial"/>
          <w:i/>
          <w:color w:val="000000"/>
          <w:sz w:val="20"/>
        </w:rPr>
        <w:t>Interest Income</w:t>
      </w:r>
    </w:p>
    <w:p>
      <w:pPr>
        <w:pStyle w:val="TextBody"/>
        <w:bidi w:val="0"/>
        <w:spacing w:before="200" w:after="283"/>
        <w:jc w:val="left"/>
        <w:rPr>
          <w:rFonts w:ascii="Times New Roman" w:hAnsi="Times New Roman"/>
          <w:sz w:val="20"/>
        </w:rPr>
      </w:pPr>
      <w:r>
        <w:rPr>
          <w:rFonts w:ascii="Arial" w:hAnsi="Arial"/>
          <w:color w:val="000000"/>
          <w:sz w:val="20"/>
        </w:rPr>
        <w:t>Interest income was $5.6 million for the year ended December 31, 2025, compared to $21.4 million for the year ended December 31, 2024, a decrease of $15.8 million or 73.8%. The decrease in interest income was primarily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attributable to the decrease in our cash balance as a result of cash utilized on the Repurchase Program and the acquisition of Sertifi.</w:t>
      </w:r>
    </w:p>
    <w:p>
      <w:pPr>
        <w:pStyle w:val="TextBody"/>
        <w:bidi w:val="0"/>
        <w:spacing w:before="200" w:after="283"/>
        <w:jc w:val="left"/>
        <w:rPr>
          <w:rFonts w:ascii="Arial" w:hAnsi="Arial"/>
          <w:i/>
          <w:color w:val="000000"/>
          <w:sz w:val="20"/>
        </w:rPr>
      </w:pPr>
      <w:r>
        <w:rPr>
          <w:rFonts w:ascii="Arial" w:hAnsi="Arial"/>
          <w:i/>
          <w:color w:val="000000"/>
          <w:sz w:val="20"/>
        </w:rPr>
        <w:t>Gain (Loss) from Remeasurement of Foreign Currency</w:t>
      </w:r>
    </w:p>
    <w:p>
      <w:pPr>
        <w:pStyle w:val="TextBody"/>
        <w:bidi w:val="0"/>
        <w:spacing w:before="200" w:after="283"/>
        <w:jc w:val="left"/>
        <w:rPr>
          <w:rFonts w:ascii="Arial" w:hAnsi="Arial"/>
          <w:color w:val="000000"/>
          <w:sz w:val="20"/>
        </w:rPr>
      </w:pPr>
      <w:r>
        <w:rPr>
          <w:rFonts w:ascii="Arial" w:hAnsi="Arial"/>
          <w:color w:val="000000"/>
          <w:sz w:val="20"/>
        </w:rPr>
        <w:t>Gain from remeasurement of foreign currency was $7.9 million for the year ended December 31, 2025, compared to a loss of $11.8 million for the year ended December 31, 2024, an increase of $19.7 million or 166.9%. The increase was primarily the result of the remeasurement of foreign currency intercompany loans, net of related hedging instruments and the impact of fluctuations in exchange rates during respective remeasurement periods.</w:t>
      </w:r>
    </w:p>
    <w:p>
      <w:pPr>
        <w:pStyle w:val="TextBody"/>
        <w:bidi w:val="0"/>
        <w:spacing w:before="200" w:after="283"/>
        <w:jc w:val="left"/>
        <w:rPr>
          <w:rFonts w:ascii="Arial" w:hAnsi="Arial"/>
          <w:i/>
          <w:color w:val="000000"/>
          <w:sz w:val="20"/>
        </w:rPr>
      </w:pPr>
      <w:r>
        <w:rPr>
          <w:rFonts w:ascii="Arial" w:hAnsi="Arial"/>
          <w:i/>
          <w:color w:val="000000"/>
          <w:sz w:val="20"/>
        </w:rPr>
        <w:t>Gain on Available-for-Sale Debt Securities</w:t>
      </w:r>
    </w:p>
    <w:p>
      <w:pPr>
        <w:pStyle w:val="TextBody"/>
        <w:bidi w:val="0"/>
        <w:spacing w:before="200" w:after="283"/>
        <w:jc w:val="left"/>
        <w:rPr>
          <w:rFonts w:ascii="Arial" w:hAnsi="Arial"/>
          <w:color w:val="000000"/>
          <w:sz w:val="20"/>
        </w:rPr>
      </w:pPr>
      <w:r>
        <w:rPr>
          <w:rFonts w:ascii="Arial" w:hAnsi="Arial"/>
          <w:color w:val="000000"/>
          <w:sz w:val="20"/>
        </w:rPr>
        <w:t>Gain from sale of available-for-sale debt securities was $0.2 million for the year ended December 31, 2025, compared to no gain or loss, as there were no sales of available-for-sale debt security investments during the year ended December 31, 2024.</w:t>
      </w:r>
    </w:p>
    <w:p>
      <w:pPr>
        <w:pStyle w:val="TextBody"/>
        <w:bidi w:val="0"/>
        <w:spacing w:before="200" w:after="283"/>
        <w:jc w:val="left"/>
        <w:rPr>
          <w:rFonts w:ascii="Arial" w:hAnsi="Arial"/>
          <w:i/>
          <w:color w:val="000000"/>
          <w:sz w:val="20"/>
        </w:rPr>
      </w:pPr>
      <w:r>
        <w:rPr>
          <w:rFonts w:ascii="Arial" w:hAnsi="Arial"/>
          <w:i/>
          <w:color w:val="000000"/>
          <w:sz w:val="20"/>
        </w:rPr>
        <w:t>Provision for (Benefit from) Income Taxes</w:t>
      </w:r>
    </w:p>
    <w:p>
      <w:pPr>
        <w:pStyle w:val="TextBody"/>
        <w:bidi w:val="0"/>
        <w:spacing w:before="200" w:after="283"/>
        <w:jc w:val="left"/>
        <w:rPr>
          <w:rFonts w:ascii="Arial" w:hAnsi="Arial"/>
          <w:color w:val="000000"/>
          <w:sz w:val="20"/>
        </w:rPr>
      </w:pPr>
      <w:r>
        <w:rPr>
          <w:rFonts w:ascii="Arial" w:hAnsi="Arial"/>
          <w:color w:val="000000"/>
          <w:sz w:val="20"/>
        </w:rPr>
        <w:t>Provision for income taxes was $7.9 million during the year ended December 31, 2025, compared to a benefit from income taxes of $1.0 million during the year ended December 31, 2024, an increase of $8.9 million or 890%. The provision for income taxes for the year ended December 31, 2025, was primarily attributable to activity in our foreign subsidiaries and U.S. state taxes. The income tax benefit for the year ended December 31, 2024 was primarily attributable to a non-recurring benefit of $4.9 million relating to the release of a portion of our valuation allowance in the U.S. In assessing the realizability of its deferred tax assets, we considered whether it was more likely than not that some portion or all of the deferred tax assets would not be realized. The realization of deferred tax assets depends upon the generation of future taxable income. We have evaluated the positive and negative evidence bearing upon the realizability and determined that it is more likely than not that we will not realize the benefits of the deferred tax assets, and as a result, a valuation allowance has been established against federal, state and certain foreign deferred tax assets as of December 31, 2025 and 2024. The Company will continue to maintain a full valuation allowance on its deferred tax assets until there is sufficient evidence to support the reversal of all or some portion of this allowance. We believe that there is a reasonable possibility that within the next 12 months that sufficient positive evidence may become available to reach a conclusion that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we are able to actually achieve. Our effective tax rate was 37.0% for the year ended December 31, 2025, compared to (55.9)% for the year ended December 31, 2024.</w:t>
      </w:r>
    </w:p>
    <w:p>
      <w:pPr>
        <w:pStyle w:val="TextBody"/>
        <w:bidi w:val="0"/>
        <w:spacing w:before="200" w:after="283"/>
        <w:jc w:val="left"/>
        <w:rPr>
          <w:rFonts w:ascii="Times New Roman" w:hAnsi="Times New Roman"/>
          <w:sz w:val="20"/>
        </w:rPr>
      </w:pPr>
      <w:r>
        <w:rPr>
          <w:rFonts w:ascii="Arial" w:hAnsi="Arial"/>
          <w:b/>
          <w:color w:val="000000"/>
          <w:sz w:val="20"/>
        </w:rPr>
        <w:t>Key Operating Metrics and Non-GAAP Financial Measures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To supplement our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tbl>
      <w:tblPr>
        <w:tblW w:w="5336" w:type="dxa"/>
        <w:jc w:val="left"/>
        <w:tblInd w:w="0" w:type="dxa"/>
        <w:tblLayout w:type="fixed"/>
        <w:tblCellMar>
          <w:top w:w="28" w:type="dxa"/>
          <w:left w:w="28" w:type="dxa"/>
          <w:bottom w:w="28" w:type="dxa"/>
          <w:right w:w="28" w:type="dxa"/>
        </w:tblCellMar>
      </w:tblPr>
      <w:tblGrid>
        <w:gridCol w:w="2806"/>
        <w:gridCol w:w="146"/>
        <w:gridCol w:w="222"/>
        <w:gridCol w:w="870"/>
        <w:gridCol w:w="153"/>
        <w:gridCol w:w="222"/>
        <w:gridCol w:w="917"/>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Payment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37,554.1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29,715.3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603.1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474.2</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306.9</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312.8</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For the year ended December 31, 2025, transaction revenue and platform and other revenues represented 80.7% and 19.3% of our revenue, respectively. For the year ended December 31, 2025, transaction revenue and platform and other revenues represented 83.0% and 17.0% of our total revenue less ancillary services, respectively. For the year ended December 31, 2025, our total payment volume was approximately $37.6 billion, consisting of $30.7 billion of total payment volume from transactions included in transaction revenue and $6.8 billion of total payment volume from transactions included in platform and other revenues.</w:t>
      </w:r>
    </w:p>
    <w:p>
      <w:pPr>
        <w:pStyle w:val="TextBody"/>
        <w:bidi w:val="0"/>
        <w:spacing w:before="200" w:after="283"/>
        <w:jc w:val="left"/>
        <w:rPr>
          <w:rFonts w:ascii="Arial" w:hAnsi="Arial"/>
          <w:color w:val="000000"/>
          <w:sz w:val="20"/>
        </w:rPr>
      </w:pPr>
      <w:r>
        <w:rPr>
          <w:rFonts w:ascii="Arial" w:hAnsi="Arial"/>
          <w:color w:val="000000"/>
          <w:sz w:val="20"/>
        </w:rPr>
        <w:t>For the year ended December 31, 2024, transaction revenue and platform and other revenues represented 83.4% and 16.6% of our revenue, respectively. For the year ended December 31, 2024, transaction revenue and platform and other revenues represented 86.1% and 13.9% of our total revenue less ancillary services, respectively. For the year ended December 31, 2024, our total payment volume was approximately $29.7 billion, consisting of $23.2 billion of total payment volume from transactions included in transaction revenue and $6.5 billion of total payment volume from transactions included in platform and other revenues.</w:t>
      </w:r>
    </w:p>
    <w:p>
      <w:pPr>
        <w:pStyle w:val="TextBody"/>
        <w:bidi w:val="0"/>
        <w:spacing w:before="200" w:after="283"/>
        <w:jc w:val="left"/>
        <w:rPr>
          <w:rFonts w:ascii="Arial" w:hAnsi="Arial"/>
          <w:b/>
          <w:i/>
          <w:color w:val="000000"/>
          <w:sz w:val="20"/>
        </w:rPr>
      </w:pPr>
      <w:r>
        <w:rPr>
          <w:rFonts w:ascii="Arial" w:hAnsi="Arial"/>
          <w:b/>
          <w:i/>
          <w:color w:val="000000"/>
          <w:sz w:val="20"/>
        </w:rPr>
        <w:t>Revenue Less Ancillary Services, FX Neutral Revenue Less Ancillary Services, Adjusted Gross Profit, Adjusted Gross Margin, EBITDA, Adjusted EBITDA, Adjusted EBITDA Margin and Non-GAAP Operating Expenses</w:t>
      </w:r>
    </w:p>
    <w:p>
      <w:pPr>
        <w:pStyle w:val="TextBody"/>
        <w:bidi w:val="0"/>
        <w:spacing w:before="200" w:after="283"/>
        <w:jc w:val="left"/>
        <w:rPr>
          <w:rFonts w:ascii="Arial" w:hAnsi="Arial"/>
          <w:color w:val="000000"/>
          <w:sz w:val="20"/>
        </w:rPr>
      </w:pPr>
      <w:r>
        <w:rPr>
          <w:rFonts w:ascii="Arial" w:hAnsi="Arial"/>
          <w:color w:val="000000"/>
          <w:sz w:val="20"/>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limiting the usefulness of those measures for comparative purposes.</w:t>
      </w:r>
    </w:p>
    <w:p>
      <w:pPr>
        <w:pStyle w:val="TextBody"/>
        <w:bidi w:val="0"/>
        <w:spacing w:before="200" w:after="283"/>
        <w:jc w:val="left"/>
        <w:rPr>
          <w:rFonts w:ascii="Arial" w:hAnsi="Arial"/>
          <w:color w:val="000000"/>
          <w:sz w:val="20"/>
        </w:rPr>
      </w:pPr>
      <w:r>
        <w:rPr>
          <w:rFonts w:ascii="Arial" w:hAnsi="Arial"/>
          <w:color w:val="000000"/>
          <w:sz w:val="20"/>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Revenue Less Ancillary Services</w:t>
      </w:r>
      <w:r>
        <w:rPr>
          <w:color w:val="000000"/>
        </w:rPr>
        <w:t xml:space="preserve"> </w:t>
      </w:r>
      <w:r>
        <w:rPr>
          <w:rFonts w:ascii="Arial" w:hAnsi="Arial"/>
          <w:color w:val="000000"/>
          <w:sz w:val="20"/>
        </w:rPr>
        <w:t>-</w:t>
      </w:r>
      <w:r>
        <w:rPr>
          <w:color w:val="000000"/>
        </w:rPr>
        <w:t xml:space="preserve"> </w:t>
      </w:r>
      <w:r>
        <w:rPr>
          <w:rFonts w:ascii="Arial" w:hAnsi="Arial"/>
          <w:color w:val="000000"/>
          <w:sz w:val="20"/>
        </w:rPr>
        <w:t>represents our consolidated revenue in accordance with GAAP less (i) pass-through cost for printing and mailing services and (ii) marketing fees. We exclude these amounts to arrive at this supplemental non-GAAP financial measure as we view these services as ancillary to the primary services we provide to our clients.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FX Neutral Rev</w:t>
      </w:r>
      <w:r>
        <w:rPr>
          <w:rFonts w:ascii="Arial" w:hAnsi="Arial"/>
          <w:color w:val="000000"/>
          <w:sz w:val="20"/>
        </w:rPr>
        <w:t>enue Less Ancillary Services - represents Revenue Less Ancillary Services adjusted to show presentation on a FX Neutral basis. The FX Neutral information presented is calculated by translating current period results using prior period weighted average foreign currency exchange rates. We analyze FX Neutral Revenue Less Ancillary Services on an FX Neutral basis to provide a comparable framework for assessing how the business performed excluding the effect of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Adjusted Gross Profit and Adjusted Gross Margin</w:t>
      </w:r>
      <w:r>
        <w:rPr>
          <w:color w:val="000000"/>
        </w:rPr>
        <w:t xml:space="preserve"> </w:t>
      </w:r>
      <w:r>
        <w:rPr>
          <w:rFonts w:ascii="Arial" w:hAnsi="Arial"/>
          <w:color w:val="000000"/>
          <w:sz w:val="20"/>
        </w:rPr>
        <w:t>-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our payment processing-related services, which are the primary services we provide to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Adjusted EBITDA - EBITDA represents our consolidated net income (loss) in accordance with GAAP adjusted to exclude (i) interest expense, (ii) interest income, (iii) provision for (benefit from) income taxes, and (iv) depreciation and amortization.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(vi) employee retention costs, such as incentive compensation associated with acquisition activities, (vii) restructuring, and (viii) gain (loss) from investments. Management believes that the exclusion of these amounts to calculate Adjusted EBITDA provides useful measures for period-to-period comparisons of our business.</w:t>
      </w:r>
    </w:p>
    <w:p>
      <w:pPr>
        <w:pStyle w:val="TextBody"/>
        <w:bidi w:val="0"/>
        <w:spacing w:before="12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Adjusted EBITDA Margin - represents Adjusted EBITDA divided by Revenue Less Ancillary Services. Management</w:t>
        <w:br/>
        <w:t>believes this presentation supplements the GAAP presentation of gross margin with a useful measure of the gross</w:t>
        <w:br/>
        <w:t>margin of our payment-related services, which are the primary services we provide to our clients.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 xml:space="preserve">Non-GAAP Operating Expenses - </w:t>
      </w:r>
      <w:r>
        <w:rPr>
          <w:rFonts w:ascii="Arial" w:hAnsi="Arial"/>
          <w:color w:val="000000"/>
          <w:sz w:val="20"/>
        </w:rPr>
        <w:t>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w:t>
      </w:r>
    </w:p>
    <w:p>
      <w:pPr>
        <w:pStyle w:val="TextBody"/>
        <w:bidi w:val="0"/>
        <w:spacing w:before="200" w:after="283"/>
        <w:jc w:val="left"/>
        <w:rPr>
          <w:rFonts w:ascii="Arial" w:hAnsi="Arial"/>
          <w:color w:val="000000"/>
          <w:sz w:val="20"/>
        </w:rPr>
      </w:pPr>
      <w:r>
        <w:rPr>
          <w:rFonts w:ascii="Arial" w:hAnsi="Arial"/>
          <w:color w:val="000000"/>
          <w:sz w:val="20"/>
        </w:rPr>
        <w:t>These non-GAAP financial measures are not meant to be considered as indicators of performance in isolation from or as a substitute for revenue, gross profit, gross margin, operating expenses, or net income (loss) prepared in accordance with GAAP and should be read only in conjunction with financial information presented on a GAAP basis. Reconciliations of these non-GAAP financial measures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pStyle w:val="TextBody"/>
        <w:bidi w:val="0"/>
        <w:spacing w:before="200" w:after="283"/>
        <w:jc w:val="left"/>
        <w:rPr>
          <w:rFonts w:ascii="Arial" w:hAnsi="Arial"/>
          <w:b/>
          <w:i/>
          <w:color w:val="000000"/>
          <w:sz w:val="20"/>
        </w:rPr>
      </w:pPr>
      <w:r>
        <w:rPr>
          <w:rFonts w:ascii="Arial" w:hAnsi="Arial"/>
          <w:b/>
          <w:i/>
          <w:color w:val="000000"/>
          <w:sz w:val="20"/>
        </w:rPr>
        <w:t>Reconciliations of Non-GAAP Financial Measures</w:t>
      </w:r>
    </w:p>
    <w:p>
      <w:pPr>
        <w:pStyle w:val="TextBody"/>
        <w:bidi w:val="0"/>
        <w:spacing w:before="200" w:after="283"/>
        <w:jc w:val="left"/>
        <w:rPr>
          <w:rFonts w:ascii="Arial" w:hAnsi="Arial"/>
          <w:color w:val="000000"/>
          <w:sz w:val="20"/>
        </w:rPr>
      </w:pPr>
      <w:r>
        <w:rPr>
          <w:rFonts w:ascii="Arial" w:hAnsi="Arial"/>
          <w:color w:val="000000"/>
          <w:sz w:val="20"/>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and as a result, certain amounts may not recalculate using the rounded amounts provided.</w:t>
      </w:r>
    </w:p>
    <w:p>
      <w:pPr>
        <w:pStyle w:val="TextBody"/>
        <w:bidi w:val="0"/>
        <w:spacing w:before="200" w:after="200"/>
        <w:jc w:val="left"/>
        <w:rPr>
          <w:rFonts w:ascii="Arial" w:hAnsi="Arial"/>
          <w:i/>
          <w:color w:val="000000"/>
          <w:sz w:val="20"/>
        </w:rPr>
      </w:pPr>
      <w:r>
        <w:rPr>
          <w:rFonts w:ascii="Arial" w:hAnsi="Arial"/>
          <w:i/>
          <w:color w:val="000000"/>
          <w:sz w:val="20"/>
        </w:rPr>
        <w:t>Revenue Less Ancillary Services, Adjusted Gross Profit, and Adjusted Gross Margin:</w:t>
      </w:r>
    </w:p>
    <w:tbl>
      <w:tblPr>
        <w:tblW w:w="8936" w:type="dxa"/>
        <w:jc w:val="left"/>
        <w:tblInd w:w="0" w:type="dxa"/>
        <w:tblLayout w:type="fixed"/>
        <w:tblCellMar>
          <w:top w:w="28" w:type="dxa"/>
          <w:left w:w="28" w:type="dxa"/>
          <w:bottom w:w="28" w:type="dxa"/>
          <w:right w:w="28" w:type="dxa"/>
        </w:tblCellMar>
      </w:tblPr>
      <w:tblGrid>
        <w:gridCol w:w="6406"/>
        <w:gridCol w:w="146"/>
        <w:gridCol w:w="248"/>
        <w:gridCol w:w="741"/>
        <w:gridCol w:w="171"/>
        <w:gridCol w:w="248"/>
        <w:gridCol w:w="976"/>
      </w:tblGrid>
      <w:tr>
        <w:trPr/>
        <w:tc>
          <w:tcPr>
            <w:tcW w:w="6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6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(15.9)</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603.1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474.2</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processing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177.5</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Hosting and amortization costs within technology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185.2</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Exclude printing and mailing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(15.9)</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Offset marketing fees against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(2.0)</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Exclude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161.4</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306.9</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312.8</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Revenue Less Ancillary Services Disaggregated by Revenue Type</w:t>
      </w:r>
    </w:p>
    <w:tbl>
      <w:tblPr>
        <w:tblW w:w="8827" w:type="dxa"/>
        <w:jc w:val="left"/>
        <w:tblInd w:w="0" w:type="dxa"/>
        <w:tblLayout w:type="fixed"/>
        <w:tblCellMar>
          <w:top w:w="28" w:type="dxa"/>
          <w:left w:w="28" w:type="dxa"/>
          <w:bottom w:w="28" w:type="dxa"/>
          <w:right w:w="28" w:type="dxa"/>
        </w:tblCellMar>
      </w:tblPr>
      <w:tblGrid>
        <w:gridCol w:w="3991"/>
        <w:gridCol w:w="146"/>
        <w:gridCol w:w="283"/>
        <w:gridCol w:w="768"/>
        <w:gridCol w:w="146"/>
        <w:gridCol w:w="590"/>
        <w:gridCol w:w="1765"/>
        <w:gridCol w:w="146"/>
        <w:gridCol w:w="211"/>
        <w:gridCol w:w="78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2025</w:t>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Platform and other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Revenue</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603.1</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bl>
    <w:p>
      <w:pPr>
        <w:pStyle w:val="TextBody"/>
        <w:bidi w:val="0"/>
        <w:jc w:val="left"/>
        <w:rPr/>
      </w:pPr>
      <w:r>
        <w:rPr/>
        <w:t> </w:t>
      </w:r>
    </w:p>
    <w:tbl>
      <w:tblPr>
        <w:tblW w:w="8827" w:type="dxa"/>
        <w:jc w:val="left"/>
        <w:tblInd w:w="0" w:type="dxa"/>
        <w:tblLayout w:type="fixed"/>
        <w:tblCellMar>
          <w:top w:w="28" w:type="dxa"/>
          <w:left w:w="28" w:type="dxa"/>
          <w:bottom w:w="28" w:type="dxa"/>
          <w:right w:w="28" w:type="dxa"/>
        </w:tblCellMar>
      </w:tblPr>
      <w:tblGrid>
        <w:gridCol w:w="3991"/>
        <w:gridCol w:w="146"/>
        <w:gridCol w:w="283"/>
        <w:gridCol w:w="768"/>
        <w:gridCol w:w="146"/>
        <w:gridCol w:w="590"/>
        <w:gridCol w:w="1765"/>
        <w:gridCol w:w="146"/>
        <w:gridCol w:w="211"/>
        <w:gridCol w:w="78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2024</w:t>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Platform and other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Revenue</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474.2</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bl>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FX Neutral Revenue Less Ancillary Services:</w:t>
      </w:r>
    </w:p>
    <w:tbl>
      <w:tblPr>
        <w:tblW w:w="7492" w:type="dxa"/>
        <w:jc w:val="left"/>
        <w:tblInd w:w="0" w:type="dxa"/>
        <w:tblLayout w:type="fixed"/>
        <w:tblCellMar>
          <w:top w:w="28" w:type="dxa"/>
          <w:left w:w="28" w:type="dxa"/>
          <w:bottom w:w="28" w:type="dxa"/>
          <w:right w:w="28" w:type="dxa"/>
        </w:tblCellMar>
      </w:tblPr>
      <w:tblGrid>
        <w:gridCol w:w="3721"/>
        <w:gridCol w:w="146"/>
        <w:gridCol w:w="283"/>
        <w:gridCol w:w="788"/>
        <w:gridCol w:w="196"/>
        <w:gridCol w:w="283"/>
        <w:gridCol w:w="788"/>
        <w:gridCol w:w="146"/>
        <w:gridCol w:w="114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Ancillary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603.1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Effects of foreign currency rate fluctuations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FX Neutral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EBITDA, Adjusted EBITDA, and Adjusted EBITDA Margin:</w:t>
      </w:r>
    </w:p>
    <w:tbl>
      <w:tblPr>
        <w:tblW w:w="7075" w:type="dxa"/>
        <w:jc w:val="left"/>
        <w:tblInd w:w="0" w:type="dxa"/>
        <w:tblLayout w:type="fixed"/>
        <w:tblCellMar>
          <w:top w:w="28" w:type="dxa"/>
          <w:left w:w="28" w:type="dxa"/>
          <w:bottom w:w="28" w:type="dxa"/>
          <w:right w:w="28" w:type="dxa"/>
        </w:tblCellMar>
      </w:tblPr>
      <w:tblGrid>
        <w:gridCol w:w="4546"/>
        <w:gridCol w:w="146"/>
        <w:gridCol w:w="268"/>
        <w:gridCol w:w="802"/>
        <w:gridCol w:w="185"/>
        <w:gridCol w:w="268"/>
        <w:gridCol w:w="860"/>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65.8</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loss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Indirect taxes related to intercompany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Acquisition related transaction costs </w:t>
            </w:r>
            <w:r>
              <w:rPr>
                <w:rFonts w:ascii="Arial" w:hAnsi="Arial"/>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Acquisition related employee retention costs </w:t>
            </w:r>
            <w:r>
              <w:rPr>
                <w:rFonts w:ascii="Arial" w:hAnsi="Arial"/>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r>
    </w:tbl>
    <w:p>
      <w:pPr>
        <w:pStyle w:val="TextBody"/>
        <w:bidi w:val="0"/>
        <w:spacing w:before="0" w:after="60"/>
        <w:jc w:val="left"/>
        <w:rPr>
          <w:rFonts w:ascii="Times New Roman" w:hAnsi="Times New Roman"/>
          <w:sz w:val="20"/>
        </w:rPr>
      </w:pPr>
      <w:r>
        <w:rPr>
          <w:rFonts w:ascii="Arial" w:hAnsi="Arial"/>
          <w:color w:val="000000"/>
          <w:sz w:val="12"/>
        </w:rPr>
        <w:t>(a)</w:t>
      </w:r>
      <w:r>
        <w:rPr>
          <w:rFonts w:ascii="Times New Roman" w:hAnsi="Times New Roman"/>
          <w:color w:val="000000"/>
          <w:sz w:val="20"/>
        </w:rPr>
        <w:t xml:space="preserve"> </w:t>
      </w:r>
      <w:r>
        <w:rPr>
          <w:rFonts w:ascii="Arial" w:hAnsi="Arial"/>
          <w:color w:val="000000"/>
          <w:sz w:val="16"/>
        </w:rPr>
        <w:t>Acquisition-related transaction costs consisted of legal and advisory fees incurred in connection with the Sertifi and Invoiced acquisitions.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2"/>
        </w:rPr>
        <w:t xml:space="preserve">(b) </w:t>
      </w:r>
      <w:r>
        <w:rPr>
          <w:rFonts w:ascii="Arial" w:hAnsi="Arial"/>
          <w:color w:val="000000"/>
          <w:sz w:val="16"/>
        </w:rPr>
        <w:t>Acquisition-related employee retention costs consisted of costs incurred to retain and compensate Invoiced and StudyLink employees in connection with integration of the business.</w:t>
      </w:r>
    </w:p>
    <w:p>
      <w:pPr>
        <w:pStyle w:val="TextBody"/>
        <w:bidi w:val="0"/>
        <w:spacing w:before="200" w:after="200"/>
        <w:jc w:val="left"/>
        <w:rPr>
          <w:rFonts w:ascii="Arial" w:hAnsi="Arial"/>
          <w:i/>
          <w:color w:val="000000"/>
          <w:sz w:val="20"/>
        </w:rPr>
      </w:pPr>
      <w:r>
        <w:rPr>
          <w:rFonts w:ascii="Arial" w:hAnsi="Arial"/>
          <w:i/>
          <w:color w:val="000000"/>
          <w:sz w:val="20"/>
        </w:rPr>
        <w:t>Net Margin, EBITDA Margin, and Adjusted EBITDA Margin:</w:t>
      </w:r>
    </w:p>
    <w:tbl>
      <w:tblPr>
        <w:tblW w:w="5516" w:type="dxa"/>
        <w:jc w:val="left"/>
        <w:tblInd w:w="0" w:type="dxa"/>
        <w:tblLayout w:type="fixed"/>
        <w:tblCellMar>
          <w:top w:w="28" w:type="dxa"/>
          <w:left w:w="28" w:type="dxa"/>
          <w:bottom w:w="28" w:type="dxa"/>
          <w:right w:w="28" w:type="dxa"/>
        </w:tblCellMar>
      </w:tblPr>
      <w:tblGrid>
        <w:gridCol w:w="2986"/>
        <w:gridCol w:w="146"/>
        <w:gridCol w:w="266"/>
        <w:gridCol w:w="796"/>
        <w:gridCol w:w="184"/>
        <w:gridCol w:w="266"/>
        <w:gridCol w:w="872"/>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603.1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474.2</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margin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margin using RLAS (C/B)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 Margin (D/B)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 (E/B)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i/>
          <w:color w:val="000000"/>
          <w:sz w:val="20"/>
        </w:rPr>
      </w:pPr>
      <w:r>
        <w:rPr>
          <w:rFonts w:ascii="Arial" w:hAnsi="Arial"/>
          <w:i/>
          <w:color w:val="000000"/>
          <w:sz w:val="20"/>
        </w:rPr>
        <w:t>Reconciliation of GAAP Operating Expenses to Non-GAAP Operating Expenses:</w:t>
      </w:r>
    </w:p>
    <w:tbl>
      <w:tblPr>
        <w:tblW w:w="7500" w:type="dxa"/>
        <w:jc w:val="left"/>
        <w:tblInd w:w="0" w:type="dxa"/>
        <w:tblLayout w:type="fixed"/>
        <w:tblCellMar>
          <w:top w:w="28" w:type="dxa"/>
          <w:left w:w="28" w:type="dxa"/>
          <w:bottom w:w="28" w:type="dxa"/>
          <w:right w:w="28" w:type="dxa"/>
        </w:tblCellMar>
      </w:tblPr>
      <w:tblGrid>
        <w:gridCol w:w="4971"/>
        <w:gridCol w:w="146"/>
        <w:gridCol w:w="253"/>
        <w:gridCol w:w="704"/>
        <w:gridCol w:w="175"/>
        <w:gridCol w:w="253"/>
        <w:gridCol w:w="998"/>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4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66.6</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(11.8)</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129.4</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(18.3)</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(8.2)</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Acquisition related employee retention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121.0</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102.4</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125.8</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(35.7)</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(3.0)</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Acquisition related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(0.6)</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95.3</w:t>
            </w:r>
          </w:p>
        </w:tc>
        <w:tc>
          <w:tcPr>
            <w:tcW w:w="1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87.5</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As of December 31, 2025, our principal source of liquidity is cash and cash equivalents of $330.3 million, short-term available-for-sale debt securities of $24.7 million, and the available balance under our 2024 Amended Revolving Credit Facility of $300.0 million. Cash equivalents is comprised primarily of money market funds. Our short-term available-for-sale debt securities are comprised of corporate bonds and U.S. Government obligations.</w:t>
      </w:r>
    </w:p>
    <w:p>
      <w:pPr>
        <w:pStyle w:val="TextBody"/>
        <w:bidi w:val="0"/>
        <w:spacing w:before="200" w:after="283"/>
        <w:jc w:val="left"/>
        <w:rPr>
          <w:rFonts w:ascii="Times New Roman" w:hAnsi="Times New Roman"/>
          <w:sz w:val="20"/>
        </w:rPr>
      </w:pPr>
      <w:r>
        <w:rPr>
          <w:rFonts w:ascii="Arial" w:hAnsi="Arial"/>
          <w:color w:val="000000"/>
          <w:sz w:val="20"/>
        </w:rPr>
        <w:t xml:space="preserve">On August 6, 2024, we announced the Repurchase Program. On July 30, 2025, our board of directors approved an increase in the aggregate amount of voting and non-voting common stock outstanding that may be repurchased under the Repurchase Program by an additional $150.0 million, bringing the total authorized amount under the Repurchase Program to $300.0 million. For additional information on our Repurchase Program, see </w:t>
      </w:r>
      <w:r>
        <w:rPr>
          <w:rFonts w:ascii="Arial" w:hAnsi="Arial"/>
          <w:i/>
          <w:color w:val="000000"/>
          <w:sz w:val="20"/>
        </w:rPr>
        <w:t xml:space="preserve">Note 13 - Stockholders’ Equity </w:t>
      </w:r>
      <w:r>
        <w:rPr>
          <w:rFonts w:ascii="Arial" w:hAnsi="Arial"/>
          <w:color w:val="000000"/>
          <w:sz w:val="20"/>
        </w:rPr>
        <w:t>in our consolidated financial statements included elsewhere in this Annual Report on Form 10-K. During the year ended December 31, 2025, we repurchased 5,623,829 shares of our common stock for an aggregate amount of $72.9 million, including commissions and accrued excise tax, under the Repurchase Program. The repurchased shares are held as treasury stock. As of December 31, 2025, approximately $181.9 million of the authorized $300.0 million amount under the Repurchase Program remained available for future repurchases.</w:t>
      </w:r>
    </w:p>
    <w:p>
      <w:pPr>
        <w:pStyle w:val="TextBody"/>
        <w:bidi w:val="0"/>
        <w:spacing w:before="200" w:after="200"/>
        <w:jc w:val="left"/>
        <w:rPr>
          <w:rFonts w:ascii="Arial" w:hAnsi="Arial"/>
          <w:color w:val="000000"/>
          <w:sz w:val="20"/>
        </w:rPr>
      </w:pPr>
      <w:r>
        <w:rPr>
          <w:rFonts w:ascii="Arial" w:hAnsi="Arial"/>
          <w:color w:val="000000"/>
          <w:sz w:val="20"/>
        </w:rPr>
        <w:t>On February 23, 2024, we entered into our 2024 Revolving Credit Facility for a total commitment of $125.0 million, which replaced the 2021 Revolving Credit Facility of $50.0 million that was in effect as of December 31, 2023. On August 1, 2025, we entered into an amendment to the 2024 Revolving Credit Facility (2025 Revolving Credit Facility Amendment) with five banks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pStyle w:val="TextBody"/>
        <w:bidi w:val="0"/>
        <w:spacing w:before="0" w:after="200"/>
        <w:jc w:val="left"/>
        <w:rPr>
          <w:rFonts w:ascii="Arial" w:hAnsi="Arial"/>
          <w:color w:val="000000"/>
          <w:sz w:val="20"/>
        </w:rPr>
      </w:pPr>
      <w:r>
        <w:rPr>
          <w:rFonts w:ascii="Arial" w:hAnsi="Arial"/>
          <w:color w:val="000000"/>
          <w:sz w:val="20"/>
        </w:rPr>
        <w:t>During the year ended December 31, 2025, we drew down and fully repaid $125.0 million under the 2024 Amended Revolving Credit Facility in connection with the acquisition of Sertifi. There was no outstanding indebtedness under the 2024 Amended Revolving Credit Facility and 2024 Revolving Credit Facility as of December 31, 2025 and 2024, respectively.</w:t>
      </w:r>
    </w:p>
    <w:p>
      <w:pPr>
        <w:pStyle w:val="TextBody"/>
        <w:bidi w:val="0"/>
        <w:jc w:val="left"/>
        <w:rPr>
          <w:rFonts w:ascii="Times New Roman" w:hAnsi="Times New Roman"/>
          <w:sz w:val="20"/>
        </w:rPr>
      </w:pPr>
      <w:r>
        <w:rPr>
          <w:rFonts w:ascii="Arial" w:hAnsi="Arial"/>
          <w:color w:val="000000"/>
          <w:sz w:val="20"/>
        </w:rPr>
        <w:t>We believe that our existing cash will be sufficient to support our expected working capital needs and material cash requirements for at least the next 12 months from the issuance of these consolidated financial statements. Our future capital requirements will depend on many factors, including our revenue growth rate, the timing and the amount of cash received from clients, the expansion of sales and marketing activities, the timing and extent of spending to support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pStyle w:val="TextBody"/>
        <w:bidi w:val="0"/>
        <w:spacing w:before="200" w:after="283"/>
        <w:jc w:val="left"/>
        <w:rPr>
          <w:rFonts w:ascii="Times New Roman" w:hAnsi="Times New Roman"/>
          <w:sz w:val="20"/>
        </w:rPr>
      </w:pPr>
      <w:r>
        <w:rPr>
          <w:rFonts w:ascii="Arial" w:hAnsi="Arial"/>
          <w:b/>
          <w:i/>
          <w:color w:val="000000"/>
          <w:sz w:val="20"/>
        </w:rPr>
        <w:t>Contractual Obligations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 xml:space="preserve">Contractual obligations consist of operating leases that relate to real estate for our primary facilities. Refer to </w:t>
      </w:r>
      <w:r>
        <w:rPr>
          <w:rFonts w:ascii="Arial" w:hAnsi="Arial"/>
          <w:i/>
          <w:color w:val="000000"/>
          <w:sz w:val="20"/>
        </w:rPr>
        <w:t>Note 17 - Leases</w:t>
      </w:r>
      <w:r>
        <w:rPr>
          <w:rFonts w:ascii="Times New Roman" w:hAnsi="Times New Roman"/>
          <w:color w:val="000000"/>
          <w:sz w:val="20"/>
        </w:rPr>
        <w:t xml:space="preserve"> </w:t>
      </w:r>
      <w:r>
        <w:rPr>
          <w:rFonts w:ascii="Arial" w:hAnsi="Arial"/>
          <w:color w:val="000000"/>
          <w:sz w:val="20"/>
        </w:rPr>
        <w:t>for additional details.</w:t>
      </w:r>
    </w:p>
    <w:p>
      <w:pPr>
        <w:pStyle w:val="TextBody"/>
        <w:bidi w:val="0"/>
        <w:jc w:val="left"/>
        <w:rPr/>
      </w:pPr>
      <w:r>
        <w:rPr/>
        <w:t> </w:t>
      </w:r>
    </w:p>
    <w:p>
      <w:pPr>
        <w:pStyle w:val="TextBody"/>
        <w:bidi w:val="0"/>
        <w:spacing w:before="0" w:after="200"/>
        <w:jc w:val="left"/>
        <w:rPr>
          <w:rFonts w:ascii="Arial" w:hAnsi="Arial"/>
          <w:b/>
          <w:i/>
          <w:color w:val="000000"/>
          <w:sz w:val="20"/>
        </w:rPr>
      </w:pPr>
      <w:r>
        <w:rPr>
          <w:rFonts w:ascii="Arial" w:hAnsi="Arial"/>
          <w:b/>
          <w:i/>
          <w:color w:val="000000"/>
          <w:sz w:val="20"/>
        </w:rPr>
        <w:t>Cash Flows</w:t>
      </w:r>
    </w:p>
    <w:p>
      <w:pPr>
        <w:pStyle w:val="TextBody"/>
        <w:bidi w:val="0"/>
        <w:spacing w:before="0" w:after="200"/>
        <w:jc w:val="left"/>
        <w:rPr>
          <w:rFonts w:ascii="Arial" w:hAnsi="Arial"/>
          <w:color w:val="000000"/>
          <w:sz w:val="20"/>
        </w:rPr>
      </w:pPr>
      <w:r>
        <w:rPr>
          <w:rFonts w:ascii="Arial" w:hAnsi="Arial"/>
          <w:color w:val="000000"/>
          <w:sz w:val="20"/>
        </w:rPr>
        <w:t>The following table sets forth a summary of our cash flow information for the periods presented. All dollar amounts in the table below are rounded and as a result, certain amounts may not recalculate using the rounded amounts provided.</w:t>
      </w:r>
    </w:p>
    <w:tbl>
      <w:tblPr>
        <w:tblW w:w="7826" w:type="dxa"/>
        <w:jc w:val="left"/>
        <w:tblInd w:w="0" w:type="dxa"/>
        <w:tblLayout w:type="fixed"/>
        <w:tblCellMar>
          <w:top w:w="28" w:type="dxa"/>
          <w:left w:w="28" w:type="dxa"/>
          <w:bottom w:w="28" w:type="dxa"/>
          <w:right w:w="28" w:type="dxa"/>
        </w:tblCellMar>
      </w:tblPr>
      <w:tblGrid>
        <w:gridCol w:w="5296"/>
        <w:gridCol w:w="146"/>
        <w:gridCol w:w="252"/>
        <w:gridCol w:w="826"/>
        <w:gridCol w:w="174"/>
        <w:gridCol w:w="252"/>
        <w:gridCol w:w="880"/>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5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(214.0)</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(164.9)</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(159.4)</w:t>
            </w:r>
          </w:p>
        </w:tc>
      </w:tr>
    </w:tbl>
    <w:p>
      <w:pPr>
        <w:pStyle w:val="TextBody"/>
        <w:bidi w:val="0"/>
        <w:spacing w:before="200" w:after="283"/>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Net cash provided by operating activities consists of net income adjusted for certain non-cash items and changes in operating assets and liabilities.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During the year ended December 31, 2025, net cash provided by operating activities of $100.2 million was primarily the result of net income of $13.5 million adjusted for non-cash expenses of $86.3 million, which primarily consisted of stock-based compensation expense of $71.8 million and depreciation and amortization of $26.1 million, and the benefit of changes in operating assets and liabilities, net of acquisitions of $0.4 million.</w:t>
      </w:r>
    </w:p>
    <w:p>
      <w:pPr>
        <w:pStyle w:val="TextBody"/>
        <w:bidi w:val="0"/>
        <w:spacing w:before="200" w:after="283"/>
        <w:jc w:val="left"/>
        <w:rPr>
          <w:rFonts w:ascii="Arial" w:hAnsi="Arial"/>
          <w:color w:val="000000"/>
          <w:sz w:val="20"/>
        </w:rPr>
      </w:pPr>
      <w:r>
        <w:rPr>
          <w:rFonts w:ascii="Arial" w:hAnsi="Arial"/>
          <w:color w:val="000000"/>
          <w:sz w:val="20"/>
        </w:rPr>
        <w:t>During the year ended December 31, 2024, net cash provided by operating activities of $98.7 million was primarily the result of net income of $2.9 million adjusted for non-cash expenses of $82.0 million, which primarily consisted of stock-based compensation expense of $64.9 million and depreciation and amortization of $17.4 million, and the benefit of changes in operating assets and liabilities, net of acquisitions of $13.8 million.</w:t>
      </w:r>
    </w:p>
    <w:p>
      <w:pPr>
        <w:pStyle w:val="TextBody"/>
        <w:bidi w:val="0"/>
        <w:spacing w:before="200" w:after="283"/>
        <w:jc w:val="left"/>
        <w:rPr>
          <w:rFonts w:ascii="Times New Roman" w:hAnsi="Times New Roman"/>
          <w:sz w:val="20"/>
        </w:rPr>
      </w:pPr>
      <w:r>
        <w:rPr>
          <w:rFonts w:ascii="Arial" w:hAnsi="Arial"/>
          <w:color w:val="000000"/>
          <w:sz w:val="20"/>
        </w:rPr>
        <w:t>Net cash provided by operating activities was $100.2 million during the year ended December 31, 2025, compared to $98.7 million during the year ended December 31, 2024. The increase of $1.5 million in our net cash provided by operating activities was primarily related to our net income (after adjustments for an increase in non-cash expenses of $4.3 million) which increased by $14.9 million for the year ended December 31, 2025, compared to the prior period, reflective of the growth in transaction payment volumes, from both our existing clients and new clients and an increase in gains from the remeasurement of foreign currency due to foreign currency intercompany loans and impact of fluctuations in exchange rates during respective remeasurement periods, offset by increases in our costs and operating expenses, the largest of which was our payment processing services costs. The net increase in net cash provided by operating activities for the year ended December 31, 2025, compared to the prior period, were partially offset by a net decrease in our operating assets and liabilities, net of acquisitions of $13.4 million. This decrease was driven by an decrease in the change of funds receivable from payment partners of $87.1 million, as a result of the timing of collections from our partners in the applicable period, partially offset by an increase in the change of funds payable to clients of $84.5 million compared to the prior year as a result of the timing of payments to our clients in the applicable period. The timing of collections from our partners will vary from period to period based on when our clients’ customer payment for a particular transaction is made, as well as the customer’s payment method which impacts the timing of settlement of the payment. The timing of payments to our clients will vary from period to period based on when our client’s customer payment for a particular transaction is made and when we are contractually required to remit such payment to our client. The net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decrease in our operating assets and liabilities, net of acquisitions, was further increased by the change in prepaid expenses, other current assets and other assets of $12.7 million, for the year ended December 31, 2025, compared to the prior period, which was a result of timing of prepayments for recurring costs.</w:t>
      </w:r>
    </w:p>
    <w:p>
      <w:pPr>
        <w:pStyle w:val="TextBody"/>
        <w:bidi w:val="0"/>
        <w:spacing w:before="200" w:after="283"/>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During the year ended December 31, 2025, cash used in investing activities of $194.2 million was primarily the result of our acquisition of Sertifi for a purchase consideration of $324.9 million, net of cash acquired, and the purchase of short-term and long-term investments for $16.1 million, offset primarily by the proceeds from the maturity and sale of short-term and long-term investments of $156.6 million.</w:t>
      </w:r>
    </w:p>
    <w:p>
      <w:pPr>
        <w:pStyle w:val="TextBody"/>
        <w:bidi w:val="0"/>
        <w:spacing w:before="200" w:after="283"/>
        <w:jc w:val="left"/>
        <w:rPr>
          <w:rFonts w:ascii="Arial" w:hAnsi="Arial"/>
          <w:color w:val="000000"/>
          <w:sz w:val="20"/>
        </w:rPr>
      </w:pPr>
      <w:r>
        <w:rPr>
          <w:rFonts w:ascii="Arial" w:hAnsi="Arial"/>
          <w:color w:val="000000"/>
          <w:sz w:val="20"/>
        </w:rPr>
        <w:t>During the year ended December 31, 2024, cash used in investing activities of $214.0 million was primarily the result of the purchase of short-term and long-term investments for $192.1 million, our acquisition of Invoiced for a purchase consideration of $45.2 million, net of cash acquired, and the capitalization of internally developed software costs of $5.3 million, offset primarily by the proceeds from the maturity and sale of short-term and long-term investments of $29.6 million.</w:t>
      </w:r>
    </w:p>
    <w:p>
      <w:pPr>
        <w:pStyle w:val="TextBody"/>
        <w:bidi w:val="0"/>
        <w:spacing w:before="200" w:after="283"/>
        <w:jc w:val="left"/>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During the year ended December 31, 2025, cash used in financing activities of $78.4 million was primarily the result of our common stock repurchased under our Repurchase Program of $74.3 million. During 2025, we drew down and repaid $125.0 million from the revolving credit facility.</w:t>
      </w:r>
    </w:p>
    <w:p>
      <w:pPr>
        <w:pStyle w:val="TextBody"/>
        <w:bidi w:val="0"/>
        <w:spacing w:before="200" w:after="283"/>
        <w:jc w:val="left"/>
        <w:rPr>
          <w:rFonts w:ascii="Arial" w:hAnsi="Arial"/>
          <w:color w:val="000000"/>
          <w:sz w:val="20"/>
        </w:rPr>
      </w:pPr>
      <w:r>
        <w:rPr>
          <w:rFonts w:ascii="Arial" w:hAnsi="Arial"/>
          <w:color w:val="000000"/>
          <w:sz w:val="20"/>
        </w:rPr>
        <w:t>During the year ended December 31, 2024, cash used in financing activities of $37.6 million was primarily driven by common stock repurchase of $43.7 million, offset primarily by proceeds from the exercise of stock options of $5.6 million and proceeds from the issuance of stock under the ESPP of $3.1 million.</w:t>
      </w:r>
    </w:p>
    <w:p>
      <w:pPr>
        <w:pStyle w:val="TextBody"/>
        <w:bidi w:val="0"/>
        <w:spacing w:before="200" w:after="283"/>
        <w:jc w:val="left"/>
        <w:rPr>
          <w:rFonts w:ascii="Arial" w:hAnsi="Arial"/>
          <w:color w:val="000000"/>
          <w:sz w:val="20"/>
        </w:rPr>
      </w:pPr>
      <w:r>
        <w:rPr>
          <w:rFonts w:ascii="Arial" w:hAnsi="Arial"/>
          <w:color w:val="000000"/>
          <w:sz w:val="20"/>
        </w:rPr>
        <w:t>As of December 31, 2025 and 2024, there was no outstanding indebtedness under the 2024 Amended Revolving Credit Facility and 2024 Revolving Credit Facility, respectively.</w:t>
      </w:r>
    </w:p>
    <w:p>
      <w:pPr>
        <w:pStyle w:val="TextBody"/>
        <w:bidi w:val="0"/>
        <w:spacing w:before="200" w:after="283"/>
        <w:jc w:val="left"/>
        <w:rPr>
          <w:rFonts w:ascii="Arial" w:hAnsi="Arial"/>
          <w:b/>
          <w:color w:val="000000"/>
          <w:sz w:val="20"/>
        </w:rPr>
      </w:pPr>
      <w:r>
        <w:rPr>
          <w:rFonts w:ascii="Arial" w:hAnsi="Arial"/>
          <w:b/>
          <w:color w:val="000000"/>
          <w:sz w:val="20"/>
        </w:rPr>
        <w:t>Critical Accounting Policies and Estimates</w:t>
      </w:r>
    </w:p>
    <w:p>
      <w:pPr>
        <w:pStyle w:val="TextBody"/>
        <w:bidi w:val="0"/>
        <w:spacing w:before="200" w:after="283"/>
        <w:jc w:val="left"/>
        <w:rPr>
          <w:rFonts w:ascii="Times New Roman" w:hAnsi="Times New Roman"/>
          <w:sz w:val="20"/>
        </w:rPr>
      </w:pPr>
      <w:r>
        <w:rPr>
          <w:rFonts w:ascii="Arial" w:hAnsi="Arial"/>
          <w:color w:val="000000"/>
          <w:sz w:val="20"/>
        </w:rPr>
        <w:t>Our consolidated financial statements and the related notes thereto included elsewhere in this Annual Report on Form 10-K are prepared in accordance with GAAP. The preparation of our consolidated financial statements requires management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 xml:space="preserve">Our significant accounting policies are described in </w:t>
      </w:r>
      <w:r>
        <w:rPr>
          <w:rFonts w:ascii="Arial" w:hAnsi="Arial"/>
          <w:i/>
          <w:color w:val="000000"/>
          <w:sz w:val="20"/>
        </w:rPr>
        <w:t>Note 1 - Business Overview and Summary of Significant Accounting Policies</w:t>
      </w:r>
      <w:r>
        <w:rPr>
          <w:rFonts w:ascii="Times New Roman" w:hAnsi="Times New Roman"/>
          <w:color w:val="000000"/>
          <w:sz w:val="20"/>
        </w:rPr>
        <w:t xml:space="preserve"> </w:t>
      </w:r>
      <w:r>
        <w:rPr>
          <w:rFonts w:ascii="Arial" w:hAnsi="Arial"/>
          <w:color w:val="000000"/>
          <w:sz w:val="20"/>
        </w:rPr>
        <w:t>in our consolidated financial statements included elsewhere in this Annual Report on Form 10-K. We believe that the following critical accounting policies are most important to the judgments and estimates used in the preparation of our consolidated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Intangible Assets, net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Intangible assets consist of acquired developed technology, acquired relationships and trade names and associated trademarks. Intangible assets are recognized at fair value using generally accepted valuation methods deemed appropriate for the type of intangible asset acquired, and reported net of accumulated amortization, separately from goodwill.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acquired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trade names and trademarks using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 relief-from-royalty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third-party would negotiate in an arm’s-length license agreement for the use of the trade name or trademark.</w:t>
      </w:r>
    </w:p>
    <w:p>
      <w:pPr>
        <w:pStyle w:val="TextBody"/>
        <w:bidi w:val="0"/>
        <w:spacing w:before="200" w:after="283"/>
        <w:jc w:val="left"/>
        <w:rPr>
          <w:rFonts w:ascii="Times New Roman" w:hAnsi="Times New Roman"/>
          <w:sz w:val="20"/>
        </w:rPr>
      </w:pPr>
      <w:r>
        <w:rPr>
          <w:rFonts w:ascii="Arial" w:hAnsi="Arial"/>
          <w:color w:val="000000"/>
          <w:sz w:val="20"/>
        </w:rPr>
        <w:t>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404040"/>
          <w:sz w:val="20"/>
        </w:rPr>
        <w:t>In</w:t>
      </w:r>
      <w:r>
        <w:rPr>
          <w:rFonts w:ascii="Arial" w:hAnsi="Arial"/>
          <w:color w:val="000000"/>
          <w:sz w:val="20"/>
        </w:rPr>
        <w:t>tangible assets are amortized using a method that reflects the pattern in which the economic benefits of the intangible asset are expected to be realized over their estimated useful lives ranging from one to fifteen years. No significant residual value is estimated for intangible assets.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estimated fair values of these intangible assets reflect various assumptions including discount rates, obsolescence rate, royalty rates, customer attrition rates, revenue growth rates, operating margins and add-backs, terminal values, and other prospective financial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Software Developed for Internal-Use</w:t>
      </w:r>
      <w:r>
        <w:rPr>
          <w:rFonts w:ascii="Times New Roman" w:hAnsi="Times New Roman"/>
          <w:color w:val="000000"/>
          <w:sz w:val="20"/>
        </w:rPr>
        <w:t xml:space="preserve"> </w:t>
      </w:r>
    </w:p>
    <w:p>
      <w:pPr>
        <w:pStyle w:val="TextBody"/>
        <w:bidi w:val="0"/>
        <w:spacing w:before="200" w:after="160"/>
        <w:jc w:val="left"/>
        <w:rPr>
          <w:rFonts w:ascii="Times New Roman" w:hAnsi="Times New Roman"/>
          <w:sz w:val="20"/>
        </w:rPr>
      </w:pPr>
      <w:r>
        <w:rPr>
          <w:rFonts w:ascii="Arial" w:hAnsi="Arial"/>
          <w:color w:val="000000"/>
          <w:sz w:val="20"/>
        </w:rPr>
        <w:t>We capitalize costs incurred in the development of internal-use software during the application development stage including third-party consulting costs and compensation expenses related to FlyMates who devote time to the development of the projects. We also capitalize costs related to specific upgrades and enhancements when it is probable the expenditures will result in additional functionality. Once the additional functionality is available for general use, capitalization ceases and the asset begins being amortized.</w:t>
      </w:r>
      <w:r>
        <w:rPr>
          <w:rFonts w:ascii="Times New Roman" w:hAnsi="Times New Roman"/>
          <w:color w:val="000000"/>
          <w:sz w:val="20"/>
        </w:rPr>
        <w:t xml:space="preserve"> </w:t>
      </w:r>
    </w:p>
    <w:p>
      <w:pPr>
        <w:pStyle w:val="TextBody"/>
        <w:bidi w:val="0"/>
        <w:spacing w:before="40" w:after="160"/>
        <w:jc w:val="left"/>
        <w:rPr>
          <w:rFonts w:ascii="Times New Roman" w:hAnsi="Times New Roman"/>
          <w:sz w:val="20"/>
        </w:rPr>
      </w:pPr>
      <w:r>
        <w:rPr>
          <w:rFonts w:ascii="Arial" w:hAnsi="Arial"/>
          <w:color w:val="000000"/>
          <w:sz w:val="20"/>
        </w:rPr>
        <w:t>We evaluate the useful lives of internal-use software whenever changes in circumstances occur that could impact the recoverability of these assets.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derive revenue from transactions and platform and other revenues.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Transaction Revenue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Our transaction revenue is derived from fees charged for payment processing services provided to educational institutions, healthcare entities and other commercial entities, which is comprised of processing domestic and cross-border transactions.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income (loss) upon completion of the payment processing transaction. We do not recognize the underlying amount of the transaction being settled between client and client’s customer, as revenue or cost of revenue in the consolidated statements of operations and comprehensive income (loss), as we are not the responsible party for fulfilling the obligation between the client and client’s customer. Therefore, revenue is only recognized for the fee for which we are entitled for processing the payment.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additionally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money can be wired directly from the client’s customer to us or to our third-party service provider to collect funds before remittance. The third-party service provider charges us on a recurring basis with a fee for each payment processed. The fee paid to third-party service providers as well as any foreign exchange banking fees paid by us are reflected in the payment processing services costs line in the consolidated statements of operations and comprehensive income (loss).</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Platform and Other Revenues</w:t>
      </w:r>
    </w:p>
    <w:p>
      <w:pPr>
        <w:pStyle w:val="TextBody"/>
        <w:bidi w:val="0"/>
        <w:spacing w:before="200" w:after="283"/>
        <w:jc w:val="left"/>
        <w:rPr>
          <w:rFonts w:ascii="Arial" w:hAnsi="Arial"/>
          <w:color w:val="000000"/>
          <w:sz w:val="20"/>
        </w:rPr>
      </w:pPr>
      <w:r>
        <w:rPr>
          <w:rFonts w:ascii="Arial" w:hAnsi="Arial"/>
          <w:color w:val="000000"/>
          <w:sz w:val="20"/>
        </w:rPr>
        <w:t>Our platform and other revenues primarily include (i) fees earned for the utilization of our platforms to optimize cash collections and student application processing, which include revenue earned from software subscription fees and usage-based fees, (ii) fees for the establishment of payment plans on our payment platform, (iii) fees related to printing, mailing, and other services which are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pStyle w:val="TextBody"/>
        <w:bidi w:val="0"/>
        <w:spacing w:before="200" w:after="283"/>
        <w:jc w:val="left"/>
        <w:rPr>
          <w:rFonts w:ascii="Times New Roman" w:hAnsi="Times New Roman"/>
          <w:sz w:val="20"/>
        </w:rPr>
      </w:pPr>
      <w:r>
        <w:rPr>
          <w:rFonts w:ascii="Arial" w:hAnsi="Arial"/>
          <w:b/>
          <w:i/>
          <w:color w:val="000000"/>
          <w:sz w:val="20"/>
        </w:rPr>
        <w:t>Performance Obligations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use significant judgment on determining the performance obligations in the arrangement based on considerations such as whether the client can benefit from each service on its own or together with other resources that are readily available from third-parties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For those arrangements that include fixed consideration, the fixed component is recognized ratably over the service period while variable consideration is recognized in the period earned.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consider implementation service an activity to fulfill a contract, rather than a distinct performance obligation as the client does not obtain benefits from the implementation service alone. We charge an immaterial amount for implementation services.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Variable Consideration</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pStyle w:val="TextBody"/>
        <w:bidi w:val="0"/>
        <w:spacing w:before="120" w:after="283"/>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 xml:space="preserve">See </w:t>
      </w:r>
      <w:r>
        <w:rPr>
          <w:rFonts w:ascii="Arial" w:hAnsi="Arial"/>
          <w:i/>
          <w:color w:val="000000"/>
          <w:sz w:val="20"/>
        </w:rPr>
        <w:t>Note 1 - Business Overview and Summary of Significant Accounting Policies</w:t>
      </w:r>
      <w:r>
        <w:rPr>
          <w:rFonts w:ascii="Times New Roman" w:hAnsi="Times New Roman"/>
          <w:color w:val="000000"/>
          <w:sz w:val="20"/>
        </w:rPr>
        <w:t xml:space="preserve"> </w:t>
      </w:r>
      <w:r>
        <w:rPr>
          <w:rFonts w:ascii="Arial" w:hAnsi="Arial"/>
          <w:color w:val="000000"/>
          <w:sz w:val="20"/>
        </w:rPr>
        <w:t>in our consolidated financial statements included elsewhere in this Annual Report on Form 10-K for accounting pronouncements adopted and accounting pronouncements not yet adopted as of December 31, 2025.</w:t>
      </w:r>
    </w:p>
    <w:p>
      <w:pPr>
        <w:pStyle w:val="TextBody"/>
        <w:bidi w:val="0"/>
        <w:spacing w:before="120" w:after="283"/>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15" w:name="item_7a_quantitative_and_qualitative"/>
      <w:bookmarkEnd w:id="15"/>
      <w:r>
        <w:rPr>
          <w:rFonts w:ascii="Arial" w:hAnsi="Arial"/>
          <w:b/>
          <w:color w:val="000000"/>
          <w:sz w:val="20"/>
        </w:rPr>
        <w:t>Item 7A. Quantitative and Qualitative Disclosures About Market Risk</w:t>
      </w:r>
    </w:p>
    <w:p>
      <w:pPr>
        <w:pStyle w:val="TextBody"/>
        <w:bidi w:val="0"/>
        <w:spacing w:before="200" w:after="283"/>
        <w:jc w:val="left"/>
        <w:rPr>
          <w:rFonts w:ascii="Times New Roman" w:hAnsi="Times New Roman"/>
          <w:sz w:val="20"/>
        </w:rPr>
      </w:pPr>
      <w:r>
        <w:rPr>
          <w:rFonts w:ascii="Arial" w:hAnsi="Arial"/>
          <w:b/>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r>
        <w:rPr>
          <w:rFonts w:ascii="Arial" w:hAnsi="Arial"/>
          <w:b/>
          <w:color w:val="000000"/>
          <w:sz w:val="20"/>
        </w:rPr>
        <w:t>Interest Rate Risk</w:t>
      </w:r>
    </w:p>
    <w:p>
      <w:pPr>
        <w:pStyle w:val="TextBody"/>
        <w:bidi w:val="0"/>
        <w:spacing w:before="200" w:after="283"/>
        <w:jc w:val="left"/>
        <w:rPr>
          <w:rFonts w:ascii="Times New Roman" w:hAnsi="Times New Roman"/>
          <w:sz w:val="20"/>
        </w:rPr>
      </w:pPr>
      <w:r>
        <w:rPr>
          <w:rFonts w:ascii="Arial" w:hAnsi="Arial"/>
          <w:color w:val="000000"/>
          <w:sz w:val="20"/>
        </w:rPr>
        <w:t>We are exposed to interest rate risk relating to our cash and cash equivalents and available-for-sale debt securities. We hold cash in both non-interest and interest-bearing bank accounts. Our corporate investment portfolio consists of money market funds, which are AAA-rated and comprised of liquid, high quality debt securities issued by the U.S. government, and investments in available-for-sale, which are corporate bonds and U.S. government obligations.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We are also exposed to interest rate risk related to our 2024 Amended Revolving Credit Facility. Our 2024 Amended Revolving Credit Facility consists of ABR borrowings or Term SOFR borrowings, at our option.</w:t>
      </w:r>
    </w:p>
    <w:p>
      <w:pPr>
        <w:pStyle w:val="TextBody"/>
        <w:bidi w:val="0"/>
        <w:spacing w:before="200" w:after="283"/>
        <w:jc w:val="left"/>
        <w:rPr>
          <w:rFonts w:ascii="Times New Roman" w:hAnsi="Times New Roman"/>
          <w:sz w:val="20"/>
        </w:rPr>
      </w:pPr>
      <w:r>
        <w:rPr>
          <w:rFonts w:ascii="Arial" w:hAnsi="Arial"/>
          <w:color w:val="000000"/>
          <w:sz w:val="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Amended Revolving Credit Facility incurs a commitment fee ranging from 0.25% to 0.35% based upon our consolidated total net leverage ratio as of the most recent consolidated financial information assessed on the average available commitment.</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As of December 31, 2025 and 2024, there was no outstanding indebtedness under the 2024 Amended Revolving Credit Facility and 2024 Revolving Credit Facility, respectively. An immediate 10% increase or decrease in interest rates on either our cash and cash equivalents and available-for-sale debt securities or our 2024 Amended Revolving Credit Facility would not have a material effect on our financial position, results of operations or cash flows.</w:t>
      </w:r>
    </w:p>
    <w:p>
      <w:pPr>
        <w:pStyle w:val="TextBody"/>
        <w:bidi w:val="0"/>
        <w:spacing w:before="200" w:after="283"/>
        <w:jc w:val="left"/>
        <w:rPr>
          <w:rFonts w:ascii="Arial" w:hAnsi="Arial"/>
          <w:color w:val="000000"/>
          <w:sz w:val="20"/>
        </w:rPr>
      </w:pPr>
      <w:r>
        <w:rPr>
          <w:rFonts w:ascii="Arial" w:hAnsi="Arial"/>
          <w:color w:val="000000"/>
          <w:sz w:val="20"/>
        </w:rPr>
        <w:t>Information provided by the sensitivity analysis is not a prediction of future events and does not necessarily represent the actual changes that would occur.</w:t>
      </w:r>
    </w:p>
    <w:p>
      <w:pPr>
        <w:pStyle w:val="TextBody"/>
        <w:bidi w:val="0"/>
        <w:spacing w:before="200" w:after="283"/>
        <w:jc w:val="left"/>
        <w:rPr>
          <w:rFonts w:ascii="Times New Roman" w:hAnsi="Times New Roman"/>
          <w:sz w:val="20"/>
        </w:rPr>
      </w:pPr>
      <w:r>
        <w:rPr>
          <w:rFonts w:ascii="Arial" w:hAnsi="Arial"/>
          <w:b/>
          <w:color w:val="000000"/>
          <w:sz w:val="20"/>
        </w:rPr>
        <w:t>Foreign Currency Exchange Risk</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 In addition, we have intercompany loans payable in foreign currencies and to mitigate the impact of foreign currency fluctuations on our net income (loss), beginning in July 2025, we entered into foreign currency forward contracts to economically hedge the variability in exchange rates associated with certain intercompany loans.</w:t>
      </w:r>
    </w:p>
    <w:p>
      <w:pPr>
        <w:pStyle w:val="TextBody"/>
        <w:bidi w:val="0"/>
        <w:spacing w:before="200" w:after="283"/>
        <w:jc w:val="left"/>
        <w:rPr>
          <w:rFonts w:ascii="Times New Roman" w:hAnsi="Times New Roman"/>
          <w:sz w:val="20"/>
        </w:rPr>
      </w:pPr>
      <w:r>
        <w:rPr>
          <w:rFonts w:ascii="Arial" w:hAnsi="Arial"/>
          <w:color w:val="000000"/>
          <w:sz w:val="20"/>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British Pound, relative to the prior year, these foreign exchange impacts increased our reported revenue in U.S. Dollars by approximately $6.6 million compared to the prior year on a FX Neutral basis.</w:t>
      </w:r>
    </w:p>
    <w:p>
      <w:pPr>
        <w:pStyle w:val="TextBody"/>
        <w:bidi w:val="0"/>
        <w:spacing w:before="200" w:after="283"/>
        <w:jc w:val="left"/>
        <w:rPr>
          <w:rFonts w:ascii="Arial" w:hAnsi="Arial"/>
          <w:color w:val="000000"/>
          <w:sz w:val="20"/>
        </w:rPr>
      </w:pPr>
      <w:r>
        <w:rPr>
          <w:rFonts w:ascii="Arial" w:hAnsi="Arial"/>
          <w:color w:val="000000"/>
          <w:sz w:val="20"/>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consolidated statements of operations and comprehensive income (loss). A potential change in foreign exchange rates of 10% from such remeasurement would have impacted income (loss) before income taxes by approximately $25.3 million and $24.7 million for the years ended December 31, 2025 and 2024, respectively.</w:t>
      </w:r>
    </w:p>
    <w:p>
      <w:pPr>
        <w:pStyle w:val="TextBody"/>
        <w:bidi w:val="0"/>
        <w:spacing w:before="200" w:after="283"/>
        <w:jc w:val="left"/>
        <w:rPr>
          <w:rFonts w:ascii="Arial" w:hAnsi="Arial"/>
          <w:b/>
          <w:color w:val="000000"/>
          <w:sz w:val="20"/>
        </w:rPr>
      </w:pPr>
      <w:r>
        <w:rPr>
          <w:rFonts w:ascii="Arial" w:hAnsi="Arial"/>
          <w:b/>
          <w:color w:val="000000"/>
          <w:sz w:val="20"/>
        </w:rPr>
        <w:t>Inflation Risk</w:t>
      </w:r>
    </w:p>
    <w:p>
      <w:pPr>
        <w:pStyle w:val="TextBody"/>
        <w:bidi w:val="0"/>
        <w:spacing w:before="200" w:after="283"/>
        <w:jc w:val="left"/>
        <w:rPr>
          <w:rFonts w:ascii="Arial" w:hAnsi="Arial"/>
          <w:color w:val="000000"/>
          <w:sz w:val="20"/>
        </w:rPr>
      </w:pPr>
      <w:r>
        <w:rPr>
          <w:rFonts w:ascii="Arial" w:hAnsi="Arial"/>
          <w:color w:val="000000"/>
          <w:sz w:val="20"/>
        </w:rPr>
        <w:t>Inflation did not have a material effect on our cash flows and results of operations during the year ended December 31, 2025. If our costs were to become subject to significant inflationary pressures, we may not be able to fully offset such higher costs through increase in prices of our product offerings.</w:t>
      </w:r>
    </w:p>
    <w:p>
      <w:pPr>
        <w:pStyle w:val="TextBody"/>
        <w:bidi w:val="0"/>
        <w:spacing w:before="120" w:after="283"/>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16" w:name="financial_statements_and_supplementary"/>
      <w:bookmarkEnd w:id="16"/>
      <w:r>
        <w:rPr>
          <w:rFonts w:ascii="Arial" w:hAnsi="Arial"/>
          <w:b/>
          <w:color w:val="000000"/>
          <w:sz w:val="20"/>
        </w:rPr>
        <w:t>Item 8. Financial Statements and Supplementary Data</w:t>
      </w:r>
    </w:p>
    <w:tbl>
      <w:tblPr>
        <w:tblW w:w="8197" w:type="dxa"/>
        <w:jc w:val="left"/>
        <w:tblInd w:w="0" w:type="dxa"/>
        <w:tblLayout w:type="fixed"/>
        <w:tblCellMar>
          <w:top w:w="28" w:type="dxa"/>
          <w:left w:w="28" w:type="dxa"/>
          <w:bottom w:w="28" w:type="dxa"/>
          <w:right w:w="28" w:type="dxa"/>
        </w:tblCellMar>
      </w:tblPr>
      <w:tblGrid>
        <w:gridCol w:w="7241"/>
        <w:gridCol w:w="956"/>
      </w:tblGrid>
      <w:tr>
        <w:trPr/>
        <w:tc>
          <w:tcPr>
            <w:tcW w:w="724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7241"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Page</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5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auditor_report">
              <w:r>
                <w:rPr>
                  <w:rStyle w:val="InternetLink"/>
                  <w:rFonts w:ascii="Arial" w:hAnsi="Arial"/>
                  <w:color w:val="0000FF"/>
                  <w:sz w:val="20"/>
                  <w:u w:val="single"/>
                </w:rPr>
                <w:t>Report of Independent Registered Public Accounting Firm (PCAOB ID 238)</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240"/>
              <w:jc w:val="right"/>
              <w:rPr>
                <w:rFonts w:ascii="Arial" w:hAnsi="Arial"/>
                <w:color w:val="000000"/>
                <w:sz w:val="20"/>
              </w:rPr>
            </w:pPr>
            <w:r>
              <w:rPr>
                <w:rFonts w:ascii="Arial" w:hAnsi="Arial"/>
                <w:color w:val="000000"/>
                <w:sz w:val="20"/>
              </w:rPr>
              <w:t>111</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s">
              <w:r>
                <w:rPr>
                  <w:rStyle w:val="InternetLink"/>
                  <w:rFonts w:ascii="Arial" w:hAnsi="Arial"/>
                  <w:color w:val="0000FF"/>
                  <w:sz w:val="20"/>
                  <w:u w:val="single"/>
                </w:rPr>
                <w:t>Consolidated Balance Sheets</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240"/>
              <w:jc w:val="right"/>
              <w:rPr>
                <w:rFonts w:ascii="Arial" w:hAnsi="Arial"/>
                <w:color w:val="000000"/>
                <w:sz w:val="20"/>
              </w:rPr>
            </w:pPr>
            <w:r>
              <w:rPr>
                <w:rFonts w:ascii="Arial" w:hAnsi="Arial"/>
                <w:color w:val="000000"/>
                <w:sz w:val="20"/>
              </w:rPr>
              <w:t>114</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operations_and_comprehens">
              <w:r>
                <w:rPr>
                  <w:rStyle w:val="InternetLink"/>
                  <w:rFonts w:ascii="Arial" w:hAnsi="Arial"/>
                  <w:color w:val="0000FF"/>
                  <w:sz w:val="20"/>
                  <w:u w:val="single"/>
                </w:rPr>
                <w:t>Consolidated Statements of Operations and Comprehensive Income (Loss)</w:t>
              </w:r>
            </w:hyperlink>
            <w:r>
              <w:rPr>
                <w:rFonts w:ascii="Times New Roman" w:hAnsi="Times New Roman"/>
                <w:color w:val="000000"/>
                <w:sz w:val="20"/>
              </w:rPr>
              <w:t xml:space="preserve"> </w:t>
            </w:r>
          </w:p>
        </w:tc>
        <w:tc>
          <w:tcPr>
            <w:tcW w:w="956" w:type="dxa"/>
            <w:tcBorders/>
            <w:tcMar>
              <w:top w:w="0" w:type="dxa"/>
              <w:left w:w="0" w:type="dxa"/>
              <w:bottom w:w="0" w:type="dxa"/>
              <w:right w:w="0" w:type="dxa"/>
            </w:tcMar>
            <w:vAlign w:val="center"/>
          </w:tcPr>
          <w:p>
            <w:pPr>
              <w:pStyle w:val="TableContents"/>
              <w:bidi w:val="0"/>
              <w:spacing w:before="0" w:after="20"/>
              <w:ind w:left="0" w:right="0" w:firstLine="240"/>
              <w:jc w:val="right"/>
              <w:rPr>
                <w:rFonts w:ascii="Arial" w:hAnsi="Arial"/>
                <w:color w:val="000000"/>
                <w:sz w:val="20"/>
              </w:rPr>
            </w:pPr>
            <w:r>
              <w:rPr>
                <w:rFonts w:ascii="Arial" w:hAnsi="Arial"/>
                <w:color w:val="000000"/>
                <w:sz w:val="20"/>
              </w:rPr>
              <w:t>115</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vertible_preferred_stock_redeemable">
              <w:r>
                <w:rPr>
                  <w:rStyle w:val="InternetLink"/>
                  <w:rFonts w:ascii="Arial" w:hAnsi="Arial"/>
                  <w:color w:val="0000FF"/>
                  <w:sz w:val="20"/>
                  <w:u w:val="single"/>
                </w:rPr>
                <w:t>Consolidated Statements of Stockholders’ Equity</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240"/>
              <w:jc w:val="right"/>
              <w:rPr>
                <w:rFonts w:ascii="Arial" w:hAnsi="Arial"/>
                <w:color w:val="000000"/>
                <w:sz w:val="20"/>
              </w:rPr>
            </w:pPr>
            <w:r>
              <w:rPr>
                <w:rFonts w:ascii="Arial" w:hAnsi="Arial"/>
                <w:color w:val="000000"/>
                <w:sz w:val="20"/>
              </w:rPr>
              <w:t>116</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_of_cash_flows">
              <w:r>
                <w:rPr>
                  <w:rStyle w:val="InternetLink"/>
                  <w:rFonts w:ascii="Arial" w:hAnsi="Arial"/>
                  <w:color w:val="0000FF"/>
                  <w:sz w:val="20"/>
                  <w:u w:val="single"/>
                </w:rPr>
                <w:t>Consolidated Statements of Cash Flows</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240"/>
              <w:jc w:val="right"/>
              <w:rPr>
                <w:rFonts w:ascii="Arial" w:hAnsi="Arial"/>
                <w:color w:val="000000"/>
                <w:sz w:val="20"/>
              </w:rPr>
            </w:pPr>
            <w:r>
              <w:rPr>
                <w:rFonts w:ascii="Arial" w:hAnsi="Arial"/>
                <w:color w:val="000000"/>
                <w:sz w:val="20"/>
              </w:rPr>
              <w:t>118</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financial_statements">
              <w:r>
                <w:rPr>
                  <w:rStyle w:val="InternetLink"/>
                  <w:rFonts w:ascii="Arial" w:hAnsi="Arial"/>
                  <w:color w:val="0000FF"/>
                  <w:sz w:val="20"/>
                  <w:u w:val="single"/>
                </w:rPr>
                <w:t>Notes to Consolidated Financial Statements</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120</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
              <w:r>
                <w:rPr>
                  <w:rStyle w:val="InternetLink"/>
                  <w:rFonts w:ascii="Arial" w:hAnsi="Arial"/>
                  <w:color w:val="0000FF"/>
                  <w:sz w:val="20"/>
                  <w:u w:val="single"/>
                </w:rPr>
                <w:t>Note 1. Business Overview and Summary of Significant Accounting Policies</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120</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2">
              <w:r>
                <w:rPr>
                  <w:rStyle w:val="InternetLink"/>
                  <w:rFonts w:ascii="Arial" w:hAnsi="Arial"/>
                  <w:color w:val="0000FF"/>
                  <w:sz w:val="20"/>
                  <w:u w:val="single"/>
                </w:rPr>
                <w:t>Note 2. Revenue and Recognition</w:t>
              </w:r>
            </w:hyperlink>
            <w:r>
              <w:rPr>
                <w:rFonts w:ascii="Times New Roman" w:hAnsi="Times New Roman"/>
                <w:color w:val="000000"/>
                <w:sz w:val="20"/>
              </w:rPr>
              <w:t xml:space="preserve"> </w:t>
            </w:r>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131</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segment">
              <w:r>
                <w:rPr>
                  <w:rStyle w:val="InternetLink"/>
                  <w:rFonts w:ascii="Arial" w:hAnsi="Arial"/>
                  <w:color w:val="0000FF"/>
                  <w:sz w:val="20"/>
                  <w:u w:val="single"/>
                </w:rPr>
                <w:t>Note 3. Segment Information</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133</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3">
              <w:r>
                <w:rPr>
                  <w:rStyle w:val="InternetLink"/>
                  <w:rFonts w:ascii="Arial" w:hAnsi="Arial"/>
                  <w:color w:val="0000FF"/>
                  <w:sz w:val="20"/>
                  <w:u w:val="single"/>
                </w:rPr>
                <w:t>Note 4. Investments</w:t>
              </w:r>
            </w:hyperlink>
            <w:r>
              <w:rPr>
                <w:rFonts w:ascii="Times New Roman" w:hAnsi="Times New Roman"/>
                <w:color w:val="000000"/>
                <w:sz w:val="20"/>
              </w:rPr>
              <w:t xml:space="preserve"> </w:t>
            </w:r>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134</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4">
              <w:r>
                <w:rPr>
                  <w:rStyle w:val="InternetLink"/>
                  <w:rFonts w:ascii="Arial" w:hAnsi="Arial"/>
                  <w:color w:val="0000FF"/>
                  <w:sz w:val="20"/>
                  <w:u w:val="single"/>
                </w:rPr>
                <w:t>Note 5. Fair Value Measurements</w:t>
              </w:r>
            </w:hyperlink>
            <w:hyperlink w:anchor="note_4">
              <w:r>
                <w:rPr>
                  <w:rStyle w:val="InternetLink"/>
                  <w:rFonts w:ascii="Times New Roman" w:hAnsi="Times New Roman"/>
                  <w:color w:val="0000FF"/>
                  <w:sz w:val="20"/>
                </w:rPr>
                <w:t xml:space="preserve"> </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135</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5">
              <w:r>
                <w:rPr>
                  <w:rStyle w:val="InternetLink"/>
                  <w:rFonts w:ascii="Arial" w:hAnsi="Arial"/>
                  <w:color w:val="0000FF"/>
                  <w:sz w:val="20"/>
                  <w:u w:val="single"/>
                </w:rPr>
                <w:t>Note 6. Derivative Instruments</w:t>
              </w:r>
            </w:hyperlink>
            <w:r>
              <w:rPr>
                <w:rFonts w:ascii="Times New Roman" w:hAnsi="Times New Roman"/>
                <w:color w:val="000000"/>
                <w:sz w:val="20"/>
              </w:rPr>
              <w:t xml:space="preserve"> </w:t>
            </w:r>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137</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6">
              <w:r>
                <w:rPr>
                  <w:rStyle w:val="InternetLink"/>
                  <w:rFonts w:ascii="Arial" w:hAnsi="Arial"/>
                  <w:color w:val="0000FF"/>
                  <w:sz w:val="20"/>
                  <w:u w:val="single"/>
                </w:rPr>
                <w:t>Note 7. Accrued Expenses and Other Current Liabilities</w:t>
              </w:r>
            </w:hyperlink>
            <w:r>
              <w:rPr>
                <w:rFonts w:ascii="Times New Roman" w:hAnsi="Times New Roman"/>
                <w:color w:val="000000"/>
                <w:sz w:val="20"/>
              </w:rPr>
              <w:t xml:space="preserve"> </w:t>
            </w:r>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137</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7">
              <w:r>
                <w:rPr>
                  <w:rStyle w:val="InternetLink"/>
                  <w:rFonts w:ascii="Arial" w:hAnsi="Arial"/>
                  <w:color w:val="0000FF"/>
                  <w:sz w:val="20"/>
                  <w:u w:val="single"/>
                </w:rPr>
                <w:t>Note 8. Property and Equipment, net</w:t>
              </w:r>
            </w:hyperlink>
            <w:hyperlink w:anchor="note_7">
              <w:r>
                <w:rPr>
                  <w:rStyle w:val="InternetLink"/>
                  <w:rFonts w:ascii="Times New Roman" w:hAnsi="Times New Roman"/>
                  <w:color w:val="0000FF"/>
                  <w:sz w:val="20"/>
                </w:rPr>
                <w:t xml:space="preserve"> </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138</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fn_restr">
              <w:r>
                <w:rPr>
                  <w:rStyle w:val="InternetLink"/>
                  <w:rFonts w:ascii="Arial" w:hAnsi="Arial"/>
                  <w:color w:val="0000FF"/>
                  <w:sz w:val="20"/>
                  <w:u w:val="single"/>
                </w:rPr>
                <w:t>Note 9. Restructuring</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138</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8">
              <w:r>
                <w:rPr>
                  <w:rStyle w:val="InternetLink"/>
                  <w:rFonts w:ascii="Arial" w:hAnsi="Arial"/>
                  <w:color w:val="0000FF"/>
                  <w:sz w:val="20"/>
                  <w:u w:val="single"/>
                </w:rPr>
                <w:t>Note 10. Business Combinations</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138</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9">
              <w:r>
                <w:rPr>
                  <w:rStyle w:val="InternetLink"/>
                  <w:rFonts w:ascii="Arial" w:hAnsi="Arial"/>
                  <w:color w:val="0000FF"/>
                  <w:sz w:val="20"/>
                  <w:u w:val="single"/>
                </w:rPr>
                <w:t>Note 11. Goodwill and Acquired Intangible Assets</w:t>
              </w:r>
            </w:hyperlink>
            <w:hyperlink w:anchor="note_9">
              <w:r>
                <w:rPr>
                  <w:rStyle w:val="InternetLink"/>
                  <w:rFonts w:ascii="Times New Roman" w:hAnsi="Times New Roman"/>
                  <w:color w:val="0000FF"/>
                  <w:sz w:val="20"/>
                </w:rPr>
                <w:t xml:space="preserve"> </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144</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0">
              <w:r>
                <w:rPr>
                  <w:rStyle w:val="InternetLink"/>
                  <w:rFonts w:ascii="Arial" w:hAnsi="Arial"/>
                  <w:color w:val="0000FF"/>
                  <w:sz w:val="20"/>
                  <w:u w:val="single"/>
                </w:rPr>
                <w:t>Note 12. Debt</w:t>
              </w:r>
            </w:hyperlink>
            <w:hyperlink w:anchor="note_10">
              <w:r>
                <w:rPr>
                  <w:rStyle w:val="InternetLink"/>
                  <w:rFonts w:ascii="Times New Roman" w:hAnsi="Times New Roman"/>
                  <w:color w:val="0000FF"/>
                  <w:sz w:val="20"/>
                </w:rPr>
                <w:t xml:space="preserve"> </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145</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1">
              <w:r>
                <w:rPr>
                  <w:rStyle w:val="InternetLink"/>
                  <w:rFonts w:ascii="Arial" w:hAnsi="Arial"/>
                  <w:color w:val="0000FF"/>
                  <w:sz w:val="20"/>
                  <w:u w:val="single"/>
                </w:rPr>
                <w:t>Note 13. Stockholders’ Equity</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146</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2">
              <w:r>
                <w:rPr>
                  <w:rStyle w:val="InternetLink"/>
                  <w:rFonts w:ascii="Arial" w:hAnsi="Arial"/>
                  <w:color w:val="0000FF"/>
                  <w:sz w:val="20"/>
                  <w:u w:val="single"/>
                </w:rPr>
                <w:t>Note 14. Stock-Based Compensation</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148</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3">
              <w:r>
                <w:rPr>
                  <w:rStyle w:val="InternetLink"/>
                  <w:rFonts w:ascii="Arial" w:hAnsi="Arial"/>
                  <w:color w:val="0000FF"/>
                  <w:sz w:val="20"/>
                  <w:u w:val="single"/>
                </w:rPr>
                <w:t>Note 15. Net Income (Loss) per Share</w:t>
              </w:r>
            </w:hyperlink>
            <w:r>
              <w:rPr>
                <w:rFonts w:ascii="Times New Roman" w:hAnsi="Times New Roman"/>
                <w:color w:val="000000"/>
                <w:sz w:val="20"/>
              </w:rPr>
              <w:t xml:space="preserve"> </w:t>
            </w:r>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150</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4">
              <w:r>
                <w:rPr>
                  <w:rStyle w:val="InternetLink"/>
                  <w:rFonts w:ascii="Arial" w:hAnsi="Arial"/>
                  <w:color w:val="0000FF"/>
                  <w:sz w:val="20"/>
                  <w:u w:val="single"/>
                </w:rPr>
                <w:t>Note 16. Income Taxes</w:t>
              </w:r>
            </w:hyperlink>
            <w:hyperlink w:anchor="note_14">
              <w:r>
                <w:rPr>
                  <w:rStyle w:val="InternetLink"/>
                  <w:rFonts w:ascii="Times New Roman" w:hAnsi="Times New Roman"/>
                  <w:color w:val="0000FF"/>
                  <w:sz w:val="20"/>
                </w:rPr>
                <w:t xml:space="preserve"> </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150</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5">
              <w:r>
                <w:rPr>
                  <w:rStyle w:val="InternetLink"/>
                  <w:rFonts w:ascii="Arial" w:hAnsi="Arial"/>
                  <w:color w:val="0000FF"/>
                  <w:sz w:val="20"/>
                  <w:u w:val="single"/>
                </w:rPr>
                <w:t>Note 17. Leases</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155</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6">
              <w:r>
                <w:rPr>
                  <w:rStyle w:val="InternetLink"/>
                  <w:rFonts w:ascii="Arial" w:hAnsi="Arial"/>
                  <w:color w:val="0000FF"/>
                  <w:sz w:val="20"/>
                  <w:u w:val="single"/>
                </w:rPr>
                <w:t>Note 18. Commitments and Contingencies</w:t>
              </w:r>
            </w:hyperlink>
          </w:p>
        </w:tc>
        <w:tc>
          <w:tcPr>
            <w:tcW w:w="956" w:type="dxa"/>
            <w:tcBorders/>
            <w:tcMar>
              <w:top w:w="0" w:type="dxa"/>
              <w:left w:w="0" w:type="dxa"/>
              <w:bottom w:w="0" w:type="dxa"/>
              <w:right w:w="0" w:type="dxa"/>
            </w:tcMar>
            <w:vAlign w:val="center"/>
          </w:tcPr>
          <w:p>
            <w:pPr>
              <w:pStyle w:val="TableContents"/>
              <w:bidi w:val="0"/>
              <w:spacing w:before="0" w:after="20"/>
              <w:ind w:left="0" w:right="0" w:firstLine="490"/>
              <w:jc w:val="right"/>
              <w:rPr>
                <w:rFonts w:ascii="Arial" w:hAnsi="Arial"/>
                <w:color w:val="000000"/>
                <w:sz w:val="20"/>
              </w:rPr>
            </w:pPr>
            <w:r>
              <w:rPr>
                <w:rFonts w:ascii="Arial" w:hAnsi="Arial"/>
                <w:color w:val="000000"/>
                <w:sz w:val="20"/>
              </w:rPr>
              <w:t>155</w:t>
            </w:r>
          </w:p>
        </w:tc>
      </w:tr>
      <w:tr>
        <w:trPr/>
        <w:tc>
          <w:tcPr>
            <w:tcW w:w="7241"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_17">
              <w:r>
                <w:rPr>
                  <w:rStyle w:val="InternetLink"/>
                  <w:rFonts w:ascii="Arial" w:hAnsi="Arial"/>
                  <w:color w:val="0000FF"/>
                  <w:sz w:val="20"/>
                  <w:u w:val="single"/>
                </w:rPr>
                <w:t>Note 19. Employee Benefit Plan</w:t>
              </w:r>
            </w:hyperlink>
            <w:hyperlink w:anchor="note_17">
              <w:r>
                <w:rPr>
                  <w:rStyle w:val="InternetLink"/>
                  <w:rFonts w:ascii="Times New Roman" w:hAnsi="Times New Roman"/>
                  <w:color w:val="0000FF"/>
                  <w:sz w:val="20"/>
                </w:rPr>
                <w:t xml:space="preserve"> </w:t>
              </w:r>
            </w:hyperlink>
          </w:p>
        </w:tc>
        <w:tc>
          <w:tcPr>
            <w:tcW w:w="956" w:type="dxa"/>
            <w:tcBorders/>
            <w:tcMar>
              <w:top w:w="0" w:type="dxa"/>
              <w:left w:w="0" w:type="dxa"/>
              <w:bottom w:w="0" w:type="dxa"/>
              <w:right w:w="0" w:type="dxa"/>
            </w:tcMar>
            <w:vAlign w:val="center"/>
          </w:tcPr>
          <w:p>
            <w:pPr>
              <w:pStyle w:val="TableContents"/>
              <w:bidi w:val="0"/>
              <w:spacing w:before="0" w:after="20"/>
              <w:jc w:val="right"/>
              <w:rPr>
                <w:rFonts w:ascii="Arial" w:hAnsi="Arial"/>
                <w:color w:val="000000"/>
                <w:sz w:val="20"/>
              </w:rPr>
            </w:pPr>
            <w:r>
              <w:rPr>
                <w:rFonts w:ascii="Arial" w:hAnsi="Arial"/>
                <w:color w:val="000000"/>
                <w:sz w:val="20"/>
              </w:rPr>
              <w:t>156</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center"/>
        <w:rPr>
          <w:rFonts w:ascii="Arial" w:hAnsi="Arial"/>
          <w:b/>
          <w:color w:val="000000"/>
          <w:sz w:val="20"/>
        </w:rPr>
      </w:pPr>
      <w:bookmarkStart w:id="17" w:name="auditor_report"/>
      <w:bookmarkStart w:id="18" w:name="report"/>
      <w:bookmarkEnd w:id="17"/>
      <w:bookmarkEnd w:id="18"/>
      <w:r>
        <w:rPr>
          <w:rFonts w:ascii="Arial" w:hAnsi="Arial"/>
          <w:b/>
          <w:color w:val="000000"/>
          <w:sz w:val="20"/>
        </w:rPr>
        <w:t>REPORT OF INDEPENDENT REGISTERED PUBLIC ACCOUNTING FIRM</w:t>
      </w:r>
    </w:p>
    <w:p>
      <w:pPr>
        <w:pStyle w:val="TextBody"/>
        <w:bidi w:val="0"/>
        <w:spacing w:before="0" w:after="200"/>
        <w:jc w:val="left"/>
        <w:rPr>
          <w:rFonts w:ascii="Arial" w:hAnsi="Arial"/>
          <w:color w:val="000000"/>
          <w:sz w:val="20"/>
        </w:rPr>
      </w:pPr>
      <w:r>
        <w:rPr>
          <w:rFonts w:ascii="Arial" w:hAnsi="Arial"/>
          <w:color w:val="000000"/>
          <w:sz w:val="20"/>
        </w:rPr>
        <w:t>To the Board of Directors and Stockholders of Flywire Corporation</w:t>
      </w:r>
    </w:p>
    <w:p>
      <w:pPr>
        <w:pStyle w:val="TextBody"/>
        <w:bidi w:val="0"/>
        <w:spacing w:before="0" w:after="200"/>
        <w:jc w:val="left"/>
        <w:rPr>
          <w:rFonts w:ascii="Arial" w:hAnsi="Arial"/>
          <w:b/>
          <w:i/>
          <w:color w:val="000000"/>
          <w:sz w:val="20"/>
        </w:rPr>
      </w:pPr>
      <w:r>
        <w:rPr>
          <w:rFonts w:ascii="Arial" w:hAnsi="Arial"/>
          <w:b/>
          <w:i/>
          <w:color w:val="000000"/>
          <w:sz w:val="20"/>
        </w:rPr>
        <w:t>Opinions on the Financial Statements and Internal Control over Financial Reporting</w:t>
      </w:r>
    </w:p>
    <w:p>
      <w:pPr>
        <w:pStyle w:val="TextBody"/>
        <w:bidi w:val="0"/>
        <w:spacing w:before="0" w:after="200"/>
        <w:jc w:val="left"/>
        <w:rPr>
          <w:rFonts w:ascii="Times New Roman" w:hAnsi="Times New Roman"/>
          <w:sz w:val="20"/>
        </w:rPr>
      </w:pPr>
      <w:r>
        <w:rPr>
          <w:rFonts w:ascii="Arial" w:hAnsi="Arial"/>
          <w:color w:val="000000"/>
          <w:sz w:val="20"/>
        </w:rPr>
        <w:t xml:space="preserve">We have audited the accompanying consolidated balance sheets of Flywire Corporation and its subsidiaries (the "Company") as of December 31, 2025 and 2024, and the related consolidated statements of operations and comprehensive income (loss),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hAnsi="Arial"/>
          <w:i/>
          <w:color w:val="000000"/>
          <w:sz w:val="20"/>
        </w:rPr>
        <w:t>Internal Control - Integrated Framework</w:t>
      </w:r>
      <w:r>
        <w:rPr>
          <w:rFonts w:ascii="Times New Roman" w:hAnsi="Times New Roman"/>
          <w:color w:val="000000"/>
          <w:sz w:val="20"/>
        </w:rPr>
        <w:t xml:space="preserve"> </w:t>
      </w:r>
      <w:r>
        <w:rPr>
          <w:rFonts w:ascii="Arial" w:hAnsi="Arial"/>
          <w:color w:val="000000"/>
          <w:sz w:val="20"/>
        </w:rPr>
        <w:t>(2013) issued by the Committee of Sponsoring Organizations of the Treadway Commission (COSO).</w:t>
      </w:r>
    </w:p>
    <w:p>
      <w:pPr>
        <w:pStyle w:val="TextBody"/>
        <w:bidi w:val="0"/>
        <w:spacing w:before="0" w:after="200"/>
        <w:jc w:val="left"/>
        <w:rPr>
          <w:rFonts w:ascii="Times New Roman" w:hAnsi="Times New Roman"/>
          <w:sz w:val="20"/>
        </w:rPr>
      </w:pPr>
      <w:r>
        <w:rPr>
          <w:rFonts w:ascii="Arial" w:hAnsi="Arial"/>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hAnsi="Arial"/>
          <w:i/>
          <w:color w:val="000000"/>
          <w:sz w:val="20"/>
        </w:rPr>
        <w:t>Internal Control - Integrated Framework</w:t>
      </w:r>
      <w:r>
        <w:rPr>
          <w:rFonts w:ascii="Times New Roman" w:hAnsi="Times New Roman"/>
          <w:color w:val="000000"/>
          <w:sz w:val="20"/>
        </w:rPr>
        <w:t xml:space="preserve"> </w:t>
      </w:r>
      <w:r>
        <w:rPr>
          <w:rFonts w:ascii="Arial" w:hAnsi="Arial"/>
          <w:color w:val="000000"/>
          <w:sz w:val="20"/>
        </w:rPr>
        <w:t>(2013) issued by the COSO.</w:t>
      </w:r>
    </w:p>
    <w:p>
      <w:pPr>
        <w:pStyle w:val="TextBody"/>
        <w:bidi w:val="0"/>
        <w:spacing w:before="0" w:after="200"/>
        <w:jc w:val="left"/>
        <w:rPr>
          <w:rFonts w:ascii="Arial" w:hAnsi="Arial"/>
          <w:b/>
          <w:i/>
          <w:color w:val="000000"/>
          <w:sz w:val="20"/>
        </w:rPr>
      </w:pPr>
      <w:r>
        <w:rPr>
          <w:rFonts w:ascii="Arial" w:hAnsi="Arial"/>
          <w:b/>
          <w:i/>
          <w:color w:val="000000"/>
          <w:sz w:val="20"/>
        </w:rPr>
        <w:t>Basis for Opinions</w:t>
      </w:r>
    </w:p>
    <w:p>
      <w:pPr>
        <w:pStyle w:val="TextBody"/>
        <w:bidi w:val="0"/>
        <w:spacing w:before="0" w:after="200"/>
        <w:jc w:val="left"/>
        <w:rPr>
          <w:rFonts w:ascii="Arial" w:hAnsi="Arial"/>
          <w:color w:val="000000"/>
          <w:sz w:val="20"/>
        </w:rPr>
      </w:pPr>
      <w:r>
        <w:rPr>
          <w:rFonts w:ascii="Arial" w:hAnsi="Arial"/>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left"/>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200"/>
        <w:jc w:val="left"/>
        <w:rPr>
          <w:rFonts w:ascii="Arial" w:hAnsi="Arial"/>
          <w:color w:val="000000"/>
          <w:sz w:val="20"/>
        </w:rPr>
      </w:pPr>
      <w:r>
        <w:rPr>
          <w:rFonts w:ascii="Arial" w:hAnsi="Arial"/>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200"/>
        <w:jc w:val="left"/>
        <w:rPr>
          <w:rFonts w:ascii="Arial" w:hAnsi="Arial"/>
          <w:color w:val="000000"/>
          <w:sz w:val="20"/>
        </w:rPr>
      </w:pPr>
      <w:r>
        <w:rPr>
          <w:rFonts w:ascii="Arial" w:hAnsi="Arial"/>
          <w:color w:val="000000"/>
          <w:sz w:val="20"/>
        </w:rPr>
        <w:t>As described in Management’s Annual Report on Internal Control Over Financial Reporting, management has excluded Sertifi LLC (“Sertifi”) from its assessment of internal control over financial reporting as of December 31, 2025, because it was acquired by the Company in a purchase business combination during 2025. We have also excluded Sertifi from our audit of internal control over financial reporting. Sertifi is a wholly-owned subsidiary whose total assets and total revenues excluded from management’s assessment and our audit of internal control over financial reporting represent approximately 2% and 7%, respectively, of the related consolidated financial statement amounts as of and for the year ended December 31, 2025.</w:t>
      </w:r>
    </w:p>
    <w:p>
      <w:pPr>
        <w:pStyle w:val="TextBody"/>
        <w:bidi w:val="0"/>
        <w:spacing w:before="0" w:after="200"/>
        <w:jc w:val="left"/>
        <w:rPr>
          <w:rFonts w:ascii="Arial" w:hAnsi="Arial"/>
          <w:b/>
          <w:i/>
          <w:color w:val="000000"/>
          <w:sz w:val="20"/>
        </w:rPr>
      </w:pPr>
      <w:r>
        <w:rPr>
          <w:rFonts w:ascii="Arial" w:hAnsi="Arial"/>
          <w:b/>
          <w:i/>
          <w:color w:val="000000"/>
          <w:sz w:val="20"/>
        </w:rPr>
        <w:t>Definition and Limitations of Internal Control over Financial Reporting</w:t>
      </w:r>
    </w:p>
    <w:p>
      <w:pPr>
        <w:pStyle w:val="TextBody"/>
        <w:bidi w:val="0"/>
        <w:spacing w:before="0" w:after="200"/>
        <w:jc w:val="left"/>
        <w:rPr>
          <w:rFonts w:ascii="Times New Roman" w:hAnsi="Times New Roman"/>
          <w:sz w:val="20"/>
        </w:rPr>
      </w:pPr>
      <w:r>
        <w:rPr>
          <w:rFonts w:ascii="Arial" w:hAnsi="Arial"/>
          <w:color w:val="000000"/>
          <w:sz w:val="20"/>
        </w:rPr>
        <w:t>A company’s internal control over financial reporting is a process designed to provide reasonable assurance regarding the reliability of financial reporting and the preparation of financial statements for external purposes in accordance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00"/>
        <w:jc w:val="left"/>
        <w:rPr>
          <w:rFonts w:ascii="Arial" w:hAnsi="Arial"/>
          <w:color w:val="000000"/>
          <w:sz w:val="20"/>
        </w:rPr>
      </w:pPr>
      <w:r>
        <w:rPr>
          <w:rFonts w:ascii="Arial" w:hAnsi="Arial"/>
          <w:color w:val="000000"/>
          <w:sz w:val="20"/>
        </w:rPr>
        <w:t>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jc w:val="left"/>
        <w:rPr>
          <w:rFonts w:ascii="Arial" w:hAnsi="Arial"/>
          <w:color w:val="000000"/>
          <w:sz w:val="20"/>
        </w:rPr>
      </w:pPr>
      <w:r>
        <w:rPr>
          <w:rFonts w:ascii="Arial" w:hAnsi="Arial"/>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jc w:val="left"/>
        <w:rPr>
          <w:rFonts w:ascii="Arial" w:hAnsi="Arial"/>
          <w:b/>
          <w:i/>
          <w:color w:val="000000"/>
          <w:sz w:val="20"/>
        </w:rPr>
      </w:pPr>
      <w:r>
        <w:rPr>
          <w:rFonts w:ascii="Arial" w:hAnsi="Arial"/>
          <w:b/>
          <w:i/>
          <w:color w:val="000000"/>
          <w:sz w:val="20"/>
        </w:rPr>
        <w:t>Critical Audit Matters</w:t>
      </w:r>
    </w:p>
    <w:p>
      <w:pPr>
        <w:pStyle w:val="TextBody"/>
        <w:bidi w:val="0"/>
        <w:spacing w:before="0" w:after="200"/>
        <w:jc w:val="left"/>
        <w:rPr>
          <w:rFonts w:ascii="Arial" w:hAnsi="Arial"/>
          <w:color w:val="000000"/>
          <w:sz w:val="20"/>
        </w:rPr>
      </w:pPr>
      <w:r>
        <w:rPr>
          <w:rFonts w:ascii="Arial" w:hAnsi="Arial"/>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200"/>
        <w:jc w:val="left"/>
        <w:rPr>
          <w:rFonts w:ascii="Arial" w:hAnsi="Arial"/>
          <w:i/>
          <w:color w:val="000000"/>
          <w:sz w:val="20"/>
        </w:rPr>
      </w:pPr>
      <w:r>
        <w:rPr>
          <w:rFonts w:ascii="Arial" w:hAnsi="Arial"/>
          <w:i/>
          <w:color w:val="000000"/>
          <w:sz w:val="20"/>
        </w:rPr>
        <w:t>Revenue Recognition – Transaction Revenue for Cross-Border Transactions</w:t>
      </w:r>
    </w:p>
    <w:p>
      <w:pPr>
        <w:pStyle w:val="TextBody"/>
        <w:bidi w:val="0"/>
        <w:spacing w:before="0" w:after="200"/>
        <w:jc w:val="left"/>
        <w:rPr>
          <w:rFonts w:ascii="Arial" w:hAnsi="Arial"/>
          <w:color w:val="000000"/>
          <w:sz w:val="20"/>
        </w:rPr>
      </w:pPr>
      <w:r>
        <w:rPr>
          <w:rFonts w:ascii="Arial" w:hAnsi="Arial"/>
          <w:color w:val="000000"/>
          <w:sz w:val="20"/>
        </w:rPr>
        <w:t>As described in Notes 1 and 2 to the consolidated financial statements, the Company’s transaction revenue relates to fees charged for payment processing services provided to educational institutions, healthcare entities and other commercial entities (each a client), which is comprised of processing domestic and cross-border transactions. The Company’s services relate to facilitating payments from individuals, such as students and patients, and organizations (the client’s customer) to clients. Revenue is recognized for the fee to which the Company is entitled for processing the payment. Total transaction revenue for the year ended December 31, 2025 was $502.7 million, of which a significant portion related to cross-border transactions.</w:t>
      </w:r>
    </w:p>
    <w:p>
      <w:pPr>
        <w:pStyle w:val="TextBody"/>
        <w:bidi w:val="0"/>
        <w:spacing w:before="0" w:after="200"/>
        <w:jc w:val="left"/>
        <w:rPr>
          <w:rFonts w:ascii="Arial" w:hAnsi="Arial"/>
          <w:color w:val="000000"/>
          <w:sz w:val="20"/>
        </w:rPr>
      </w:pPr>
      <w:r>
        <w:rPr>
          <w:rFonts w:ascii="Arial" w:hAnsi="Arial"/>
          <w:color w:val="000000"/>
          <w:sz w:val="20"/>
        </w:rPr>
        <w:t>The principal considerations for our determination that performing procedures relating to recognition of transaction revenue for cross-border transactions is a critical audit matter are a high degree of auditor effort in performing procedures and evaluating audit evidence related to the Company’s revenue recognition for cross-border transactions.</w:t>
      </w:r>
    </w:p>
    <w:p>
      <w:pPr>
        <w:pStyle w:val="TextBody"/>
        <w:bidi w:val="0"/>
        <w:spacing w:before="0" w:after="200"/>
        <w:jc w:val="left"/>
        <w:rPr>
          <w:rFonts w:ascii="Arial" w:hAnsi="Arial"/>
          <w:color w:val="000000"/>
          <w:sz w:val="20"/>
        </w:rPr>
      </w:pPr>
      <w:r>
        <w:rPr>
          <w:rFonts w:ascii="Arial" w:hAnsi="Arial"/>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revenue recognition for cross-border transactions. These procedures also included, among others (i) testing the revenue recognized for a sample of cross-border revenue transactions by obtaining and inspecting source documents, such as client contracts, cash receipts and cash payments; (ii) testing the revenue recognized for a sample of cross-border revenue transactions near December 31, 2025 by obtaining and inspecting source documents, such as bank statements; and (iii) confirming a sample of balances receivable from third party payment providers outstanding as of December 31, 2025.</w:t>
      </w:r>
    </w:p>
    <w:p>
      <w:pPr>
        <w:pStyle w:val="TextBody"/>
        <w:bidi w:val="0"/>
        <w:spacing w:before="0" w:after="200"/>
        <w:jc w:val="left"/>
        <w:rPr>
          <w:rFonts w:ascii="Arial" w:hAnsi="Arial"/>
          <w:i/>
          <w:color w:val="000000"/>
          <w:sz w:val="20"/>
        </w:rPr>
      </w:pPr>
      <w:r>
        <w:rPr>
          <w:rFonts w:ascii="Arial" w:hAnsi="Arial"/>
          <w:i/>
          <w:color w:val="000000"/>
          <w:sz w:val="20"/>
        </w:rPr>
        <w:t>Acquisition of Sertifi LLC – Valuation of Certain Acquired Relationships and Developed Technology</w:t>
      </w:r>
    </w:p>
    <w:p>
      <w:pPr>
        <w:pStyle w:val="TextBody"/>
        <w:bidi w:val="0"/>
        <w:spacing w:before="0" w:after="200"/>
        <w:jc w:val="left"/>
        <w:rPr>
          <w:rFonts w:ascii="Arial" w:hAnsi="Arial"/>
          <w:color w:val="000000"/>
          <w:sz w:val="20"/>
        </w:rPr>
      </w:pPr>
      <w:r>
        <w:rPr>
          <w:rFonts w:ascii="Arial" w:hAnsi="Arial"/>
          <w:color w:val="000000"/>
          <w:sz w:val="20"/>
        </w:rPr>
        <w:t>As described in Notes 1 and 10 to the consolidated financial statements, on February 24, 2025, the Company acquired Sertifi for total purchase consideration of $328.0 million, net of cash acquired. Of the acquired intangible assets, $53.1 million was allocated to acquired relationships, of which a significant portion relates to certain acquired relationships, and $29.0 million was allocated to developed technology. Management estimates the fair value of acquired relationships using the multi-period excess earnings method and estimates the fair value of acquired developed technology using the relief-from-royalty method. Determining the fair value of assets acquired is judgmental in nature and can involve the use of significant estimates and assumptions. Fair value determinations are based on, among other factors, estimates of future expected cash flows, revenue growth rates, royalty rates, operating margins and add-backs, obsolescence rate, customer attrition rates, and appropriate discount rates used in computing present values.</w:t>
      </w:r>
    </w:p>
    <w:p>
      <w:pPr>
        <w:pStyle w:val="TextBody"/>
        <w:bidi w:val="0"/>
        <w:spacing w:before="120" w:after="283"/>
        <w:jc w:val="center"/>
        <w:rPr>
          <w:rFonts w:ascii="Arial" w:hAnsi="Arial"/>
          <w:color w:val="000000"/>
          <w:sz w:val="20"/>
        </w:rPr>
      </w:pPr>
      <w:r>
        <w:rPr>
          <w:rFonts w:ascii="Arial" w:hAnsi="Arial"/>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00"/>
        <w:jc w:val="left"/>
        <w:rPr>
          <w:rFonts w:ascii="Arial" w:hAnsi="Arial"/>
          <w:color w:val="000000"/>
          <w:sz w:val="20"/>
        </w:rPr>
      </w:pPr>
      <w:r>
        <w:rPr>
          <w:rFonts w:ascii="Arial" w:hAnsi="Arial"/>
          <w:color w:val="000000"/>
          <w:sz w:val="20"/>
        </w:rPr>
        <w:t>The principal considerations for our determination that performing procedures relating to the valuation of certain acquired relationships and developed technology acquired in the acquisition of Sertifi is a critical audit matter are (i) the significant judgment by management when developing the fair value estimates of the certain acquired relationships and the developed technology acquired; (ii) a high degree of auditor judgment, subjectivity, and effort in performing procedures and evaluating management’s significant assumptions related to revenue growth rates and discount rate for the certain acquired relationships and revenue growth rates, obsolescence rate and discount rate for the developed technology acquired; and (iii) the audit effort involved the use of professionals with specialized skill and knowledge.</w:t>
      </w:r>
    </w:p>
    <w:p>
      <w:pPr>
        <w:pStyle w:val="TextBody"/>
        <w:bidi w:val="0"/>
        <w:spacing w:before="0" w:after="200"/>
        <w:jc w:val="left"/>
        <w:rPr>
          <w:rFonts w:ascii="Arial" w:hAnsi="Arial"/>
          <w:color w:val="000000"/>
          <w:sz w:val="20"/>
        </w:rPr>
      </w:pPr>
      <w:r>
        <w:rPr>
          <w:rFonts w:ascii="Arial" w:hAnsi="Arial"/>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certain acquired relationships and the developed technology acquired. These procedures also included, among others (i) reading the purchase agreement; (ii) testing management’s process for developing the fair value estimate of the certain acquired relationships and the developed technology acquired; (iii) evaluating the appropriateness of the multi-period excess earnings and relief-from-royalty methods used by management; (iv) testing the completeness and accuracy of the underlying data used in the multi-period excess earnings and relief-from-royalty methods; and (v) evaluating the reasonableness of the significant assumptions used by management related to revenue growth rates and discount rate for the certain acquired relationships and revenue growth rates, obsolescence rate and discount rate for the developed technology acquired. Evaluating management’s assumptions related to revenue growth rates involved considering (i) the current and past performance of the Sertifi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and relief-from-royalty methods used by management and (ii) the reasonableness of the assumptions related to the obsolescence rate for the developed technology acquired and discount rates for the certain acquired relationships and the developed technology acquired.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 PricewaterhouseCoopers LLP</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Boston, Massachusetts</w:t>
      </w:r>
    </w:p>
    <w:p>
      <w:pPr>
        <w:pStyle w:val="TextBody"/>
        <w:bidi w:val="0"/>
        <w:spacing w:before="0" w:after="200"/>
        <w:jc w:val="left"/>
        <w:rPr>
          <w:rFonts w:ascii="Arial" w:hAnsi="Arial"/>
          <w:color w:val="000000"/>
          <w:sz w:val="20"/>
        </w:rPr>
      </w:pPr>
      <w:r>
        <w:rPr>
          <w:rFonts w:ascii="Arial" w:hAnsi="Arial"/>
          <w:color w:val="000000"/>
          <w:sz w:val="20"/>
        </w:rPr>
        <w:t>February 24, 2026</w:t>
      </w:r>
    </w:p>
    <w:p>
      <w:pPr>
        <w:pStyle w:val="TextBody"/>
        <w:bidi w:val="0"/>
        <w:jc w:val="left"/>
        <w:rPr>
          <w:rFonts w:ascii="Times New Roman" w:hAnsi="Times New Roman"/>
          <w:sz w:val="20"/>
        </w:rPr>
      </w:pPr>
      <w:r>
        <w:rPr>
          <w:rFonts w:ascii="Arial" w:hAnsi="Arial"/>
          <w:color w:val="000000"/>
          <w:sz w:val="20"/>
        </w:rPr>
        <w:t>We have served as the Company’s auditor since 2019.</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9" w:name="fin469729_2"/>
      <w:bookmarkEnd w:id="19"/>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0" w:name="balance_sheets"/>
      <w:bookmarkEnd w:id="20"/>
      <w:r>
        <w:rPr>
          <w:rFonts w:ascii="Arial" w:hAnsi="Arial"/>
          <w:b/>
          <w:color w:val="000000"/>
          <w:sz w:val="20"/>
        </w:rPr>
        <w:t>CONSOLIDATED</w:t>
      </w:r>
      <w:r>
        <w:rPr>
          <w:rFonts w:ascii="Times New Roman" w:hAnsi="Times New Roman"/>
          <w:color w:val="000000"/>
          <w:sz w:val="20"/>
        </w:rPr>
        <w:t xml:space="preserve"> </w:t>
      </w:r>
      <w:r>
        <w:rPr>
          <w:rFonts w:ascii="Arial" w:hAnsi="Arial"/>
          <w:b/>
          <w:color w:val="000000"/>
          <w:sz w:val="20"/>
        </w:rPr>
        <w:t>BALANCE SHEETS</w:t>
      </w:r>
      <w:r>
        <w:rPr>
          <w:rFonts w:ascii="Times New Roman" w:hAnsi="Times New Roman"/>
          <w:color w:val="000000"/>
          <w:sz w:val="20"/>
        </w:rPr>
        <w:t xml:space="preserve"> </w:t>
      </w:r>
    </w:p>
    <w:p>
      <w:pPr>
        <w:pStyle w:val="TextBody"/>
        <w:bidi w:val="0"/>
        <w:spacing w:before="0" w:after="200"/>
        <w:jc w:val="center"/>
        <w:rPr>
          <w:rFonts w:ascii="Arial" w:hAnsi="Arial"/>
          <w:color w:val="000000"/>
          <w:sz w:val="20"/>
        </w:rPr>
      </w:pPr>
      <w:r>
        <w:rPr>
          <w:rFonts w:ascii="Arial" w:hAnsi="Arial"/>
          <w:color w:val="000000"/>
          <w:sz w:val="20"/>
        </w:rPr>
        <w:t>(Amounts in thousands, except par value per share and share amounts)</w:t>
      </w:r>
    </w:p>
    <w:tbl>
      <w:tblPr>
        <w:tblW w:w="10205" w:type="dxa"/>
        <w:jc w:val="left"/>
        <w:tblInd w:w="0" w:type="dxa"/>
        <w:tblLayout w:type="fixed"/>
        <w:tblCellMar>
          <w:top w:w="28" w:type="dxa"/>
          <w:left w:w="28" w:type="dxa"/>
          <w:bottom w:w="28" w:type="dxa"/>
          <w:right w:w="28" w:type="dxa"/>
        </w:tblCellMar>
      </w:tblPr>
      <w:tblGrid>
        <w:gridCol w:w="6857"/>
        <w:gridCol w:w="380"/>
        <w:gridCol w:w="1023"/>
        <w:gridCol w:w="346"/>
        <w:gridCol w:w="363"/>
        <w:gridCol w:w="1236"/>
      </w:tblGrid>
      <w:tr>
        <w:trPr/>
        <w:tc>
          <w:tcPr>
            <w:tcW w:w="685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495,242</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investments</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115,848</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Accounts receivable, net of allowance of $834</w:t>
            </w:r>
            <w:r>
              <w:rPr>
                <w:rFonts w:ascii="Times New Roman" w:hAnsi="Times New Roman"/>
                <w:color w:val="000000"/>
                <w:sz w:val="20"/>
              </w:rPr>
              <w:t> </w:t>
            </w:r>
            <w:r>
              <w:rPr>
                <w:rFonts w:ascii="Arial" w:hAnsi="Arial"/>
                <w:color w:val="000000"/>
                <w:sz w:val="18"/>
              </w:rPr>
              <w:t>and $410, respectively</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34,776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23,703</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Unbilled receivables, net of allowance of $45</w:t>
            </w:r>
            <w:r>
              <w:rPr>
                <w:rFonts w:ascii="Times New Roman" w:hAnsi="Times New Roman"/>
                <w:color w:val="000000"/>
                <w:sz w:val="20"/>
              </w:rPr>
              <w:t> </w:t>
            </w:r>
            <w:r>
              <w:rPr>
                <w:rFonts w:ascii="Arial" w:hAnsi="Arial"/>
                <w:color w:val="000000"/>
                <w:sz w:val="18"/>
              </w:rPr>
              <w:t>and $36, respectively</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15,453</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Funds receivable from payment partners</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155,455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90,110</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22,528</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assets</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602,288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762,884</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investments</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50,125</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17,160</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189,050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118,684</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406,507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149,558</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33,343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24,035</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assets</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1,253,313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1,122,446</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15,353</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Funds payable to clients</w:t>
            </w:r>
          </w:p>
        </w:tc>
        <w:tc>
          <w:tcPr>
            <w:tcW w:w="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310,799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217,788</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Accrued expenses and other current liabilities</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49,297</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revenue</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19,951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7,337</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current liabilities</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401,763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289,775</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liabilities</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12,643</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5,261</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liabilities</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418,142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307,679</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18)</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10,000,000</w:t>
            </w:r>
            <w:r>
              <w:rPr>
                <w:rFonts w:ascii="Times New Roman" w:hAnsi="Times New Roman"/>
                <w:color w:val="000000"/>
                <w:sz w:val="20"/>
              </w:rPr>
              <w:t> </w:t>
            </w:r>
            <w:r>
              <w:rPr>
                <w:rFonts w:ascii="Arial" w:hAnsi="Arial"/>
                <w:color w:val="000000"/>
                <w:sz w:val="18"/>
              </w:rPr>
              <w:t>shares authorized, none issued and outstanding as of December 31, 2025 and December 31, 2024</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Voting common stock, $0.0001</w:t>
            </w:r>
            <w:r>
              <w:rPr>
                <w:rFonts w:ascii="Times New Roman" w:hAnsi="Times New Roman"/>
                <w:color w:val="000000"/>
                <w:sz w:val="20"/>
              </w:rPr>
              <w:t> </w:t>
            </w:r>
            <w:r>
              <w:rPr>
                <w:rFonts w:ascii="Arial" w:hAnsi="Arial"/>
                <w:color w:val="000000"/>
                <w:sz w:val="18"/>
              </w:rPr>
              <w:t>par value; 2,000,000,000</w:t>
            </w:r>
            <w:r>
              <w:rPr>
                <w:rFonts w:ascii="Times New Roman" w:hAnsi="Times New Roman"/>
                <w:color w:val="000000"/>
                <w:sz w:val="20"/>
              </w:rPr>
              <w:t> </w:t>
            </w:r>
            <w:r>
              <w:rPr>
                <w:rFonts w:ascii="Arial" w:hAnsi="Arial"/>
                <w:color w:val="000000"/>
                <w:sz w:val="18"/>
              </w:rPr>
              <w:t>shares authorized, 130,335,519</w:t>
            </w:r>
            <w:r>
              <w:rPr>
                <w:rFonts w:ascii="Times New Roman" w:hAnsi="Times New Roman"/>
                <w:color w:val="000000"/>
                <w:sz w:val="20"/>
              </w:rPr>
              <w:t> </w:t>
            </w:r>
            <w:r>
              <w:rPr>
                <w:rFonts w:ascii="Arial" w:hAnsi="Arial"/>
                <w:color w:val="000000"/>
                <w:sz w:val="18"/>
              </w:rPr>
              <w:t>shares issued and 120,086,090</w:t>
            </w:r>
            <w:r>
              <w:rPr>
                <w:rFonts w:ascii="Times New Roman" w:hAnsi="Times New Roman"/>
                <w:color w:val="000000"/>
                <w:sz w:val="20"/>
              </w:rPr>
              <w:t> </w:t>
            </w:r>
            <w:r>
              <w:rPr>
                <w:rFonts w:ascii="Arial" w:hAnsi="Arial"/>
                <w:color w:val="000000"/>
                <w:sz w:val="18"/>
              </w:rPr>
              <w:t>shares outstanding as of December 31, 2025; 126,853,852</w:t>
            </w:r>
            <w:r>
              <w:rPr>
                <w:rFonts w:ascii="Times New Roman" w:hAnsi="Times New Roman"/>
                <w:color w:val="000000"/>
                <w:sz w:val="20"/>
              </w:rPr>
              <w:t> </w:t>
            </w:r>
            <w:r>
              <w:rPr>
                <w:rFonts w:ascii="Arial" w:hAnsi="Arial"/>
                <w:color w:val="000000"/>
                <w:sz w:val="18"/>
              </w:rPr>
              <w:t>shares issued and 122,182,878</w:t>
            </w:r>
            <w:r>
              <w:rPr>
                <w:rFonts w:ascii="Times New Roman" w:hAnsi="Times New Roman"/>
                <w:color w:val="000000"/>
                <w:sz w:val="20"/>
              </w:rPr>
              <w:t> </w:t>
            </w:r>
            <w:r>
              <w:rPr>
                <w:rFonts w:ascii="Arial" w:hAnsi="Arial"/>
                <w:color w:val="000000"/>
                <w:sz w:val="18"/>
              </w:rPr>
              <w:t>shares outstanding as of December 31, 2024</w:t>
            </w:r>
          </w:p>
        </w:tc>
        <w:tc>
          <w:tcPr>
            <w:tcW w:w="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13</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Non-voting common stock, $0.0001</w:t>
            </w:r>
            <w:r>
              <w:rPr>
                <w:rFonts w:ascii="Times New Roman" w:hAnsi="Times New Roman"/>
                <w:color w:val="000000"/>
                <w:sz w:val="20"/>
              </w:rPr>
              <w:t> </w:t>
            </w:r>
            <w:r>
              <w:rPr>
                <w:rFonts w:ascii="Arial" w:hAnsi="Arial"/>
                <w:color w:val="000000"/>
                <w:sz w:val="18"/>
              </w:rPr>
              <w:t>par value; 10,000,000</w:t>
            </w:r>
            <w:r>
              <w:rPr>
                <w:rFonts w:ascii="Times New Roman" w:hAnsi="Times New Roman"/>
                <w:color w:val="000000"/>
                <w:sz w:val="20"/>
              </w:rPr>
              <w:t> </w:t>
            </w:r>
            <w:r>
              <w:rPr>
                <w:rFonts w:ascii="Arial" w:hAnsi="Arial"/>
                <w:color w:val="000000"/>
                <w:sz w:val="18"/>
              </w:rPr>
              <w:t>shares authorized, 1,873,320</w:t>
            </w:r>
            <w:r>
              <w:rPr>
                <w:rFonts w:ascii="Times New Roman" w:hAnsi="Times New Roman"/>
                <w:color w:val="000000"/>
                <w:sz w:val="20"/>
              </w:rPr>
              <w:t> </w:t>
            </w:r>
            <w:r>
              <w:rPr>
                <w:rFonts w:ascii="Arial" w:hAnsi="Arial"/>
                <w:color w:val="000000"/>
                <w:sz w:val="18"/>
              </w:rPr>
              <w:t>shares issued and outstanding as of December 31, 2025 and December 31, 2024, respectively</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Treasury voting common stock, at cost; 10,249,429</w:t>
            </w:r>
            <w:r>
              <w:rPr>
                <w:rFonts w:ascii="Times New Roman" w:hAnsi="Times New Roman"/>
                <w:color w:val="000000"/>
                <w:sz w:val="20"/>
              </w:rPr>
              <w:t> </w:t>
            </w:r>
            <w:r>
              <w:rPr>
                <w:rFonts w:ascii="Arial" w:hAnsi="Arial"/>
                <w:color w:val="000000"/>
                <w:sz w:val="18"/>
              </w:rPr>
              <w:t>and 4,670,974</w:t>
            </w:r>
            <w:r>
              <w:rPr>
                <w:rFonts w:ascii="Times New Roman" w:hAnsi="Times New Roman"/>
                <w:color w:val="000000"/>
                <w:sz w:val="20"/>
              </w:rPr>
              <w:t> </w:t>
            </w:r>
            <w:r>
              <w:rPr>
                <w:rFonts w:ascii="Arial" w:hAnsi="Arial"/>
                <w:color w:val="000000"/>
                <w:sz w:val="18"/>
              </w:rPr>
              <w:t>shares as of December 31, 2025 and December 31, 2024, respectively</w:t>
            </w:r>
          </w:p>
        </w:tc>
        <w:tc>
          <w:tcPr>
            <w:tcW w:w="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(118,636)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(46,268)</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Additional paid-in capital</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1,108,679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1,033,958</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Accumulated other comprehensive income (loss)</w:t>
            </w:r>
          </w:p>
        </w:tc>
        <w:tc>
          <w:tcPr>
            <w:tcW w:w="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(2,066)</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Accumulated deficit</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(157,373)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(170,870)</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stockholders’ equity</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835,171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814,767</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liabilities and stockholders’ equity</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1,253,313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1,122,446</w:t>
            </w:r>
          </w:p>
        </w:tc>
      </w:tr>
    </w:tbl>
    <w:p>
      <w:pPr>
        <w:pStyle w:val="TextBody"/>
        <w:bidi w:val="0"/>
        <w:spacing w:before="200" w:after="283"/>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spacing w:before="120" w:after="283"/>
        <w:jc w:val="center"/>
        <w:rPr>
          <w:rFonts w:ascii="Arial" w:hAnsi="Arial"/>
          <w:color w:val="000000"/>
          <w:sz w:val="20"/>
        </w:rPr>
      </w:pPr>
      <w:r>
        <w:rPr>
          <w:rFonts w:ascii="Arial" w:hAnsi="Arial"/>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1" w:name="fin469729_3"/>
      <w:bookmarkEnd w:id="21"/>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22" w:name="statements_of_operations_and_comprehens"/>
      <w:bookmarkEnd w:id="22"/>
      <w:r>
        <w:rPr>
          <w:rFonts w:ascii="Arial" w:hAnsi="Arial"/>
          <w:b/>
          <w:color w:val="000000"/>
          <w:sz w:val="20"/>
        </w:rPr>
        <w:t>CONSOLIDATED STATEMENTS OF OPERATIONS AND COMPREHENSIVE INCOME (LOSS)</w:t>
      </w:r>
    </w:p>
    <w:p>
      <w:pPr>
        <w:pStyle w:val="TextBody"/>
        <w:bidi w:val="0"/>
        <w:spacing w:before="0" w:after="200"/>
        <w:jc w:val="center"/>
        <w:rPr>
          <w:rFonts w:ascii="Times New Roman" w:hAnsi="Times New Roman"/>
          <w:sz w:val="20"/>
        </w:rPr>
      </w:pPr>
      <w:r>
        <w:rPr>
          <w:rFonts w:ascii="Arial" w:hAnsi="Arial"/>
          <w:color w:val="000000"/>
          <w:sz w:val="20"/>
        </w:rPr>
        <w:t>(Amounts in thousands, except share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812"/>
        <w:gridCol w:w="211"/>
        <w:gridCol w:w="1141"/>
        <w:gridCol w:w="146"/>
        <w:gridCol w:w="211"/>
        <w:gridCol w:w="1141"/>
        <w:gridCol w:w="146"/>
        <w:gridCol w:w="211"/>
        <w:gridCol w:w="1186"/>
      </w:tblGrid>
      <w:tr>
        <w:trPr/>
        <w:tc>
          <w:tcPr>
            <w:tcW w:w="5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403,094</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Payment processing services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147,339</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Technology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62,028</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Selling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107,621</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107,624</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Restructuring</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424,612</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Income (loss) from operations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(21,518)</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(372)</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13,349</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(loss) from remeasurement of foreign currency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4,189</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Gain on available-for-sale debt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17,166</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(4,352)</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(benefit from)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4,214</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(8,566)</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translation adjustment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3,232</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(losses) gains on available-for-sale debt securities, net of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comprehensive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3,232</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Comprehensive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attributable to common stockholders –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(8,566)</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per share attributable to common stockholders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per share attributable to common stockholders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r>
      <w:tr>
        <w:trPr/>
        <w:tc>
          <w:tcPr>
            <w:tcW w:w="5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122,377,814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124,269,820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114,828,494</w:t>
            </w:r>
          </w:p>
        </w:tc>
      </w:tr>
      <w:tr>
        <w:trPr/>
        <w:tc>
          <w:tcPr>
            <w:tcW w:w="58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127,747,476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129,339,462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114,828,494</w:t>
            </w:r>
          </w:p>
        </w:tc>
      </w:tr>
    </w:tbl>
    <w:p>
      <w:pPr>
        <w:pStyle w:val="TextBody"/>
        <w:bidi w:val="0"/>
        <w:spacing w:before="200" w:after="283"/>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spacing w:before="120" w:after="283"/>
        <w:jc w:val="center"/>
        <w:rPr>
          <w:rFonts w:ascii="Arial" w:hAnsi="Arial"/>
          <w:color w:val="000000"/>
          <w:sz w:val="20"/>
        </w:rPr>
      </w:pPr>
      <w:r>
        <w:rPr>
          <w:rFonts w:ascii="Arial" w:hAnsi="Arial"/>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3" w:name="fin469729_5"/>
      <w:bookmarkEnd w:id="23"/>
      <w:r>
        <w:rPr>
          <w:rFonts w:ascii="Arial" w:hAnsi="Arial"/>
          <w:b/>
          <w:color w:val="000000"/>
          <w:sz w:val="18"/>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4" w:name="convertible_preferred_stock_redeemable"/>
      <w:bookmarkEnd w:id="24"/>
      <w:r>
        <w:rPr>
          <w:rFonts w:ascii="Arial" w:hAnsi="Arial"/>
          <w:b/>
          <w:color w:val="000000"/>
          <w:sz w:val="18"/>
        </w:rPr>
        <w:t>CONSOLIDATED STATEMENTS OF</w:t>
      </w:r>
      <w:r>
        <w:rPr>
          <w:rFonts w:ascii="Times New Roman" w:hAnsi="Times New Roman"/>
          <w:color w:val="000000"/>
          <w:sz w:val="20"/>
        </w:rPr>
        <w:t xml:space="preserve"> </w:t>
      </w:r>
      <w:r>
        <w:rPr>
          <w:rFonts w:ascii="Arial" w:hAnsi="Arial"/>
          <w:b/>
          <w:color w:val="000000"/>
          <w:sz w:val="18"/>
        </w:rPr>
        <w:t>STOCKHOLDERS’ EQUITY</w:t>
      </w:r>
      <w:r>
        <w:rPr>
          <w:rFonts w:ascii="Times New Roman" w:hAnsi="Times New Roman"/>
          <w:color w:val="000000"/>
          <w:sz w:val="20"/>
        </w:rPr>
        <w:t xml:space="preserve"> </w:t>
      </w:r>
    </w:p>
    <w:p>
      <w:pPr>
        <w:pStyle w:val="TextBody"/>
        <w:bidi w:val="0"/>
        <w:spacing w:before="0" w:after="200"/>
        <w:jc w:val="center"/>
        <w:rPr>
          <w:rFonts w:ascii="Arial" w:hAnsi="Arial"/>
          <w:color w:val="000000"/>
          <w:sz w:val="18"/>
        </w:rPr>
      </w:pPr>
      <w:r>
        <w:rPr>
          <w:rFonts w:ascii="Arial" w:hAnsi="Arial"/>
          <w:color w:val="000000"/>
          <w:sz w:val="18"/>
        </w:rPr>
        <w:t>(Amounts in thousands, except share amounts)</w:t>
      </w:r>
    </w:p>
    <w:tbl>
      <w:tblPr>
        <w:tblW w:w="11247" w:type="dxa"/>
        <w:jc w:val="left"/>
        <w:tblInd w:w="0" w:type="dxa"/>
        <w:tblLayout w:type="fixed"/>
        <w:tblCellMar>
          <w:top w:w="28" w:type="dxa"/>
          <w:left w:w="28" w:type="dxa"/>
          <w:bottom w:w="28" w:type="dxa"/>
          <w:right w:w="28" w:type="dxa"/>
        </w:tblCellMar>
      </w:tblPr>
      <w:tblGrid>
        <w:gridCol w:w="1171"/>
        <w:gridCol w:w="871"/>
        <w:gridCol w:w="146"/>
        <w:gridCol w:w="181"/>
        <w:gridCol w:w="571"/>
        <w:gridCol w:w="146"/>
        <w:gridCol w:w="721"/>
        <w:gridCol w:w="146"/>
        <w:gridCol w:w="181"/>
        <w:gridCol w:w="571"/>
        <w:gridCol w:w="146"/>
        <w:gridCol w:w="766"/>
        <w:gridCol w:w="146"/>
        <w:gridCol w:w="181"/>
        <w:gridCol w:w="571"/>
        <w:gridCol w:w="146"/>
        <w:gridCol w:w="181"/>
        <w:gridCol w:w="721"/>
        <w:gridCol w:w="146"/>
        <w:gridCol w:w="181"/>
        <w:gridCol w:w="976"/>
        <w:gridCol w:w="146"/>
        <w:gridCol w:w="181"/>
        <w:gridCol w:w="841"/>
        <w:gridCol w:w="146"/>
        <w:gridCol w:w="181"/>
        <w:gridCol w:w="886"/>
      </w:tblGrid>
      <w:tr>
        <w:trPr/>
        <w:tc>
          <w:tcPr>
            <w:tcW w:w="11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Stockholders’</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2022</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109,790,702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(2,317,722)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649,756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(165,204)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481,903</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in connection with public offering, net of underwriter discounts and commissions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261,120</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Costs incurred in connection with public offering</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(1,062)</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treasury stock under equity incentive plans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 net of tax withheld</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3,339,587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settlement of restricted stock units, net of tax withheld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1,192,362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for retention bonus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1,196</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under employee stock purchase plan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145,058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2,691</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Foreign currency translation adjustment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3,232</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43,726</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loss</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(8,566)</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2023</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123,010,207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(2,315,045)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(173,770)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786,117</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 net of tax withheld</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1,799,325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5,614</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settlement of restricted stock units, net of tax withheld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1,794,743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(798)</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under employee stock purchase plan</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3,108</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for retention bonus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324</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Common stock repurchases, including related costs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(2,386,856)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(45,564)</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treasury stock under equity incentive plans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Foreign currency translation adjustment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(3,594)</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gains on available-for-sale debt securities, net of taxes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208</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66,452</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2,900</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2024</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126,853,852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(4,670,974)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1,033,958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814,767</w:t>
            </w:r>
          </w:p>
        </w:tc>
      </w:tr>
    </w:tbl>
    <w:p>
      <w:pPr>
        <w:pStyle w:val="TextBody"/>
        <w:bidi w:val="0"/>
        <w:spacing w:before="200" w:after="6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1397" w:type="dxa"/>
        <w:jc w:val="left"/>
        <w:tblInd w:w="0" w:type="dxa"/>
        <w:tblLayout w:type="fixed"/>
        <w:tblCellMar>
          <w:top w:w="28" w:type="dxa"/>
          <w:left w:w="28" w:type="dxa"/>
          <w:bottom w:w="28" w:type="dxa"/>
          <w:right w:w="28" w:type="dxa"/>
        </w:tblCellMar>
      </w:tblPr>
      <w:tblGrid>
        <w:gridCol w:w="1171"/>
        <w:gridCol w:w="871"/>
        <w:gridCol w:w="146"/>
        <w:gridCol w:w="181"/>
        <w:gridCol w:w="571"/>
        <w:gridCol w:w="146"/>
        <w:gridCol w:w="721"/>
        <w:gridCol w:w="146"/>
        <w:gridCol w:w="181"/>
        <w:gridCol w:w="571"/>
        <w:gridCol w:w="146"/>
        <w:gridCol w:w="841"/>
        <w:gridCol w:w="146"/>
        <w:gridCol w:w="181"/>
        <w:gridCol w:w="646"/>
        <w:gridCol w:w="146"/>
        <w:gridCol w:w="181"/>
        <w:gridCol w:w="721"/>
        <w:gridCol w:w="146"/>
        <w:gridCol w:w="181"/>
        <w:gridCol w:w="976"/>
        <w:gridCol w:w="146"/>
        <w:gridCol w:w="181"/>
        <w:gridCol w:w="841"/>
        <w:gridCol w:w="146"/>
        <w:gridCol w:w="181"/>
        <w:gridCol w:w="886"/>
      </w:tblGrid>
      <w:tr>
        <w:trPr/>
        <w:tc>
          <w:tcPr>
            <w:tcW w:w="11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Stockholders’</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2024</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126,853,852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(4,670,974)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1,033,958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814,767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 net of tax withheld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854,857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2,303</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settlement of restricted stock units, net of tax withheld</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2,284,888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(4,214)</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for retention bonus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treasury stock under equity incentive plans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under employee stock purchase plan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299,924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3,338</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Common stock repurchases, including related costs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(5,623,829)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(72,856)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(72,856)</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Foreign currency translation adjustment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4,707</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losses on available-for-sale debt securities, net of taxes</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73,782</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13,497</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2025</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130,335,519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1,873,320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(10,249,429)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(118,636)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1,108,679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835,171</w:t>
            </w:r>
          </w:p>
        </w:tc>
      </w:tr>
    </w:tbl>
    <w:p>
      <w:pPr>
        <w:pStyle w:val="TextBody"/>
        <w:bidi w:val="0"/>
        <w:spacing w:before="200" w:after="283"/>
        <w:jc w:val="center"/>
        <w:rPr>
          <w:rFonts w:ascii="Arial" w:hAnsi="Arial"/>
          <w:color w:val="000000"/>
          <w:sz w:val="18"/>
        </w:rPr>
      </w:pPr>
      <w:r>
        <w:rPr>
          <w:rFonts w:ascii="Arial" w:hAnsi="Arial"/>
          <w:color w:val="000000"/>
          <w:sz w:val="18"/>
        </w:rPr>
        <w:t>The accompanying notes are an integral part of these consolidated financial statements.</w:t>
      </w:r>
    </w:p>
    <w:p>
      <w:pPr>
        <w:pStyle w:val="TextBody"/>
        <w:bidi w:val="0"/>
        <w:spacing w:before="120" w:after="283"/>
        <w:jc w:val="center"/>
        <w:rPr>
          <w:rFonts w:ascii="Arial" w:hAnsi="Arial"/>
          <w:color w:val="000000"/>
          <w:sz w:val="20"/>
        </w:rPr>
      </w:pPr>
      <w:r>
        <w:rPr>
          <w:rFonts w:ascii="Arial" w:hAnsi="Arial"/>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5" w:name="fin469729_6"/>
      <w:bookmarkEnd w:id="25"/>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6" w:name="statement_of_cash_flows"/>
      <w:bookmarkEnd w:id="26"/>
      <w:r>
        <w:rPr>
          <w:rFonts w:ascii="Arial" w:hAnsi="Arial"/>
          <w:b/>
          <w:color w:val="000000"/>
          <w:sz w:val="20"/>
        </w:rPr>
        <w:t>CONSOLIDATED STATEMENTS OF CASH FLOWS</w:t>
      </w:r>
      <w:r>
        <w:rPr>
          <w:rFonts w:ascii="Times New Roman" w:hAnsi="Times New Roman"/>
          <w:color w:val="000000"/>
          <w:sz w:val="20"/>
        </w:rPr>
        <w:t xml:space="preserve"> </w:t>
      </w:r>
    </w:p>
    <w:p>
      <w:pPr>
        <w:pStyle w:val="TextBody"/>
        <w:bidi w:val="0"/>
        <w:spacing w:before="0" w:after="200"/>
        <w:jc w:val="center"/>
        <w:rPr>
          <w:rFonts w:ascii="Arial" w:hAnsi="Arial"/>
          <w:color w:val="000000"/>
          <w:sz w:val="20"/>
        </w:rPr>
      </w:pPr>
      <w:r>
        <w:rPr>
          <w:rFonts w:ascii="Arial" w:hAnsi="Arial"/>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6073"/>
        <w:gridCol w:w="446"/>
        <w:gridCol w:w="877"/>
        <w:gridCol w:w="146"/>
        <w:gridCol w:w="211"/>
        <w:gridCol w:w="877"/>
        <w:gridCol w:w="146"/>
        <w:gridCol w:w="211"/>
        <w:gridCol w:w="1218"/>
      </w:tblGrid>
      <w:tr>
        <w:trPr/>
        <w:tc>
          <w:tcPr>
            <w:tcW w:w="607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(8,566)</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income (loss) to net cash provided by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(gain) loss on remeasurement of foreign currency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2,320</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15,764</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43,726</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deferred contract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1,789</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 in fair value of contingent consideration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380</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tax (benefit) provision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72</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 in provision for uncollectible accounts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326</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Non-cash 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debt issuance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298</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accretion of discounts and amortization of premiums on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Changes in operating assets and liabilities, net of acquisitions: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(1,805)</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Unbilled receivables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(5,228)</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Funds receivable from payment partners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(53,151)</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other current assets and other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(5,124)</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Funds payable to clients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82,301</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accrued expenses and other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4,721</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Contingent consideration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(467)</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170</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revenue</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(1,180)</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provided by operating activities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76,346</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Acquisitions of businesses, net of cash acquired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(32,764)</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short-term and long-term investments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the maturity and sale of short-term and long-term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Capitalization of internally developed software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(5,004)</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(1,009)</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used in investing activities</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(38,777)</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revolving credit facility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of revolving credit facility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common stock under public offering, net of underwriting discount and commissions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261,119</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of costs related to public offering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(1,062)</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of debt issuance costs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Contingent consideration paid for acquisitions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(1,207)</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of tax withholdings for net settled equity awards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(8,483)</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repurchased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the issuance of stock under Employee Stock Purchase Plan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2,691</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exercise of stock options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10,360</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acquisition payment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cash (used in) provided by financing activities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263,418</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changes on cash and cash equivalents</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2,444</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change in cash and 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303,431</w:t>
            </w:r>
          </w:p>
        </w:tc>
      </w:tr>
      <w:tr>
        <w:trPr/>
        <w:tc>
          <w:tcPr>
            <w:tcW w:w="60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beginning of period</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495,242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351,177</w:t>
            </w:r>
          </w:p>
        </w:tc>
      </w:tr>
      <w:tr>
        <w:trPr/>
        <w:tc>
          <w:tcPr>
            <w:tcW w:w="60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end of period</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654,608</w:t>
            </w:r>
          </w:p>
        </w:tc>
      </w:tr>
    </w:tbl>
    <w:p>
      <w:pPr>
        <w:pStyle w:val="TextBody"/>
        <w:bidi w:val="0"/>
        <w:spacing w:before="200" w:after="200"/>
        <w:jc w:val="center"/>
        <w:rPr>
          <w:rFonts w:ascii="Times New Roman" w:hAnsi="Times New Roman"/>
          <w:sz w:val="20"/>
        </w:rPr>
      </w:pPr>
      <w:r>
        <w:rPr>
          <w:rFonts w:ascii="Arial" w:hAnsi="Arial"/>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CONSOLIDATED STATEMENTS OF CASH FLOWS</w:t>
      </w:r>
      <w:r>
        <w:rPr>
          <w:rFonts w:ascii="Times New Roman" w:hAnsi="Times New Roman"/>
          <w:color w:val="000000"/>
          <w:sz w:val="20"/>
        </w:rPr>
        <w:t xml:space="preserve"> </w:t>
      </w:r>
    </w:p>
    <w:p>
      <w:pPr>
        <w:pStyle w:val="TextBody"/>
        <w:bidi w:val="0"/>
        <w:spacing w:before="0" w:after="200"/>
        <w:jc w:val="center"/>
        <w:rPr>
          <w:rFonts w:ascii="Arial" w:hAnsi="Arial"/>
          <w:color w:val="000000"/>
          <w:sz w:val="20"/>
        </w:rPr>
      </w:pPr>
      <w:r>
        <w:rPr>
          <w:rFonts w:ascii="Arial" w:hAnsi="Arial"/>
          <w:color w:val="000000"/>
          <w:sz w:val="20"/>
        </w:rPr>
        <w:t>(Amounts in thousands)</w:t>
      </w:r>
    </w:p>
    <w:tbl>
      <w:tblPr>
        <w:tblW w:w="8249" w:type="dxa"/>
        <w:jc w:val="left"/>
        <w:tblInd w:w="0" w:type="dxa"/>
        <w:tblLayout w:type="fixed"/>
        <w:tblCellMar>
          <w:top w:w="28" w:type="dxa"/>
          <w:left w:w="28" w:type="dxa"/>
          <w:bottom w:w="28" w:type="dxa"/>
          <w:right w:w="28" w:type="dxa"/>
        </w:tblCellMar>
      </w:tblPr>
      <w:tblGrid>
        <w:gridCol w:w="5566"/>
        <w:gridCol w:w="211"/>
        <w:gridCol w:w="571"/>
        <w:gridCol w:w="146"/>
        <w:gridCol w:w="211"/>
        <w:gridCol w:w="571"/>
        <w:gridCol w:w="146"/>
        <w:gridCol w:w="211"/>
        <w:gridCol w:w="616"/>
      </w:tblGrid>
      <w:tr>
        <w:trPr/>
        <w:tc>
          <w:tcPr>
            <w:tcW w:w="5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disclosures of cash flow and noncash information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property and equipment in 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excise tax related to common stock repurchased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Capitalized 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paid for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common stock for retention bonus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1,196</w:t>
            </w:r>
          </w:p>
        </w:tc>
      </w:tr>
    </w:tbl>
    <w:p>
      <w:pPr>
        <w:pStyle w:val="TextBody"/>
        <w:bidi w:val="0"/>
        <w:spacing w:before="200" w:after="283"/>
        <w:jc w:val="center"/>
        <w:rPr>
          <w:rFonts w:ascii="Times New Roman" w:hAnsi="Times New Roman"/>
          <w:sz w:val="20"/>
        </w:rPr>
      </w:pPr>
      <w:r>
        <w:rPr>
          <w:rFonts w:ascii="Arial" w:hAnsi="Arial"/>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7" w:name="fin469729_7"/>
      <w:bookmarkEnd w:id="27"/>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8" w:name="consolidated_financial_statements"/>
      <w:bookmarkEnd w:id="28"/>
      <w:r>
        <w:rPr>
          <w:rFonts w:ascii="Arial" w:hAnsi="Arial"/>
          <w:b/>
          <w:color w:val="000000"/>
          <w:sz w:val="20"/>
        </w:rPr>
        <w:t>NOTES TO CONSOLIDATED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29" w:name="note_1"/>
      <w:bookmarkEnd w:id="29"/>
      <w:r>
        <w:rPr>
          <w:rFonts w:ascii="Arial" w:hAnsi="Arial"/>
          <w:b/>
          <w:color w:val="000000"/>
          <w:sz w:val="20"/>
        </w:rPr>
        <w:t>Note 1.</w:t>
      </w:r>
      <w:r>
        <w:rPr>
          <w:rFonts w:ascii="Times New Roman" w:hAnsi="Times New Roman"/>
          <w:color w:val="000000"/>
          <w:sz w:val="20"/>
        </w:rPr>
        <w:t xml:space="preserve"> </w:t>
      </w:r>
      <w:r>
        <w:rPr>
          <w:rFonts w:ascii="Arial" w:hAnsi="Arial"/>
          <w:b/>
          <w:color w:val="000000"/>
          <w:sz w:val="20"/>
        </w:rPr>
        <w:t>Business Overview and Summary of Significant Accounting Policies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Flywire Corporation (Flywire or the Company) was incorporated under the laws of the state of Delaware in July 2009 as peerTransfer Corporation. In 2016, the Company changed its name to Flywire Corporation. The Company is headquartered in Boston, Massachusetts, and has a global presence in 16 countries across 5 continents.</w:t>
      </w:r>
    </w:p>
    <w:p>
      <w:pPr>
        <w:pStyle w:val="TextBody"/>
        <w:bidi w:val="0"/>
        <w:spacing w:before="200" w:after="283"/>
        <w:jc w:val="left"/>
        <w:rPr>
          <w:rFonts w:ascii="Times New Roman" w:hAnsi="Times New Roman"/>
          <w:sz w:val="20"/>
        </w:rPr>
      </w:pPr>
      <w:r>
        <w:rPr>
          <w:rFonts w:ascii="Arial" w:hAnsi="Arial"/>
          <w:color w:val="000000"/>
          <w:sz w:val="20"/>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Basis of Presentation and Principles of Consolidation</w:t>
      </w:r>
    </w:p>
    <w:p>
      <w:pPr>
        <w:pStyle w:val="TextBody"/>
        <w:bidi w:val="0"/>
        <w:spacing w:before="200" w:after="283"/>
        <w:jc w:val="left"/>
        <w:rPr>
          <w:rFonts w:ascii="Times New Roman" w:hAnsi="Times New Roman"/>
          <w:sz w:val="20"/>
        </w:rPr>
      </w:pPr>
      <w:r>
        <w:rPr>
          <w:rFonts w:ascii="Arial" w:hAnsi="Arial"/>
          <w:color w:val="000000"/>
          <w:sz w:val="20"/>
        </w:rPr>
        <w:t>The accompanying consolidated financial statements include the accounts of the Company and its wholly owned subsidiaries and have been prepared in accordance with generally accepted accounting principles in the United States (GAAP). Intercompany accounts and transactions have been eliminated upon consolidation.</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Certain amounts for prior years have been reclassified to conform to the financial statement presentation as of and for the year ended December 31, 2025.</w:t>
      </w:r>
    </w:p>
    <w:p>
      <w:pPr>
        <w:pStyle w:val="TextBody"/>
        <w:bidi w:val="0"/>
        <w:spacing w:before="200" w:after="283"/>
        <w:jc w:val="left"/>
        <w:rPr>
          <w:rFonts w:ascii="Times New Roman" w:hAnsi="Times New Roman"/>
          <w:sz w:val="20"/>
        </w:rPr>
      </w:pPr>
      <w:r>
        <w:rPr>
          <w:rFonts w:ascii="Arial" w:hAnsi="Arial"/>
          <w:b/>
          <w:i/>
          <w:color w:val="000000"/>
          <w:sz w:val="20"/>
        </w:rPr>
        <w:t>Segment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Company has a single</w:t>
      </w:r>
      <w:r>
        <w:rPr>
          <w:rFonts w:ascii="Times New Roman" w:hAnsi="Times New Roman"/>
          <w:color w:val="000000"/>
          <w:sz w:val="20"/>
        </w:rPr>
        <w:t xml:space="preserve"> </w:t>
      </w:r>
      <w:r>
        <w:rPr>
          <w:rFonts w:ascii="Arial" w:hAnsi="Arial"/>
          <w:color w:val="000000"/>
          <w:sz w:val="20"/>
        </w:rPr>
        <w:t xml:space="preserve">operating and reportable segment. See </w:t>
      </w:r>
      <w:r>
        <w:rPr>
          <w:rFonts w:ascii="Arial" w:hAnsi="Arial"/>
          <w:i/>
          <w:color w:val="000000"/>
          <w:sz w:val="20"/>
        </w:rPr>
        <w:t>Note 3 - Segment Information</w:t>
      </w:r>
      <w:r>
        <w:rPr>
          <w:rFonts w:ascii="Times New Roman" w:hAnsi="Times New Roman"/>
          <w:color w:val="000000"/>
          <w:sz w:val="20"/>
        </w:rPr>
        <w:t xml:space="preserve"> </w:t>
      </w:r>
      <w:r>
        <w:rPr>
          <w:rFonts w:ascii="Arial" w:hAnsi="Arial"/>
          <w:color w:val="000000"/>
          <w:sz w:val="20"/>
        </w:rPr>
        <w:t>for additional details regarding the Company's significant segment expenses.</w:t>
      </w:r>
    </w:p>
    <w:p>
      <w:pPr>
        <w:pStyle w:val="TextBody"/>
        <w:bidi w:val="0"/>
        <w:spacing w:before="200" w:after="283"/>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The preparation of consolidated financial statements in conformity with GAAP requires management to make estimates and assumptions that affect the amounts reported and disclosed in the consolidated financial statements and the accompanying notes. Significant estimates and assumptions reflected in these financial statements include, but are not limited to, the valuation of acquired intangible assets and other long-lived assets and their useful lives.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pStyle w:val="TextBody"/>
        <w:bidi w:val="0"/>
        <w:spacing w:before="200" w:after="283"/>
        <w:jc w:val="left"/>
        <w:rPr>
          <w:rFonts w:ascii="Times New Roman" w:hAnsi="Times New Roman"/>
          <w:sz w:val="20"/>
        </w:rPr>
      </w:pPr>
      <w:r>
        <w:rPr>
          <w:rFonts w:ascii="Arial" w:hAnsi="Arial"/>
          <w:b/>
          <w:i/>
          <w:color w:val="000000"/>
          <w:sz w:val="20"/>
        </w:rPr>
        <w:t>Concentrations of Credit Risk, Financial Instruments and Significant Clients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Financial instruments that potentially subject the Company to concentration of credit risk consist principally of cash, cash equivalents, investments in available-for-sale debt securities, accounts receivable, unbilled receivables, and funds receivable from payment partners.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The Company maintains its cash and cash equivalents with financial institutions that management believes are of high credit quality. The Company's cash equivalents include money market funds, which are AAA-rated and comprised of liquid, high quality debt securities issued by the U.S. government. The Company's cash and cash equivalents deposited with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its concentration in government money market funds.</w:t>
      </w:r>
    </w:p>
    <w:p>
      <w:pPr>
        <w:pStyle w:val="TextBody"/>
        <w:bidi w:val="0"/>
        <w:spacing w:before="200" w:after="200"/>
        <w:jc w:val="left"/>
        <w:rPr>
          <w:rFonts w:ascii="Arial" w:hAnsi="Arial"/>
          <w:color w:val="000000"/>
          <w:sz w:val="20"/>
        </w:rPr>
      </w:pPr>
      <w:r>
        <w:rPr>
          <w:rFonts w:ascii="Arial" w:hAnsi="Arial"/>
          <w:color w:val="000000"/>
          <w:sz w:val="20"/>
        </w:rPr>
        <w:t>To manage credit risk associated with investments in available-for-sale debt securities, the Company monitors credit ratings of the issuers of the securities and diversifies its investments by limiting its holding in any one security or issuer.</w:t>
      </w:r>
    </w:p>
    <w:p>
      <w:pPr>
        <w:pStyle w:val="TextBody"/>
        <w:bidi w:val="0"/>
        <w:spacing w:before="120" w:after="283"/>
        <w:jc w:val="center"/>
        <w:rPr>
          <w:rFonts w:ascii="Arial" w:hAnsi="Arial"/>
          <w:color w:val="000000"/>
          <w:sz w:val="20"/>
        </w:rPr>
      </w:pPr>
      <w:r>
        <w:rPr>
          <w:rFonts w:ascii="Arial" w:hAnsi="Arial"/>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To reflect the estimated realizable value of accounts receivable and unbilled receivables, the Company maintains an allowance for credit losses. The Company did not experience any material credit losses during the years ended December 31, 2025, 2024, and 2023.</w:t>
      </w:r>
    </w:p>
    <w:p>
      <w:pPr>
        <w:pStyle w:val="TextBody"/>
        <w:bidi w:val="0"/>
        <w:spacing w:before="200" w:after="200"/>
        <w:jc w:val="left"/>
        <w:rPr>
          <w:rFonts w:ascii="Times New Roman" w:hAnsi="Times New Roman"/>
          <w:sz w:val="20"/>
        </w:rPr>
      </w:pPr>
      <w:r>
        <w:rPr>
          <w:rFonts w:ascii="Arial" w:hAnsi="Arial"/>
          <w:color w:val="000000"/>
          <w:sz w:val="20"/>
        </w:rPr>
        <w:t>Accounts receivable are derived from revenue earned from clients located in the U.S. and internationally. As of December 31, 2025 and 2024, there were no</w:t>
      </w:r>
      <w:r>
        <w:rPr>
          <w:rFonts w:ascii="Times New Roman" w:hAnsi="Times New Roman"/>
          <w:color w:val="000000"/>
          <w:sz w:val="20"/>
        </w:rPr>
        <w:t xml:space="preserve"> </w:t>
      </w:r>
      <w:r>
        <w:rPr>
          <w:rFonts w:ascii="Arial" w:hAnsi="Arial"/>
          <w:color w:val="000000"/>
          <w:sz w:val="20"/>
        </w:rPr>
        <w:t>clients that represented 10% or more of accounts receivable, net balance.</w:t>
      </w:r>
    </w:p>
    <w:p>
      <w:pPr>
        <w:pStyle w:val="TextBody"/>
        <w:bidi w:val="0"/>
        <w:spacing w:before="0" w:after="200"/>
        <w:jc w:val="left"/>
        <w:rPr>
          <w:rFonts w:ascii="Arial" w:hAnsi="Arial"/>
          <w:color w:val="000000"/>
          <w:sz w:val="20"/>
        </w:rPr>
      </w:pPr>
      <w:r>
        <w:rPr>
          <w:rFonts w:ascii="Arial" w:hAnsi="Arial"/>
          <w:color w:val="000000"/>
          <w:sz w:val="20"/>
        </w:rPr>
        <w:t>Funds receivable from payment partners consists primarily of cash held by the Company’s global payment processing partners that have not yet been remitted to the Company. The following table shows payment partners that represent 10% or more of funds receivable from payment partners:</w:t>
      </w:r>
    </w:p>
    <w:tbl>
      <w:tblPr>
        <w:tblW w:w="4719" w:type="dxa"/>
        <w:jc w:val="left"/>
        <w:tblInd w:w="0" w:type="dxa"/>
        <w:tblLayout w:type="fixed"/>
        <w:tblCellMar>
          <w:top w:w="28" w:type="dxa"/>
          <w:left w:w="28" w:type="dxa"/>
          <w:bottom w:w="28" w:type="dxa"/>
          <w:right w:w="28" w:type="dxa"/>
        </w:tblCellMar>
      </w:tblPr>
      <w:tblGrid>
        <w:gridCol w:w="986"/>
        <w:gridCol w:w="1771"/>
        <w:gridCol w:w="146"/>
        <w:gridCol w:w="1816"/>
      </w:tblGrid>
      <w:tr>
        <w:trPr/>
        <w:tc>
          <w:tcPr>
            <w:tcW w:w="98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Partner A</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Partner B</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Partner C</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r>
    </w:tbl>
    <w:p>
      <w:pPr>
        <w:pStyle w:val="TextBody"/>
        <w:bidi w:val="0"/>
        <w:jc w:val="left"/>
        <w:rPr>
          <w:rFonts w:ascii="Times New Roman" w:hAnsi="Times New Roman"/>
          <w:sz w:val="20"/>
        </w:rPr>
      </w:pPr>
      <w:r>
        <w:rPr>
          <w:rFonts w:ascii="Arial" w:hAnsi="Arial"/>
          <w:color w:val="000000"/>
          <w:sz w:val="16"/>
        </w:rPr>
        <w:t>* Less than 10% of total balance.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During the years ended December 31, 2025, 2024, and 2023, no</w:t>
      </w:r>
      <w:r>
        <w:rPr>
          <w:rFonts w:ascii="Times New Roman" w:hAnsi="Times New Roman"/>
          <w:color w:val="000000"/>
          <w:sz w:val="20"/>
        </w:rPr>
        <w:t xml:space="preserve"> </w:t>
      </w:r>
      <w:r>
        <w:rPr>
          <w:rFonts w:ascii="Arial" w:hAnsi="Arial"/>
          <w:color w:val="000000"/>
          <w:sz w:val="20"/>
        </w:rPr>
        <w:t>client accounted for 10% or more of total revenue.</w:t>
      </w:r>
    </w:p>
    <w:p>
      <w:pPr>
        <w:pStyle w:val="TextBody"/>
        <w:bidi w:val="0"/>
        <w:jc w:val="left"/>
        <w:rPr>
          <w:rFonts w:ascii="Arial" w:hAnsi="Arial"/>
          <w:b/>
          <w:i/>
          <w:color w:val="000000"/>
          <w:sz w:val="20"/>
        </w:rPr>
      </w:pPr>
      <w:r>
        <w:rPr>
          <w:rFonts w:ascii="Arial" w:hAnsi="Arial"/>
          <w:b/>
          <w:i/>
          <w:color w:val="000000"/>
          <w:sz w:val="20"/>
        </w:rPr>
        <w:t>Summary of Significant Accounting Policies</w:t>
      </w:r>
    </w:p>
    <w:p>
      <w:pPr>
        <w:pStyle w:val="TextBody"/>
        <w:bidi w:val="0"/>
        <w:spacing w:before="200" w:after="283"/>
        <w:jc w:val="left"/>
        <w:rPr>
          <w:rFonts w:ascii="Arial" w:hAnsi="Arial"/>
          <w:b/>
          <w:i/>
          <w:color w:val="000000"/>
          <w:sz w:val="20"/>
        </w:rPr>
      </w:pPr>
      <w:r>
        <w:rPr>
          <w:rFonts w:ascii="Arial" w:hAnsi="Arial"/>
          <w:b/>
          <w:i/>
          <w:color w:val="000000"/>
          <w:sz w:val="20"/>
        </w:rPr>
        <w:t>Cash Equivalents and Restricted Cash</w:t>
      </w:r>
    </w:p>
    <w:p>
      <w:pPr>
        <w:pStyle w:val="TextBody"/>
        <w:bidi w:val="0"/>
        <w:spacing w:before="200" w:after="283"/>
        <w:jc w:val="left"/>
        <w:rPr>
          <w:rFonts w:ascii="Times New Roman" w:hAnsi="Times New Roman"/>
          <w:sz w:val="20"/>
        </w:rPr>
      </w:pPr>
      <w:r>
        <w:rPr>
          <w:rFonts w:ascii="Arial" w:hAnsi="Arial"/>
          <w:color w:val="000000"/>
          <w:sz w:val="20"/>
        </w:rPr>
        <w:t>Cash equivalents consist of short-term, highly liquid investments with stated maturities of three months or less from the date of purchase. The Company's cash equivalents consists of money market funds, which are AAA-rated and comprised of liquid, high-quality debt securities issued by the U.S. government.</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The Company did not have any restricted cash as of December 31, 2025 and 2024.</w:t>
      </w:r>
    </w:p>
    <w:p>
      <w:pPr>
        <w:pStyle w:val="TextBody"/>
        <w:bidi w:val="0"/>
        <w:spacing w:before="200" w:after="283"/>
        <w:jc w:val="left"/>
        <w:rPr>
          <w:rFonts w:ascii="Arial" w:hAnsi="Arial"/>
          <w:b/>
          <w:i/>
          <w:color w:val="000000"/>
          <w:sz w:val="20"/>
        </w:rPr>
      </w:pPr>
      <w:r>
        <w:rPr>
          <w:rFonts w:ascii="Arial" w:hAnsi="Arial"/>
          <w:b/>
          <w:i/>
          <w:color w:val="000000"/>
          <w:sz w:val="20"/>
        </w:rPr>
        <w:t>Investments</w:t>
      </w:r>
    </w:p>
    <w:p>
      <w:pPr>
        <w:pStyle w:val="TextBody"/>
        <w:bidi w:val="0"/>
        <w:spacing w:before="200" w:after="283"/>
        <w:jc w:val="left"/>
        <w:rPr>
          <w:rFonts w:ascii="Arial" w:hAnsi="Arial"/>
          <w:color w:val="000000"/>
          <w:sz w:val="20"/>
        </w:rPr>
      </w:pPr>
      <w:r>
        <w:rPr>
          <w:rFonts w:ascii="Arial" w:hAnsi="Arial"/>
          <w:color w:val="000000"/>
          <w:sz w:val="20"/>
        </w:rPr>
        <w:t>During the year ended December 31, 2024, the Company began investing in a diversified portfolio of highly rated marketable debt securities, all of which are classified as available-for-sale. Available-for-sale debt securities with remaining maturities of greater than three months but less than one year and those identified by management at the time of purchase to be used to fund operations within one year are classified as short-term. All other available-for-sale securities are classified as long-term. Available-for-sale debt securities with readily determinable market values are recorded at fair value, and unrealized holding gains and temporary losses are recorded as a component of accumulated other comprehensive income (loss), net of related estimated tax.</w:t>
      </w:r>
    </w:p>
    <w:p>
      <w:pPr>
        <w:pStyle w:val="TextBody"/>
        <w:bidi w:val="0"/>
        <w:spacing w:before="200" w:after="283"/>
        <w:jc w:val="left"/>
        <w:rPr>
          <w:rFonts w:ascii="Arial" w:hAnsi="Arial"/>
          <w:color w:val="000000"/>
          <w:sz w:val="20"/>
        </w:rPr>
      </w:pPr>
      <w:r>
        <w:rPr>
          <w:rFonts w:ascii="Arial" w:hAnsi="Arial"/>
          <w:color w:val="000000"/>
          <w:sz w:val="20"/>
        </w:rPr>
        <w:t>The Company evaluates its available-for-sale debt securities for impairment when the fair value declines below the amortized cost basis. An impairment is deemed to exist if the Company either intends to sell the security or if it is more likely than not that the Company will be required to sell the security before the anticipated recovery of the security’s amortized cost basis. If either of these criteria are met, the debt security’s amortized cost basis is written down to fair value through other income (expense), net, in the consolidated statements of operations and comprehensive income (loss). If neither of the intent-to-sell or required-to-sell criteria are met, the Company evaluates whether the unrealized loss has resulted from a credit loss or other factors. When a credit loss is deemed to exist, the Company compares the present value of cash flows expected to be collected from the debt security with the amortized cost basis of the security to determine the allowance amount, if any, that should be recorded. An impairment relating to credit losses is recorded through an allowance for credit losses reported in other income (expense), net, in the consolidated statements of operations and comprehensive income (loss). The allowance is limited by the amount that the fair value of the debt security is below its amortized cost basis.</w:t>
      </w:r>
    </w:p>
    <w:p>
      <w:pPr>
        <w:pStyle w:val="TextBody"/>
        <w:bidi w:val="0"/>
        <w:spacing w:before="200" w:after="283"/>
        <w:jc w:val="left"/>
        <w:rPr>
          <w:rFonts w:ascii="Arial" w:hAnsi="Arial"/>
          <w:b/>
          <w:i/>
          <w:color w:val="000000"/>
          <w:sz w:val="20"/>
        </w:rPr>
      </w:pPr>
      <w:r>
        <w:rPr>
          <w:rFonts w:ascii="Arial" w:hAnsi="Arial"/>
          <w:b/>
          <w:i/>
          <w:color w:val="000000"/>
          <w:sz w:val="20"/>
        </w:rPr>
        <w:t>Allowance for Credit Losses</w:t>
      </w:r>
    </w:p>
    <w:p>
      <w:pPr>
        <w:pStyle w:val="TextBody"/>
        <w:bidi w:val="0"/>
        <w:spacing w:before="200" w:after="283"/>
        <w:jc w:val="left"/>
        <w:rPr>
          <w:rFonts w:ascii="Arial" w:hAnsi="Arial"/>
          <w:color w:val="000000"/>
          <w:sz w:val="20"/>
        </w:rPr>
      </w:pPr>
      <w:r>
        <w:rPr>
          <w:rFonts w:ascii="Arial" w:hAnsi="Arial"/>
          <w:color w:val="000000"/>
          <w:sz w:val="20"/>
        </w:rPr>
        <w:t>Accounts receivable represent client obligations that are unconditional. The Company’s accounts receivable do not bear interest and generally does not require collateral or other security to support related receivables. Unbilled receivables represent the Company's unconditional right to payment. Accounts receivable and unbilled receivables are presented net of an estimated allowance for credit losses for amounts that may not be collectible over the estimated life of the assets.</w:t>
      </w:r>
    </w:p>
    <w:p>
      <w:pPr>
        <w:pStyle w:val="TextBody"/>
        <w:bidi w:val="0"/>
        <w:spacing w:before="120" w:after="283"/>
        <w:jc w:val="center"/>
        <w:rPr>
          <w:rFonts w:ascii="Arial" w:hAnsi="Arial"/>
          <w:color w:val="000000"/>
          <w:sz w:val="20"/>
        </w:rPr>
      </w:pPr>
      <w:r>
        <w:rPr>
          <w:rFonts w:ascii="Arial" w:hAnsi="Arial"/>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 allowance for credit losses is determined by applying a loss-rate method based on an aging schedule using the Company's historical loss rates. The Company also considers reasonable and supportable current and forecasted information in determining its estimated loss rates, such as external forecasts, macroeconomic trends, or other factors that are associated with the credit quality of the Company’s customer base. The adequacy of the allowance for credit losses is evaluated on a regular basis. Account balances are written off after all means of collection are exhausted and the balance is deemed uncollectible. Subsequent recoveries, if any, are credited to the allowance. Adjustments to the allowance for credit losses are recorded within general and administrative expenses in the consolidated statements of operations and comprehensive income (loss).</w:t>
      </w:r>
    </w:p>
    <w:p>
      <w:pPr>
        <w:pStyle w:val="TextBody"/>
        <w:bidi w:val="0"/>
        <w:spacing w:before="200" w:after="283"/>
        <w:jc w:val="left"/>
        <w:rPr>
          <w:rFonts w:ascii="Arial" w:hAnsi="Arial"/>
          <w:b/>
          <w:i/>
          <w:color w:val="000000"/>
          <w:sz w:val="20"/>
        </w:rPr>
      </w:pPr>
      <w:r>
        <w:rPr>
          <w:rFonts w:ascii="Arial" w:hAnsi="Arial"/>
          <w:b/>
          <w:i/>
          <w:color w:val="000000"/>
          <w:sz w:val="20"/>
        </w:rPr>
        <w:t>Property and Equipment, net</w:t>
      </w:r>
    </w:p>
    <w:p>
      <w:pPr>
        <w:pStyle w:val="TextBody"/>
        <w:bidi w:val="0"/>
        <w:spacing w:before="200" w:after="283"/>
        <w:jc w:val="left"/>
        <w:rPr>
          <w:rFonts w:ascii="Times New Roman" w:hAnsi="Times New Roman"/>
          <w:sz w:val="20"/>
        </w:rPr>
      </w:pPr>
      <w:r>
        <w:rPr>
          <w:rFonts w:ascii="Arial" w:hAnsi="Arial"/>
          <w:color w:val="000000"/>
          <w:sz w:val="20"/>
        </w:rPr>
        <w:t>Property and equipment consist primarily of computer equipment and software, internal-use software, furniture and fixtures, and leasehold improvements. Property and equipment are stated at historical cost less accumulated depreciation and amortization. Depreciation and amortization are computed using the straight-line method over the estimated useful life of the assets, which is between three</w:t>
      </w:r>
      <w:r>
        <w:rPr>
          <w:rFonts w:ascii="Times New Roman" w:hAnsi="Times New Roman"/>
          <w:color w:val="000000"/>
          <w:sz w:val="20"/>
        </w:rPr>
        <w:t xml:space="preserve"> </w:t>
      </w:r>
      <w:r>
        <w:rPr>
          <w:rFonts w:ascii="Arial" w:hAnsi="Arial"/>
          <w:color w:val="000000"/>
          <w:sz w:val="20"/>
        </w:rPr>
        <w:t>to five years</w:t>
      </w:r>
      <w:r>
        <w:rPr>
          <w:rFonts w:ascii="Times New Roman" w:hAnsi="Times New Roman"/>
          <w:color w:val="000000"/>
          <w:sz w:val="20"/>
        </w:rPr>
        <w:t xml:space="preserve"> </w:t>
      </w:r>
      <w:r>
        <w:rPr>
          <w:rFonts w:ascii="Arial" w:hAnsi="Arial"/>
          <w:color w:val="000000"/>
          <w:sz w:val="20"/>
        </w:rPr>
        <w:t>for computer equipment and software, five years</w:t>
      </w:r>
      <w:r>
        <w:rPr>
          <w:rFonts w:ascii="Times New Roman" w:hAnsi="Times New Roman"/>
          <w:color w:val="000000"/>
          <w:sz w:val="20"/>
        </w:rPr>
        <w:t xml:space="preserve"> </w:t>
      </w:r>
      <w:r>
        <w:rPr>
          <w:rFonts w:ascii="Arial" w:hAnsi="Arial"/>
          <w:color w:val="000000"/>
          <w:sz w:val="20"/>
        </w:rPr>
        <w:t>for internal-use software, three years</w:t>
      </w:r>
      <w:r>
        <w:rPr>
          <w:rFonts w:ascii="Times New Roman" w:hAnsi="Times New Roman"/>
          <w:color w:val="000000"/>
          <w:sz w:val="20"/>
        </w:rPr>
        <w:t xml:space="preserve"> </w:t>
      </w:r>
      <w:r>
        <w:rPr>
          <w:rFonts w:ascii="Arial" w:hAnsi="Arial"/>
          <w:color w:val="000000"/>
          <w:sz w:val="20"/>
        </w:rPr>
        <w:t>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 and the resulting gain or loss is reflected in income (loss) from operations in the consolidated statements of operations and comprehensive income (loss).</w:t>
      </w:r>
    </w:p>
    <w:p>
      <w:pPr>
        <w:pStyle w:val="TextBody"/>
        <w:bidi w:val="0"/>
        <w:spacing w:before="200" w:after="283"/>
        <w:jc w:val="left"/>
        <w:rPr>
          <w:rFonts w:ascii="Arial" w:hAnsi="Arial"/>
          <w:b/>
          <w:i/>
          <w:color w:val="000000"/>
          <w:sz w:val="20"/>
        </w:rPr>
      </w:pPr>
      <w:r>
        <w:rPr>
          <w:rFonts w:ascii="Arial" w:hAnsi="Arial"/>
          <w:b/>
          <w:i/>
          <w:color w:val="000000"/>
          <w:sz w:val="20"/>
        </w:rPr>
        <w:t>Impairment of Long-Lived Assets</w:t>
      </w:r>
    </w:p>
    <w:p>
      <w:pPr>
        <w:pStyle w:val="TextBody"/>
        <w:bidi w:val="0"/>
        <w:spacing w:before="200" w:after="283"/>
        <w:jc w:val="left"/>
        <w:rPr>
          <w:rFonts w:ascii="Times New Roman" w:hAnsi="Times New Roman"/>
          <w:sz w:val="20"/>
        </w:rPr>
      </w:pPr>
      <w:r>
        <w:rPr>
          <w:rFonts w:ascii="Arial" w:hAnsi="Arial"/>
          <w:color w:val="000000"/>
          <w:sz w:val="20"/>
        </w:rPr>
        <w:t>The Company continually evaluates the recoverability of long-lived asset (asset group) when events and changes in circumstances indicate that the carrying amount of the long-lived asset group may not be fully recoverable.</w:t>
      </w:r>
      <w:r>
        <w:rPr>
          <w:rFonts w:ascii="Times New Roman" w:hAnsi="Times New Roman"/>
          <w:color w:val="FF0000"/>
          <w:sz w:val="20"/>
        </w:rPr>
        <w:t xml:space="preserve"> </w:t>
      </w:r>
      <w:r>
        <w:rPr>
          <w:rFonts w:ascii="Arial" w:hAnsi="Arial"/>
          <w:color w:val="000000"/>
          <w:sz w:val="20"/>
        </w:rPr>
        <w:t>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w:t>
      </w:r>
      <w:r>
        <w:rPr>
          <w:rFonts w:ascii="Times New Roman" w:hAnsi="Times New Roman"/>
          <w:color w:val="000000"/>
          <w:sz w:val="20"/>
        </w:rPr>
        <w:t xml:space="preserve"> </w:t>
      </w:r>
      <w:r>
        <w:rPr>
          <w:rFonts w:ascii="Arial" w:hAnsi="Arial"/>
          <w:color w:val="000000"/>
          <w:sz w:val="20"/>
        </w:rPr>
        <w:t>impairments recorded for the Company’s long-lived assets during any of the periods presented.</w:t>
      </w:r>
    </w:p>
    <w:p>
      <w:pPr>
        <w:pStyle w:val="TextBody"/>
        <w:bidi w:val="0"/>
        <w:spacing w:before="200" w:after="283"/>
        <w:jc w:val="left"/>
        <w:rPr>
          <w:rFonts w:ascii="Arial" w:hAnsi="Arial"/>
          <w:b/>
          <w:i/>
          <w:color w:val="000000"/>
          <w:sz w:val="20"/>
        </w:rPr>
      </w:pPr>
      <w:r>
        <w:rPr>
          <w:rFonts w:ascii="Arial" w:hAnsi="Arial"/>
          <w:b/>
          <w:i/>
          <w:color w:val="000000"/>
          <w:sz w:val="20"/>
        </w:rPr>
        <w:t>Intangible Assets, net</w:t>
      </w:r>
    </w:p>
    <w:p>
      <w:pPr>
        <w:pStyle w:val="TextBody"/>
        <w:bidi w:val="0"/>
        <w:spacing w:before="200" w:after="283"/>
        <w:jc w:val="left"/>
        <w:rPr>
          <w:rFonts w:ascii="Arial" w:hAnsi="Arial"/>
          <w:color w:val="000000"/>
          <w:sz w:val="20"/>
        </w:rPr>
      </w:pPr>
      <w:r>
        <w:rPr>
          <w:rFonts w:ascii="Arial" w:hAnsi="Arial"/>
          <w:color w:val="000000"/>
          <w:sz w:val="20"/>
        </w:rPr>
        <w:t>Intangible assets consist of acquired developed technology, acquired relationships, and trade names and associated trademarks. Intangible assets are recognized at fair value using generally accepted valuation methods deemed appropriate for the type of intangible asset acquired, and reported net of accumulated amortization, separately from goodwill.</w:t>
      </w:r>
    </w:p>
    <w:p>
      <w:pPr>
        <w:pStyle w:val="TextBody"/>
        <w:bidi w:val="0"/>
        <w:spacing w:before="200" w:after="283"/>
        <w:jc w:val="left"/>
        <w:rPr>
          <w:rFonts w:ascii="Arial" w:hAnsi="Arial"/>
          <w:color w:val="000000"/>
          <w:sz w:val="20"/>
        </w:rPr>
      </w:pPr>
      <w:r>
        <w:rPr>
          <w:rFonts w:ascii="Arial" w:hAnsi="Arial"/>
          <w:color w:val="000000"/>
          <w:sz w:val="20"/>
        </w:rPr>
        <w:t>The Company estimates the fair value of acquired developed technology and trade names and associated trademarks under the income approach using the relief-from-royalty method. The relief-from-royalty method estimates the cost savings that accrue to the owner of an intangible asset who would otherwise have to pay royalties or a license fee on revenues earned through the use of the asset. The estimated royalty rate is determined based on the assessment of a reasonable royalty rate that a third-party would negotiate in an arm’s-length license agreement for the use of the technology, trade name or trademark. The Company estimates the fair value of acquired relationships under the income approach using the multi-period excess earnings method. The multi-period excess earnings method estimates the present value of the incremental after-tax cash flows solely attributable to the intangible asset. The estimated fair values of these intangible assets reflect various assumptions including discount rates, obsolescence rate, royalty rates, customer attrition rates, revenue growth rates, operating margins and add-backs, terminal values, and other prospective financial information.</w:t>
      </w:r>
    </w:p>
    <w:p>
      <w:pPr>
        <w:pStyle w:val="TextBody"/>
        <w:bidi w:val="0"/>
        <w:spacing w:before="200" w:after="283"/>
        <w:jc w:val="left"/>
        <w:rPr>
          <w:rFonts w:ascii="Times New Roman" w:hAnsi="Times New Roman"/>
          <w:sz w:val="20"/>
        </w:rPr>
      </w:pPr>
      <w:r>
        <w:rPr>
          <w:rFonts w:ascii="Arial" w:hAnsi="Arial"/>
          <w:color w:val="000000"/>
          <w:sz w:val="20"/>
        </w:rPr>
        <w:t>Intangible assets are amortized using a method that reflects the pattern in which the economic benefits of the intangible asset are expected to be realized over their estimated useful lives ranging up</w:t>
      </w:r>
      <w:r>
        <w:rPr>
          <w:rFonts w:ascii="Times New Roman" w:hAnsi="Times New Roman"/>
          <w:color w:val="000000"/>
          <w:sz w:val="20"/>
        </w:rPr>
        <w:t xml:space="preserve"> </w:t>
      </w:r>
      <w:r>
        <w:rPr>
          <w:rFonts w:ascii="Arial" w:hAnsi="Arial"/>
          <w:color w:val="000000"/>
          <w:sz w:val="20"/>
        </w:rPr>
        <w:t>to eighteen years. The useful lives for developed technology are determined based on expectations regarding the evolution of existing technology and future investments. The useful lives for acquired related intangible assets are determined based primarily on forecasted cash flows, which include estimates for the revenues, expenses and customer attrition associated with the assets.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useful lives of definite-lived trademarks and trade names are based on the Company’s plans to phase out the trademarks and trade names in the applicable markets.</w:t>
      </w:r>
    </w:p>
    <w:p>
      <w:pPr>
        <w:pStyle w:val="TextBody"/>
        <w:bidi w:val="0"/>
        <w:spacing w:before="200" w:after="283"/>
        <w:jc w:val="left"/>
        <w:rPr>
          <w:rFonts w:ascii="Arial" w:hAnsi="Arial"/>
          <w:color w:val="000000"/>
          <w:sz w:val="20"/>
        </w:rPr>
      </w:pPr>
      <w:r>
        <w:rPr>
          <w:rFonts w:ascii="Arial" w:hAnsi="Arial"/>
          <w:color w:val="000000"/>
          <w:sz w:val="20"/>
        </w:rPr>
        <w:t>No significant residual value is estimated for intangible assets.</w:t>
      </w:r>
    </w:p>
    <w:p>
      <w:pPr>
        <w:pStyle w:val="TextBody"/>
        <w:bidi w:val="0"/>
        <w:spacing w:before="200" w:after="283"/>
        <w:jc w:val="left"/>
        <w:rPr>
          <w:rFonts w:ascii="Arial" w:hAnsi="Arial"/>
          <w:b/>
          <w:i/>
          <w:color w:val="000000"/>
          <w:sz w:val="20"/>
        </w:rPr>
      </w:pPr>
      <w:r>
        <w:rPr>
          <w:rFonts w:ascii="Arial" w:hAnsi="Arial"/>
          <w:b/>
          <w:i/>
          <w:color w:val="000000"/>
          <w:sz w:val="20"/>
        </w:rPr>
        <w:t>Software Developed for Internal-Use</w:t>
      </w:r>
    </w:p>
    <w:p>
      <w:pPr>
        <w:pStyle w:val="TextBody"/>
        <w:bidi w:val="0"/>
        <w:spacing w:before="200" w:after="283"/>
        <w:jc w:val="left"/>
        <w:rPr>
          <w:rFonts w:ascii="Times New Roman" w:hAnsi="Times New Roman"/>
          <w:sz w:val="20"/>
        </w:rPr>
      </w:pPr>
      <w:r>
        <w:rPr>
          <w:rFonts w:ascii="Arial" w:hAnsi="Arial"/>
          <w:color w:val="000000"/>
          <w:sz w:val="20"/>
        </w:rPr>
        <w:t>The Company capitalizes costs related to internal-use software during the application development stage including third-party consulting costs and compensation expenses related to FlyMates who devote time to the development of the projects.</w:t>
      </w:r>
      <w:r>
        <w:rPr>
          <w:rFonts w:ascii="Times New Roman" w:hAnsi="Times New Roman"/>
          <w:color w:val="FF0000"/>
          <w:sz w:val="20"/>
        </w:rPr>
        <w:t xml:space="preserve"> </w:t>
      </w:r>
      <w:r>
        <w:rPr>
          <w:rFonts w:ascii="Arial" w:hAnsi="Arial"/>
          <w:color w:val="000000"/>
          <w:sz w:val="20"/>
        </w:rPr>
        <w:t>The Company records software development costs in property and equipment. Costs incurred in the preliminary stages of development activities and post implementation activities are expensed in the period incurred and</w:t>
      </w:r>
      <w:r>
        <w:rPr>
          <w:rFonts w:ascii="Times New Roman" w:hAnsi="Times New Roman"/>
          <w:color w:val="FF0000"/>
          <w:sz w:val="20"/>
        </w:rPr>
        <w:t xml:space="preserve"> </w:t>
      </w:r>
      <w:r>
        <w:rPr>
          <w:rFonts w:ascii="Arial" w:hAnsi="Arial"/>
          <w:color w:val="000000"/>
          <w:sz w:val="20"/>
        </w:rPr>
        <w:t>are included in technology and development expense in the consolidated statements of operations and comprehensive income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periodically assesses whether triggering events are present to review the useful lives of internal-use software. Unforeseen circumstances in software development, such as a significant change in the manner in which the software is intended to be used, obsolescence or a significant reduction in revenues due to attrition, could require the Company to implement</w:t>
      </w:r>
      <w:r>
        <w:rPr>
          <w:rFonts w:ascii="Times New Roman" w:hAnsi="Times New Roman"/>
          <w:color w:val="000000"/>
          <w:sz w:val="20"/>
        </w:rPr>
        <w:t xml:space="preserve"> </w:t>
      </w:r>
      <w:r>
        <w:rPr>
          <w:rFonts w:ascii="Arial" w:hAnsi="Arial"/>
          <w:color w:val="000000"/>
          <w:sz w:val="20"/>
        </w:rPr>
        <w:t>alternative plans with respect to a particular effort, which could result in an impairment. Software developed for internal-use is amortized straight-line over its estimated useful life of five years.</w:t>
      </w:r>
    </w:p>
    <w:p>
      <w:pPr>
        <w:pStyle w:val="TextBody"/>
        <w:bidi w:val="0"/>
        <w:spacing w:before="200" w:after="283"/>
        <w:jc w:val="left"/>
        <w:rPr>
          <w:rFonts w:ascii="Arial" w:hAnsi="Arial"/>
          <w:b/>
          <w:i/>
          <w:color w:val="000000"/>
          <w:sz w:val="20"/>
        </w:rPr>
      </w:pPr>
      <w:r>
        <w:rPr>
          <w:rFonts w:ascii="Arial" w:hAnsi="Arial"/>
          <w:b/>
          <w:i/>
          <w:color w:val="000000"/>
          <w:sz w:val="20"/>
        </w:rPr>
        <w:t>Goodwill</w:t>
      </w:r>
    </w:p>
    <w:p>
      <w:pPr>
        <w:pStyle w:val="TextBody"/>
        <w:bidi w:val="0"/>
        <w:spacing w:before="200" w:after="283"/>
        <w:jc w:val="left"/>
        <w:rPr>
          <w:rFonts w:ascii="Times New Roman" w:hAnsi="Times New Roman"/>
          <w:sz w:val="20"/>
        </w:rPr>
      </w:pPr>
      <w:r>
        <w:rPr>
          <w:rFonts w:ascii="Arial" w:hAnsi="Arial"/>
          <w:color w:val="000000"/>
          <w:sz w:val="20"/>
        </w:rPr>
        <w:t>The Company tests goodwill for impairment on an annual basis on the first day of the fourth quarter or more frequently if events or changes in circumstances indicate that goodwill may be impaired. The Company’s goodwill impairment test is performed at the enterprise level given it is the sole reporting unit. Events that could indicate goodwill impairment and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including goodwill.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 There were no</w:t>
      </w:r>
      <w:r>
        <w:rPr>
          <w:rFonts w:ascii="Times New Roman" w:hAnsi="Times New Roman"/>
          <w:color w:val="000000"/>
          <w:sz w:val="20"/>
        </w:rPr>
        <w:t xml:space="preserve"> </w:t>
      </w:r>
      <w:r>
        <w:rPr>
          <w:rFonts w:ascii="Arial" w:hAnsi="Arial"/>
          <w:color w:val="000000"/>
          <w:sz w:val="20"/>
        </w:rPr>
        <w:t>impairments of goodwill during any of the periods presented.</w:t>
      </w:r>
    </w:p>
    <w:p>
      <w:pPr>
        <w:pStyle w:val="TextBody"/>
        <w:bidi w:val="0"/>
        <w:spacing w:before="200" w:after="283"/>
        <w:jc w:val="left"/>
        <w:rPr>
          <w:rFonts w:ascii="Arial" w:hAnsi="Arial"/>
          <w:b/>
          <w:i/>
          <w:color w:val="000000"/>
          <w:sz w:val="20"/>
        </w:rPr>
      </w:pPr>
      <w:r>
        <w:rPr>
          <w:rFonts w:ascii="Arial" w:hAnsi="Arial"/>
          <w:b/>
          <w:i/>
          <w:color w:val="000000"/>
          <w:sz w:val="20"/>
        </w:rPr>
        <w:t>Leases</w:t>
      </w:r>
    </w:p>
    <w:p>
      <w:pPr>
        <w:pStyle w:val="TextBody"/>
        <w:bidi w:val="0"/>
        <w:spacing w:before="200" w:after="283"/>
        <w:jc w:val="left"/>
        <w:rPr>
          <w:rFonts w:ascii="Arial" w:hAnsi="Arial"/>
          <w:color w:val="000000"/>
          <w:sz w:val="20"/>
        </w:rPr>
      </w:pPr>
      <w:r>
        <w:rPr>
          <w:rFonts w:ascii="Arial" w:hAnsi="Arial"/>
          <w:color w:val="000000"/>
          <w:sz w:val="20"/>
        </w:rPr>
        <w:t>The Company recognizes leases on its consolidated balance sheets as right-of-use (ROU) assets and lease liabilities. ROU assets represent the Company's right to use underlying assets during the lease terms and lease liabilities represent obligations to make lease payments arising from the leases. ROU assets are included in other assets and lease liabilities are included in accrued expenses and other current liabilities and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Certain leases contain renewal options and when it is reasonable certain that the Company will exercise the option, the renewal amounts are included in ROU asset and lease liability. As the implicit rate of the leases is not determinable, the Company uses its incremental borrowing rate in determining the present value of the lease payments. ROU assets are adjusted for lease payments made at or before commencement date and any lease incentives. Variable lease payments for maintenance, property taxes and other operating expenses are recognized as expense in the period in which the obligation for the payment is incurred. The Company elected not to separate lease and non-lease components, as well as the short-term lease recognition exemption and will not recognize ROU assets or lease liabilities for leases with a term less than 12 months. The operating lease expense associated with operating leases is recognized as a single lease cost on a straight-line basis over the lease term and is included in general and administrative expenses in the consolidated statements of operations and comprehensive income (loss).</w:t>
      </w:r>
    </w:p>
    <w:p>
      <w:pPr>
        <w:pStyle w:val="TextBody"/>
        <w:bidi w:val="0"/>
        <w:spacing w:before="120" w:after="283"/>
        <w:jc w:val="center"/>
        <w:rPr>
          <w:rFonts w:ascii="Arial" w:hAnsi="Arial"/>
          <w:color w:val="000000"/>
          <w:sz w:val="20"/>
        </w:rPr>
      </w:pPr>
      <w:r>
        <w:rPr>
          <w:rFonts w:ascii="Arial" w:hAnsi="Arial"/>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Business Combinations</w:t>
      </w:r>
    </w:p>
    <w:p>
      <w:pPr>
        <w:pStyle w:val="TextBody"/>
        <w:bidi w:val="0"/>
        <w:spacing w:before="200" w:after="283"/>
        <w:jc w:val="left"/>
        <w:rPr>
          <w:rFonts w:ascii="Arial" w:hAnsi="Arial"/>
          <w:color w:val="000000"/>
          <w:sz w:val="20"/>
        </w:rPr>
      </w:pPr>
      <w:r>
        <w:rPr>
          <w:rFonts w:ascii="Arial" w:hAnsi="Arial"/>
          <w:color w:val="000000"/>
          <w:sz w:val="20"/>
        </w:rPr>
        <w:t>In determining whether an acquisition should be accounted for as a business combination or an asset acquisition, the Company first determines whether substantially all of the fair value of the gross assets acquired is concentrated in a single identifiable asset or a group of similar identifiable assets. If substantially all of the fair value of the gross assets acquired is concentrated in a single identifiable asset or group of similar identifiable assets, the set is an asset acquisition. If substantially all of the fair value of the gross assets acquired is not concentrated in a single identifiable asset or group of similar identifiable assets, the Company further evaluates whether the integrated set of assets and activities include, at a minimum, an input and a substantive process that together significantly contribute to the ability to create outputs. If so, the Company concludes that the integrated set of assets and activities is a business acquisition.</w:t>
      </w:r>
    </w:p>
    <w:p>
      <w:pPr>
        <w:pStyle w:val="TextBody"/>
        <w:bidi w:val="0"/>
        <w:spacing w:before="200" w:after="283"/>
        <w:jc w:val="left"/>
        <w:rPr>
          <w:rFonts w:ascii="Arial" w:hAnsi="Arial"/>
          <w:color w:val="000000"/>
          <w:sz w:val="20"/>
        </w:rPr>
      </w:pPr>
      <w:r>
        <w:rPr>
          <w:rFonts w:ascii="Arial" w:hAnsi="Arial"/>
          <w:color w:val="000000"/>
          <w:sz w:val="20"/>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 Contract assets and contract liabilities acquired in a business combination are recognized and measured as if the acquirer entered into the original contract at the same time and same date as the acquiree in accordance with Topic 606.</w:t>
      </w:r>
    </w:p>
    <w:p>
      <w:pPr>
        <w:pStyle w:val="TextBody"/>
        <w:bidi w:val="0"/>
        <w:spacing w:before="200" w:after="283"/>
        <w:jc w:val="left"/>
        <w:rPr>
          <w:rFonts w:ascii="Arial" w:hAnsi="Arial"/>
          <w:color w:val="000000"/>
          <w:sz w:val="20"/>
        </w:rPr>
      </w:pPr>
      <w:r>
        <w:rPr>
          <w:rFonts w:ascii="Arial" w:hAnsi="Arial"/>
          <w:color w:val="000000"/>
          <w:sz w:val="20"/>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 royalty rates, operating margins and add-backs, obsolescence rate, customer attrition rates,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pStyle w:val="TextBody"/>
        <w:bidi w:val="0"/>
        <w:spacing w:before="200" w:after="283"/>
        <w:jc w:val="left"/>
        <w:rPr>
          <w:rFonts w:ascii="Arial" w:hAnsi="Arial"/>
          <w:color w:val="000000"/>
          <w:sz w:val="20"/>
        </w:rPr>
      </w:pPr>
      <w:r>
        <w:rPr>
          <w:rFonts w:ascii="Arial" w:hAnsi="Arial"/>
          <w:color w:val="000000"/>
          <w:sz w:val="20"/>
        </w:rPr>
        <w:t>Contingent consideration in business combinations is recognized at fair value on the acquisition date. Subsequent to the acquisition date, at each reporting date, the contingent consideration is remeasured and changes in the fair value resulting from changes in the underlying inputs are recognized in general and administrative expense in the consolidated statements of operations and comprehensive income (loss) until the contingent consideration is settled.</w:t>
      </w:r>
    </w:p>
    <w:p>
      <w:pPr>
        <w:pStyle w:val="TextBody"/>
        <w:bidi w:val="0"/>
        <w:spacing w:before="200" w:after="283"/>
        <w:jc w:val="left"/>
        <w:rPr>
          <w:rFonts w:ascii="Times New Roman" w:hAnsi="Times New Roman"/>
          <w:sz w:val="20"/>
        </w:rPr>
      </w:pPr>
      <w:r>
        <w:rPr>
          <w:rFonts w:ascii="Arial" w:hAnsi="Arial"/>
          <w:color w:val="000000"/>
          <w:sz w:val="20"/>
        </w:rPr>
        <w:t xml:space="preserve">The fair value of the contingent consideration in the Company's consolidated balance sheets was determined using either an option pricing model that reflects the Company’s expectations about the probability of payment based on facts and circumstances that existed at the acquisition closing date or a scenario-based method formed on the likelihoods of achieving each of the milestones. See </w:t>
      </w:r>
      <w:r>
        <w:rPr>
          <w:rFonts w:ascii="Arial" w:hAnsi="Arial"/>
          <w:i/>
          <w:color w:val="000000"/>
          <w:sz w:val="20"/>
        </w:rPr>
        <w:t>Note 5 - Fair Value Measurements</w:t>
      </w:r>
      <w:r>
        <w:rPr>
          <w:rFonts w:ascii="Times New Roman" w:hAnsi="Times New Roman"/>
          <w:color w:val="000000"/>
          <w:sz w:val="20"/>
        </w:rPr>
        <w:t xml:space="preserve"> </w:t>
      </w:r>
      <w:r>
        <w:rPr>
          <w:rFonts w:ascii="Arial" w:hAnsi="Arial"/>
          <w:color w:val="000000"/>
          <w:sz w:val="20"/>
        </w:rPr>
        <w:t>for inputs used to fair value contingent consideration.</w:t>
      </w:r>
    </w:p>
    <w:p>
      <w:pPr>
        <w:pStyle w:val="TextBody"/>
        <w:bidi w:val="0"/>
        <w:spacing w:before="200" w:after="283"/>
        <w:jc w:val="left"/>
        <w:rPr>
          <w:rFonts w:ascii="Arial" w:hAnsi="Arial"/>
          <w:color w:val="000000"/>
          <w:sz w:val="20"/>
        </w:rPr>
      </w:pPr>
      <w:r>
        <w:rPr>
          <w:rFonts w:ascii="Arial" w:hAnsi="Arial"/>
          <w:color w:val="000000"/>
          <w:sz w:val="20"/>
        </w:rPr>
        <w:t>Transaction costs related to business combinations are expensed as incurred and are included in general and administrative expense in consolidated statements of operations and comprehensive income (loss).</w:t>
      </w:r>
    </w:p>
    <w:p>
      <w:pPr>
        <w:pStyle w:val="TextBody"/>
        <w:bidi w:val="0"/>
        <w:spacing w:before="200" w:after="283"/>
        <w:jc w:val="left"/>
        <w:rPr>
          <w:rFonts w:ascii="Arial" w:hAnsi="Arial"/>
          <w:b/>
          <w:i/>
          <w:color w:val="000000"/>
          <w:sz w:val="20"/>
        </w:rPr>
      </w:pPr>
      <w:r>
        <w:rPr>
          <w:rFonts w:ascii="Arial" w:hAnsi="Arial"/>
          <w:b/>
          <w:i/>
          <w:color w:val="000000"/>
          <w:sz w:val="20"/>
        </w:rPr>
        <w:t>Fair Value Measurements</w:t>
      </w:r>
    </w:p>
    <w:p>
      <w:pPr>
        <w:pStyle w:val="TextBody"/>
        <w:bidi w:val="0"/>
        <w:spacing w:before="200" w:after="283"/>
        <w:jc w:val="left"/>
        <w:rPr>
          <w:rFonts w:ascii="Arial" w:hAnsi="Arial"/>
          <w:color w:val="000000"/>
          <w:sz w:val="20"/>
        </w:rPr>
      </w:pPr>
      <w:r>
        <w:rPr>
          <w:rFonts w:ascii="Arial" w:hAnsi="Arial"/>
          <w:color w:val="000000"/>
          <w:sz w:val="20"/>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spacing w:before="120" w:after="283"/>
        <w:jc w:val="left"/>
        <w:rPr>
          <w:rFonts w:ascii="Arial" w:hAnsi="Arial"/>
          <w:color w:val="000000"/>
          <w:sz w:val="20"/>
        </w:rPr>
      </w:pPr>
      <w:r>
        <w:rPr>
          <w:rFonts w:ascii="Arial" w:hAnsi="Arial"/>
          <w:color w:val="000000"/>
          <w:sz w:val="20"/>
        </w:rPr>
        <w:t>Level 1 - Quoted prices in active markets for identical assets or liabilities.</w:t>
      </w:r>
    </w:p>
    <w:p>
      <w:pPr>
        <w:pStyle w:val="TextBody"/>
        <w:bidi w:val="0"/>
        <w:spacing w:before="120" w:after="283"/>
        <w:jc w:val="left"/>
        <w:rPr>
          <w:rFonts w:ascii="Arial" w:hAnsi="Arial"/>
          <w:color w:val="000000"/>
          <w:sz w:val="20"/>
        </w:rPr>
      </w:pPr>
      <w:r>
        <w:rPr>
          <w:rFonts w:ascii="Arial" w:hAnsi="Arial"/>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120" w:after="283"/>
        <w:jc w:val="center"/>
        <w:rPr>
          <w:rFonts w:ascii="Arial" w:hAnsi="Arial"/>
          <w:color w:val="000000"/>
          <w:sz w:val="20"/>
        </w:rPr>
      </w:pPr>
      <w:r>
        <w:rPr>
          <w:rFonts w:ascii="Arial" w:hAnsi="Arial"/>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200" w:after="283"/>
        <w:jc w:val="left"/>
        <w:rPr>
          <w:rFonts w:ascii="Arial" w:hAnsi="Arial"/>
          <w:color w:val="000000"/>
          <w:sz w:val="20"/>
        </w:rPr>
      </w:pPr>
      <w:r>
        <w:rPr>
          <w:rFonts w:ascii="Arial" w:hAnsi="Arial"/>
          <w:color w:val="000000"/>
          <w:sz w:val="20"/>
        </w:rPr>
        <w:t>The Company’s cash equivalents are carried at fair value (Level 1) as determined according to the fair value hierarchy described above. The money market funds, which are AAA-rated are comprised of liquid, high-quality debt securities issued by the U.S. government. Shares in money market funds are purchased and redeemed at the net asset value (NAV) at the time of the purchase or sale, which may be purchased or redeemed on demand, as may be required by the Company, which represents Level 1 fair value. The Company's investments in available-for-sale debt securities and the foreign exchange contacts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pStyle w:val="TextBody"/>
        <w:bidi w:val="0"/>
        <w:spacing w:before="200" w:after="283"/>
        <w:jc w:val="left"/>
        <w:rPr>
          <w:rFonts w:ascii="Arial" w:hAnsi="Arial"/>
          <w:b/>
          <w:i/>
          <w:color w:val="000000"/>
          <w:sz w:val="20"/>
        </w:rPr>
      </w:pPr>
      <w:r>
        <w:rPr>
          <w:rFonts w:ascii="Arial" w:hAnsi="Arial"/>
          <w:b/>
          <w:i/>
          <w:color w:val="000000"/>
          <w:sz w:val="20"/>
        </w:rPr>
        <w:t>Foreign Currency Translation and Transactions</w:t>
      </w:r>
    </w:p>
    <w:p>
      <w:pPr>
        <w:pStyle w:val="TextBody"/>
        <w:bidi w:val="0"/>
        <w:spacing w:before="200" w:after="283"/>
        <w:jc w:val="left"/>
        <w:rPr>
          <w:rFonts w:ascii="Arial" w:hAnsi="Arial"/>
          <w:color w:val="000000"/>
          <w:sz w:val="20"/>
        </w:rPr>
      </w:pPr>
      <w:r>
        <w:rPr>
          <w:rFonts w:ascii="Arial" w:hAnsi="Arial"/>
          <w:color w:val="000000"/>
          <w:sz w:val="20"/>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and Australian subsidiaries, is the U.S. Dollar. The functional currency for the U.K. and the Australian subsidiaries is considered to be the local currency and, accordingly, translation adjustments for these entities are included as a component of accumulated other comprehensive (loss) income in the Company’s consolidated balance sheets. Gains and losses from the remeasurement of foreign currency transactions into the functional currency are recognized in the consolidated statements of operations and comprehensive income (loss).</w:t>
      </w:r>
    </w:p>
    <w:p>
      <w:pPr>
        <w:pStyle w:val="TextBody"/>
        <w:bidi w:val="0"/>
        <w:spacing w:before="200" w:after="283"/>
        <w:jc w:val="left"/>
        <w:rPr>
          <w:rFonts w:ascii="Arial" w:hAnsi="Arial"/>
          <w:b/>
          <w:i/>
          <w:color w:val="000000"/>
          <w:sz w:val="20"/>
        </w:rPr>
      </w:pPr>
      <w:r>
        <w:rPr>
          <w:rFonts w:ascii="Arial" w:hAnsi="Arial"/>
          <w:b/>
          <w:i/>
          <w:color w:val="000000"/>
          <w:sz w:val="20"/>
        </w:rPr>
        <w:t>Derivative Instruments and Hedging</w:t>
      </w:r>
    </w:p>
    <w:p>
      <w:pPr>
        <w:pStyle w:val="TextBody"/>
        <w:bidi w:val="0"/>
        <w:spacing w:before="200" w:after="283"/>
        <w:jc w:val="left"/>
        <w:rPr>
          <w:rFonts w:ascii="Times New Roman" w:hAnsi="Times New Roman"/>
          <w:sz w:val="20"/>
        </w:rPr>
      </w:pPr>
      <w:r>
        <w:rPr>
          <w:rFonts w:ascii="Arial" w:hAnsi="Arial"/>
          <w:color w:val="000000"/>
          <w:sz w:val="20"/>
        </w:rPr>
        <w:t>The Company generates revenues and incurs expenses by processing payments in foreign currencies. The Company also enters into intercompany loans payable in foreign currencies. Changes in the value of foreign currencies could impact the Company’s consolidated statements of operations and comprehensive income (loss).</w:t>
      </w:r>
      <w:r>
        <w:rPr>
          <w:rFonts w:ascii="Times New Roman" w:hAnsi="Times New Roman"/>
          <w:color w:val="FF0000"/>
          <w:sz w:val="20"/>
        </w:rPr>
        <w:t xml:space="preserve"> </w:t>
      </w:r>
      <w:r>
        <w:rPr>
          <w:rFonts w:ascii="Arial" w:hAnsi="Arial"/>
          <w:color w:val="000000"/>
          <w:sz w:val="20"/>
        </w:rPr>
        <w:t>To mitigate the volatility related to fluctuations in the foreign exchange rates, the Company enters into non-deliverable forward foreign currency contracts.</w:t>
      </w:r>
    </w:p>
    <w:p>
      <w:pPr>
        <w:pStyle w:val="TextBody"/>
        <w:bidi w:val="0"/>
        <w:spacing w:before="200" w:after="283"/>
        <w:jc w:val="left"/>
        <w:rPr>
          <w:rFonts w:ascii="Arial" w:hAnsi="Arial"/>
          <w:color w:val="000000"/>
          <w:sz w:val="20"/>
        </w:rPr>
      </w:pPr>
      <w:r>
        <w:rPr>
          <w:rFonts w:ascii="Arial" w:hAnsi="Arial"/>
          <w:color w:val="000000"/>
          <w:sz w:val="20"/>
        </w:rPr>
        <w:t>The Company’s foreign currency forward contracts economically hedge certain risk but are not designated as hedges for financial reporting purposes. Gains and losses on the derivatives related to clients and their customers' payments are included as a component of general and administrative expense within the consolidated statements of operations and comprehensive income (loss) due to the nature of the transactions. Gains and losses on the intercompany loans derivatives are included as a component of other income (expense) in the consolidated statements of operations and comprehensive income (loss).</w:t>
      </w:r>
    </w:p>
    <w:p>
      <w:pPr>
        <w:pStyle w:val="TextBody"/>
        <w:bidi w:val="0"/>
        <w:spacing w:before="200" w:after="283"/>
        <w:jc w:val="left"/>
        <w:rPr>
          <w:rFonts w:ascii="Arial" w:hAnsi="Arial"/>
          <w:b/>
          <w:i/>
          <w:color w:val="000000"/>
          <w:sz w:val="20"/>
        </w:rPr>
      </w:pPr>
      <w:r>
        <w:rPr>
          <w:rFonts w:ascii="Arial" w:hAnsi="Arial"/>
          <w:b/>
          <w:i/>
          <w:color w:val="000000"/>
          <w:sz w:val="20"/>
        </w:rPr>
        <w:t>Revenue Recognition</w:t>
      </w:r>
    </w:p>
    <w:p>
      <w:pPr>
        <w:pStyle w:val="TextBody"/>
        <w:bidi w:val="0"/>
        <w:spacing w:before="200" w:after="283"/>
        <w:jc w:val="left"/>
        <w:rPr>
          <w:rFonts w:ascii="Arial" w:hAnsi="Arial"/>
          <w:color w:val="000000"/>
          <w:sz w:val="20"/>
        </w:rPr>
      </w:pPr>
      <w:r>
        <w:rPr>
          <w:rFonts w:ascii="Arial" w:hAnsi="Arial"/>
          <w:color w:val="000000"/>
          <w:sz w:val="20"/>
        </w:rPr>
        <w:t>Revenue is recognized when a customer obtains control of the promised goods or services, in an amount that reflects the consideration which the entity expects to receive in exchange for those goods or services. In order to achieve this core principle, the Company applies the following five steps:</w:t>
      </w:r>
    </w:p>
    <w:p>
      <w:pPr>
        <w:pStyle w:val="TextBody"/>
        <w:bidi w:val="0"/>
        <w:spacing w:before="120" w:after="283"/>
        <w:jc w:val="left"/>
        <w:rPr>
          <w:rFonts w:ascii="Arial" w:hAnsi="Arial"/>
          <w:color w:val="000000"/>
          <w:sz w:val="20"/>
        </w:rPr>
      </w:pPr>
      <w:r>
        <w:rPr>
          <w:rFonts w:ascii="Arial" w:hAnsi="Arial"/>
          <w:color w:val="000000"/>
          <w:sz w:val="20"/>
        </w:rPr>
        <w:t>(i)</w:t>
      </w:r>
    </w:p>
    <w:p>
      <w:pPr>
        <w:pStyle w:val="TextBody"/>
        <w:bidi w:val="0"/>
        <w:spacing w:before="120" w:after="283"/>
        <w:jc w:val="left"/>
        <w:rPr>
          <w:rFonts w:ascii="Arial" w:hAnsi="Arial"/>
          <w:color w:val="000000"/>
          <w:sz w:val="20"/>
        </w:rPr>
      </w:pPr>
      <w:r>
        <w:rPr>
          <w:rFonts w:ascii="Arial" w:hAnsi="Arial"/>
          <w:color w:val="000000"/>
          <w:sz w:val="20"/>
        </w:rPr>
        <w:t>Identify the contract(s) with a customer.</w:t>
      </w:r>
    </w:p>
    <w:p>
      <w:pPr>
        <w:pStyle w:val="TextBody"/>
        <w:bidi w:val="0"/>
        <w:spacing w:before="120" w:after="283"/>
        <w:jc w:val="left"/>
        <w:rPr>
          <w:rFonts w:ascii="Arial" w:hAnsi="Arial"/>
          <w:color w:val="000000"/>
          <w:sz w:val="20"/>
        </w:rPr>
      </w:pPr>
      <w:r>
        <w:rPr>
          <w:rFonts w:ascii="Arial" w:hAnsi="Arial"/>
          <w:color w:val="000000"/>
          <w:sz w:val="20"/>
        </w:rPr>
        <w:t>(ii)</w:t>
      </w:r>
    </w:p>
    <w:p>
      <w:pPr>
        <w:pStyle w:val="TextBody"/>
        <w:bidi w:val="0"/>
        <w:spacing w:before="120" w:after="283"/>
        <w:jc w:val="left"/>
        <w:rPr>
          <w:rFonts w:ascii="Arial" w:hAnsi="Arial"/>
          <w:color w:val="000000"/>
          <w:sz w:val="20"/>
        </w:rPr>
      </w:pPr>
      <w:r>
        <w:rPr>
          <w:rFonts w:ascii="Arial" w:hAnsi="Arial"/>
          <w:color w:val="000000"/>
          <w:sz w:val="20"/>
        </w:rPr>
        <w:t>Identify the performance obligations in the contract.</w:t>
      </w:r>
    </w:p>
    <w:p>
      <w:pPr>
        <w:pStyle w:val="TextBody"/>
        <w:bidi w:val="0"/>
        <w:spacing w:before="120" w:after="283"/>
        <w:jc w:val="left"/>
        <w:rPr>
          <w:rFonts w:ascii="Arial" w:hAnsi="Arial"/>
          <w:color w:val="000000"/>
          <w:sz w:val="20"/>
        </w:rPr>
      </w:pPr>
      <w:r>
        <w:rPr>
          <w:rFonts w:ascii="Arial" w:hAnsi="Arial"/>
          <w:color w:val="000000"/>
          <w:sz w:val="20"/>
        </w:rPr>
        <w:t>(iii)</w:t>
      </w:r>
    </w:p>
    <w:p>
      <w:pPr>
        <w:pStyle w:val="TextBody"/>
        <w:bidi w:val="0"/>
        <w:spacing w:before="120" w:after="283"/>
        <w:jc w:val="left"/>
        <w:rPr>
          <w:rFonts w:ascii="Arial" w:hAnsi="Arial"/>
          <w:color w:val="000000"/>
          <w:sz w:val="20"/>
        </w:rPr>
      </w:pPr>
      <w:r>
        <w:rPr>
          <w:rFonts w:ascii="Arial" w:hAnsi="Arial"/>
          <w:color w:val="000000"/>
          <w:sz w:val="20"/>
        </w:rPr>
        <w:t>Determine the transaction price.</w:t>
      </w:r>
    </w:p>
    <w:p>
      <w:pPr>
        <w:pStyle w:val="TextBody"/>
        <w:bidi w:val="0"/>
        <w:spacing w:before="120" w:after="283"/>
        <w:jc w:val="left"/>
        <w:rPr>
          <w:rFonts w:ascii="Arial" w:hAnsi="Arial"/>
          <w:color w:val="000000"/>
          <w:sz w:val="20"/>
        </w:rPr>
      </w:pPr>
      <w:r>
        <w:rPr>
          <w:rFonts w:ascii="Arial" w:hAnsi="Arial"/>
          <w:color w:val="000000"/>
          <w:sz w:val="20"/>
        </w:rPr>
        <w:t>(iv)</w:t>
      </w:r>
    </w:p>
    <w:p>
      <w:pPr>
        <w:pStyle w:val="TextBody"/>
        <w:bidi w:val="0"/>
        <w:spacing w:before="120" w:after="283"/>
        <w:jc w:val="left"/>
        <w:rPr>
          <w:rFonts w:ascii="Arial" w:hAnsi="Arial"/>
          <w:color w:val="000000"/>
          <w:sz w:val="20"/>
        </w:rPr>
      </w:pPr>
      <w:r>
        <w:rPr>
          <w:rFonts w:ascii="Arial" w:hAnsi="Arial"/>
          <w:color w:val="000000"/>
          <w:sz w:val="20"/>
        </w:rPr>
        <w:t>Allocate the transaction price to the performance obligations in the contract.</w:t>
      </w:r>
    </w:p>
    <w:p>
      <w:pPr>
        <w:pStyle w:val="TextBody"/>
        <w:bidi w:val="0"/>
        <w:spacing w:before="120" w:after="283"/>
        <w:jc w:val="left"/>
        <w:rPr>
          <w:rFonts w:ascii="Arial" w:hAnsi="Arial"/>
          <w:color w:val="000000"/>
          <w:sz w:val="20"/>
        </w:rPr>
      </w:pPr>
      <w:r>
        <w:rPr>
          <w:rFonts w:ascii="Arial" w:hAnsi="Arial"/>
          <w:color w:val="000000"/>
          <w:sz w:val="20"/>
        </w:rPr>
        <w:t>(v)</w:t>
      </w:r>
    </w:p>
    <w:p>
      <w:pPr>
        <w:pStyle w:val="TextBody"/>
        <w:bidi w:val="0"/>
        <w:spacing w:before="120" w:after="283"/>
        <w:jc w:val="left"/>
        <w:rPr>
          <w:rFonts w:ascii="Arial" w:hAnsi="Arial"/>
          <w:color w:val="000000"/>
          <w:sz w:val="20"/>
        </w:rPr>
      </w:pPr>
      <w:r>
        <w:rPr>
          <w:rFonts w:ascii="Arial" w:hAnsi="Arial"/>
          <w:color w:val="000000"/>
          <w:sz w:val="20"/>
        </w:rPr>
        <w:t>Recognize revenue as the entity satisfies a performance obligation.</w:t>
      </w:r>
    </w:p>
    <w:p>
      <w:pPr>
        <w:pStyle w:val="TextBody"/>
        <w:bidi w:val="0"/>
        <w:spacing w:before="200" w:after="283"/>
        <w:jc w:val="left"/>
        <w:rPr>
          <w:rFonts w:ascii="Arial" w:hAnsi="Arial"/>
          <w:color w:val="000000"/>
          <w:sz w:val="20"/>
        </w:rPr>
      </w:pPr>
      <w:r>
        <w:rPr>
          <w:rFonts w:ascii="Arial" w:hAnsi="Arial"/>
          <w:color w:val="000000"/>
          <w:sz w:val="20"/>
        </w:rPr>
        <w:t>The Company derives revenue primarily from transactions and platform and other revenues.</w:t>
      </w:r>
    </w:p>
    <w:p>
      <w:pPr>
        <w:pStyle w:val="TextBody"/>
        <w:bidi w:val="0"/>
        <w:spacing w:before="120" w:after="283"/>
        <w:jc w:val="center"/>
        <w:rPr>
          <w:rFonts w:ascii="Arial" w:hAnsi="Arial"/>
          <w:color w:val="000000"/>
          <w:sz w:val="20"/>
        </w:rPr>
      </w:pPr>
      <w:r>
        <w:rPr>
          <w:rFonts w:ascii="Arial" w:hAnsi="Arial"/>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i/>
          <w:color w:val="000000"/>
          <w:sz w:val="20"/>
        </w:rPr>
        <w:t>Transaction Revenue</w:t>
      </w:r>
      <w:r>
        <w:rPr>
          <w:rFonts w:ascii="Times New Roman" w:hAnsi="Times New Roman"/>
          <w:color w:val="000000"/>
          <w:sz w:val="20"/>
        </w:rPr>
        <w:t xml:space="preserve"> </w:t>
      </w:r>
      <w:r>
        <w:rPr>
          <w:rFonts w:ascii="Arial" w:hAnsi="Arial"/>
          <w:color w:val="000000"/>
          <w:sz w:val="20"/>
        </w:rPr>
        <w:t>- relates to fees charged for payment processing services provided to educational institutions, healthcare entities and other commercial entities (each a client), which is comprised of processing domestic and cross-border transactions.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income (loss) upon completion of the payment processing transaction. The Company does not recognize the underlying amount of the transaction being settled between the client and the client’s customer as revenue in the consolidated statements of operations and comprehensive income (loss), as the Company is not the responsible party for fulfilling the obligation between the client and the client’s customer. Therefore, revenue is only recognized for the fee to which the Company is entitled for processing the payment.</w:t>
      </w:r>
    </w:p>
    <w:p>
      <w:pPr>
        <w:pStyle w:val="TextBody"/>
        <w:bidi w:val="0"/>
        <w:spacing w:before="200" w:after="283"/>
        <w:jc w:val="left"/>
        <w:rPr>
          <w:rFonts w:ascii="Arial" w:hAnsi="Arial"/>
          <w:color w:val="000000"/>
          <w:sz w:val="20"/>
        </w:rPr>
      </w:pPr>
      <w:r>
        <w:rPr>
          <w:rFonts w:ascii="Arial" w:hAnsi="Arial"/>
          <w:color w:val="000000"/>
          <w:sz w:val="20"/>
        </w:rPr>
        <w:t>In addition, 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related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pStyle w:val="TextBody"/>
        <w:bidi w:val="0"/>
        <w:spacing w:before="200" w:after="283"/>
        <w:jc w:val="left"/>
        <w:rPr>
          <w:rFonts w:ascii="Times New Roman" w:hAnsi="Times New Roman"/>
          <w:sz w:val="20"/>
        </w:rPr>
      </w:pPr>
      <w:r>
        <w:rPr>
          <w:rFonts w:ascii="Arial" w:hAnsi="Arial"/>
          <w:color w:val="000000"/>
          <w:sz w:val="20"/>
        </w:rPr>
        <w:t>The money can be wired directly from the client’s customer to the Company or to the Company's third-party service provider (Partner) to collect funds before remittance.</w:t>
      </w:r>
      <w:r>
        <w:rPr>
          <w:rFonts w:ascii="Times New Roman" w:hAnsi="Times New Roman"/>
          <w:color w:val="FF0000"/>
          <w:sz w:val="20"/>
        </w:rPr>
        <w:t xml:space="preserve"> </w:t>
      </w:r>
      <w:r>
        <w:rPr>
          <w:rFonts w:ascii="Arial" w:hAnsi="Arial"/>
          <w:color w:val="000000"/>
          <w:sz w:val="20"/>
        </w:rPr>
        <w:t>On a recurring basis, the Partner charges the Company a fee for each payment processed. The fee paid to Partners as well as any foreign exchange banking fees paid by the Company are reflected in the payment processing services costs line in the consolidated statements of operations and comprehensive income (loss).</w:t>
      </w:r>
    </w:p>
    <w:p>
      <w:pPr>
        <w:pStyle w:val="TextBody"/>
        <w:bidi w:val="0"/>
        <w:spacing w:before="200" w:after="283"/>
        <w:jc w:val="left"/>
        <w:rPr>
          <w:rFonts w:ascii="Arial" w:hAnsi="Arial"/>
          <w:color w:val="000000"/>
          <w:sz w:val="20"/>
        </w:rPr>
      </w:pPr>
      <w:r>
        <w:rPr>
          <w:rFonts w:ascii="Arial" w:hAnsi="Arial"/>
          <w:color w:val="000000"/>
          <w:sz w:val="20"/>
        </w:rPr>
        <w:t>When a Partner receives funds from a client’s customer, that will be remitted to the client by the Company,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clients,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pStyle w:val="TextBody"/>
        <w:bidi w:val="0"/>
        <w:spacing w:before="200" w:after="283"/>
        <w:jc w:val="left"/>
        <w:rPr>
          <w:rFonts w:ascii="Arial" w:hAnsi="Arial"/>
          <w:color w:val="000000"/>
          <w:sz w:val="20"/>
        </w:rPr>
      </w:pPr>
      <w:r>
        <w:rPr>
          <w:rFonts w:ascii="Arial" w:hAnsi="Arial"/>
          <w:color w:val="000000"/>
          <w:sz w:val="20"/>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pStyle w:val="TextBody"/>
        <w:bidi w:val="0"/>
        <w:spacing w:before="200" w:after="283"/>
        <w:jc w:val="left"/>
        <w:rPr>
          <w:rFonts w:ascii="Arial" w:hAnsi="Arial"/>
          <w:color w:val="000000"/>
          <w:sz w:val="20"/>
        </w:rPr>
      </w:pPr>
      <w:r>
        <w:rPr>
          <w:rFonts w:ascii="Arial" w:hAnsi="Arial"/>
          <w:color w:val="000000"/>
          <w:sz w:val="20"/>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pStyle w:val="TextBody"/>
        <w:bidi w:val="0"/>
        <w:spacing w:before="200" w:after="283"/>
        <w:jc w:val="left"/>
        <w:rPr>
          <w:rFonts w:ascii="Times New Roman" w:hAnsi="Times New Roman"/>
          <w:sz w:val="20"/>
        </w:rPr>
      </w:pPr>
      <w:r>
        <w:rPr>
          <w:rFonts w:ascii="Arial" w:hAnsi="Arial"/>
          <w:i/>
          <w:color w:val="000000"/>
          <w:sz w:val="20"/>
        </w:rPr>
        <w:t xml:space="preserve">Platform and other revenues </w:t>
      </w:r>
      <w:r>
        <w:rPr>
          <w:rFonts w:ascii="Arial" w:hAnsi="Arial"/>
          <w:color w:val="000000"/>
          <w:sz w:val="20"/>
        </w:rPr>
        <w:t>- primarily includes (i) fees earned for the utilization of the Company's platforms to optimize cash collections and student application processing, which include revenue earned from software subscription fees and usage-based fees, (ii) fees for the establishment of payment plans on the Company's payment platform, (iii) fees related to printing, mailing, and other services which are ancillary to the solutions the Company provides to its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pStyle w:val="TextBody"/>
        <w:bidi w:val="0"/>
        <w:spacing w:before="200" w:after="283"/>
        <w:jc w:val="left"/>
        <w:rPr>
          <w:rFonts w:ascii="Arial" w:hAnsi="Arial"/>
          <w:i/>
          <w:color w:val="000000"/>
          <w:sz w:val="20"/>
        </w:rPr>
      </w:pPr>
      <w:r>
        <w:rPr>
          <w:rFonts w:ascii="Arial" w:hAnsi="Arial"/>
          <w:i/>
          <w:color w:val="000000"/>
          <w:sz w:val="20"/>
        </w:rPr>
        <w:t>Performance Obligations</w:t>
      </w:r>
    </w:p>
    <w:p>
      <w:pPr>
        <w:pStyle w:val="TextBody"/>
        <w:bidi w:val="0"/>
        <w:spacing w:before="200" w:after="283"/>
        <w:jc w:val="left"/>
        <w:rPr>
          <w:rFonts w:ascii="Arial" w:hAnsi="Arial"/>
          <w:color w:val="000000"/>
          <w:sz w:val="20"/>
        </w:rPr>
      </w:pPr>
      <w:r>
        <w:rPr>
          <w:rFonts w:ascii="Arial" w:hAnsi="Arial"/>
          <w:color w:val="000000"/>
          <w:sz w:val="20"/>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pStyle w:val="TextBody"/>
        <w:bidi w:val="0"/>
        <w:spacing w:before="120" w:after="283"/>
        <w:jc w:val="center"/>
        <w:rPr>
          <w:rFonts w:ascii="Arial" w:hAnsi="Arial"/>
          <w:color w:val="000000"/>
          <w:sz w:val="20"/>
        </w:rPr>
      </w:pPr>
      <w:r>
        <w:rPr>
          <w:rFonts w:ascii="Arial" w:hAnsi="Arial"/>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pStyle w:val="TextBody"/>
        <w:bidi w:val="0"/>
        <w:spacing w:before="200" w:after="283"/>
        <w:jc w:val="left"/>
        <w:rPr>
          <w:rFonts w:ascii="Arial" w:hAnsi="Arial"/>
          <w:color w:val="000000"/>
          <w:sz w:val="20"/>
        </w:rPr>
      </w:pPr>
      <w:r>
        <w:rPr>
          <w:rFonts w:ascii="Arial" w:hAnsi="Arial"/>
          <w:color w:val="000000"/>
          <w:sz w:val="20"/>
        </w:rPr>
        <w:t>For those arrangements that include fixed consideration, the fixed component is recognized ratably over the service period while variable consideration is recognized in the period earned.</w:t>
      </w:r>
    </w:p>
    <w:p>
      <w:pPr>
        <w:pStyle w:val="TextBody"/>
        <w:bidi w:val="0"/>
        <w:spacing w:before="200" w:after="283"/>
        <w:jc w:val="left"/>
        <w:rPr>
          <w:rFonts w:ascii="Arial" w:hAnsi="Arial"/>
          <w:color w:val="000000"/>
          <w:sz w:val="20"/>
        </w:rPr>
      </w:pPr>
      <w:r>
        <w:rPr>
          <w:rFonts w:ascii="Arial" w:hAnsi="Arial"/>
          <w:color w:val="000000"/>
          <w:sz w:val="20"/>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pStyle w:val="TextBody"/>
        <w:bidi w:val="0"/>
        <w:spacing w:before="200" w:after="283"/>
        <w:jc w:val="left"/>
        <w:rPr>
          <w:rFonts w:ascii="Arial" w:hAnsi="Arial"/>
          <w:i/>
          <w:color w:val="000000"/>
          <w:sz w:val="20"/>
        </w:rPr>
      </w:pPr>
      <w:r>
        <w:rPr>
          <w:rFonts w:ascii="Arial" w:hAnsi="Arial"/>
          <w:i/>
          <w:color w:val="000000"/>
          <w:sz w:val="20"/>
        </w:rPr>
        <w:t>Variable Consideration</w:t>
      </w:r>
    </w:p>
    <w:p>
      <w:pPr>
        <w:pStyle w:val="TextBody"/>
        <w:bidi w:val="0"/>
        <w:spacing w:before="200" w:after="283"/>
        <w:jc w:val="left"/>
        <w:rPr>
          <w:rFonts w:ascii="Arial" w:hAnsi="Arial"/>
          <w:color w:val="000000"/>
          <w:sz w:val="20"/>
        </w:rPr>
      </w:pPr>
      <w:r>
        <w:rPr>
          <w:rFonts w:ascii="Arial" w:hAnsi="Arial"/>
          <w:color w:val="000000"/>
          <w:sz w:val="20"/>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pStyle w:val="TextBody"/>
        <w:bidi w:val="0"/>
        <w:spacing w:before="200" w:after="283"/>
        <w:jc w:val="left"/>
        <w:rPr>
          <w:rFonts w:ascii="Arial" w:hAnsi="Arial"/>
          <w:i/>
          <w:color w:val="000000"/>
          <w:sz w:val="20"/>
        </w:rPr>
      </w:pPr>
      <w:r>
        <w:rPr>
          <w:rFonts w:ascii="Arial" w:hAnsi="Arial"/>
          <w:i/>
          <w:color w:val="000000"/>
          <w:sz w:val="20"/>
        </w:rPr>
        <w:t>Payment Terms</w:t>
      </w:r>
    </w:p>
    <w:p>
      <w:pPr>
        <w:pStyle w:val="TextBody"/>
        <w:bidi w:val="0"/>
        <w:spacing w:before="200" w:after="283"/>
        <w:jc w:val="left"/>
        <w:rPr>
          <w:rFonts w:ascii="Arial" w:hAnsi="Arial"/>
          <w:color w:val="000000"/>
          <w:sz w:val="20"/>
        </w:rPr>
      </w:pPr>
      <w:r>
        <w:rPr>
          <w:rFonts w:ascii="Arial" w:hAnsi="Arial"/>
          <w:color w:val="000000"/>
          <w:sz w:val="20"/>
        </w:rPr>
        <w:t>The Company’s payment terms vary by type of client, client’s customers and services offered and ranges between one and 60 days. Typically, the Company charges either a fixed fee, a fixed fee per transaction or percentage of transaction value or a combination of both.</w:t>
      </w:r>
    </w:p>
    <w:p>
      <w:pPr>
        <w:pStyle w:val="TextBody"/>
        <w:bidi w:val="0"/>
        <w:spacing w:before="200" w:after="283"/>
        <w:jc w:val="left"/>
        <w:rPr>
          <w:rFonts w:ascii="Arial" w:hAnsi="Arial"/>
          <w:color w:val="000000"/>
          <w:sz w:val="20"/>
        </w:rPr>
      </w:pPr>
      <w:r>
        <w:rPr>
          <w:rFonts w:ascii="Arial" w:hAnsi="Arial"/>
          <w:color w:val="000000"/>
          <w:sz w:val="20"/>
        </w:rPr>
        <w:t>The Company does not assess whether a significant financing component exists if the period between performance obligations under the contract and payment is one year or less. None of the Company’s contracts contain a significant financing component as of December 31, 2025, 2024, and 2023.</w:t>
      </w:r>
    </w:p>
    <w:p>
      <w:pPr>
        <w:pStyle w:val="TextBody"/>
        <w:bidi w:val="0"/>
        <w:spacing w:before="200" w:after="283"/>
        <w:jc w:val="left"/>
        <w:rPr>
          <w:rFonts w:ascii="Arial" w:hAnsi="Arial"/>
          <w:i/>
          <w:color w:val="000000"/>
          <w:sz w:val="20"/>
        </w:rPr>
      </w:pPr>
      <w:r>
        <w:rPr>
          <w:rFonts w:ascii="Arial" w:hAnsi="Arial"/>
          <w:i/>
          <w:color w:val="000000"/>
          <w:sz w:val="20"/>
        </w:rPr>
        <w:t>Remaining Performance Obligations</w:t>
      </w:r>
    </w:p>
    <w:p>
      <w:pPr>
        <w:pStyle w:val="TextBody"/>
        <w:bidi w:val="0"/>
        <w:spacing w:before="200" w:after="283"/>
        <w:jc w:val="left"/>
        <w:rPr>
          <w:rFonts w:ascii="Arial" w:hAnsi="Arial"/>
          <w:color w:val="000000"/>
          <w:sz w:val="20"/>
        </w:rPr>
      </w:pPr>
      <w:r>
        <w:rPr>
          <w:rFonts w:ascii="Arial" w:hAnsi="Arial"/>
          <w:color w:val="000000"/>
          <w:sz w:val="20"/>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w:t>
      </w:r>
    </w:p>
    <w:p>
      <w:pPr>
        <w:pStyle w:val="TextBody"/>
        <w:bidi w:val="0"/>
        <w:spacing w:before="200" w:after="283"/>
        <w:jc w:val="left"/>
        <w:rPr>
          <w:rFonts w:ascii="Times New Roman" w:hAnsi="Times New Roman"/>
          <w:sz w:val="20"/>
        </w:rPr>
      </w:pPr>
      <w:r>
        <w:rPr>
          <w:rFonts w:ascii="Arial" w:hAnsi="Arial"/>
          <w:color w:val="000000"/>
          <w:sz w:val="20"/>
        </w:rPr>
        <w:t xml:space="preserve">See </w:t>
      </w:r>
      <w:r>
        <w:rPr>
          <w:rFonts w:ascii="Arial" w:hAnsi="Arial"/>
          <w:i/>
          <w:color w:val="000000"/>
          <w:sz w:val="20"/>
        </w:rPr>
        <w:t>Note 2 - Revenue and Recognition</w:t>
      </w:r>
      <w:r>
        <w:rPr>
          <w:rFonts w:ascii="Times New Roman" w:hAnsi="Times New Roman"/>
          <w:color w:val="000000"/>
          <w:sz w:val="20"/>
        </w:rPr>
        <w:t xml:space="preserve"> </w:t>
      </w:r>
      <w:r>
        <w:rPr>
          <w:rFonts w:ascii="Arial" w:hAnsi="Arial"/>
          <w:color w:val="000000"/>
          <w:sz w:val="20"/>
        </w:rPr>
        <w:t>for additional information on revenue recognition.</w:t>
      </w:r>
    </w:p>
    <w:p>
      <w:pPr>
        <w:pStyle w:val="TextBody"/>
        <w:bidi w:val="0"/>
        <w:spacing w:before="200" w:after="283"/>
        <w:jc w:val="left"/>
        <w:rPr>
          <w:rFonts w:ascii="Arial" w:hAnsi="Arial"/>
          <w:b/>
          <w:i/>
          <w:color w:val="000000"/>
          <w:sz w:val="20"/>
        </w:rPr>
      </w:pPr>
      <w:r>
        <w:rPr>
          <w:rFonts w:ascii="Arial" w:hAnsi="Arial"/>
          <w:b/>
          <w:i/>
          <w:color w:val="000000"/>
          <w:sz w:val="20"/>
        </w:rPr>
        <w:t>Payment Processing Services Costs</w:t>
      </w:r>
    </w:p>
    <w:p>
      <w:pPr>
        <w:pStyle w:val="TextBody"/>
        <w:bidi w:val="0"/>
        <w:spacing w:before="200" w:after="283"/>
        <w:jc w:val="left"/>
        <w:rPr>
          <w:rFonts w:ascii="Arial" w:hAnsi="Arial"/>
          <w:color w:val="000000"/>
          <w:sz w:val="20"/>
        </w:rPr>
      </w:pPr>
      <w:r>
        <w:rPr>
          <w:rFonts w:ascii="Arial" w:hAnsi="Arial"/>
          <w:color w:val="000000"/>
          <w:sz w:val="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to our FlyMates who provide implementation services to the Company’s clients.</w:t>
      </w:r>
    </w:p>
    <w:p>
      <w:pPr>
        <w:pStyle w:val="TextBody"/>
        <w:bidi w:val="0"/>
        <w:spacing w:before="200" w:after="283"/>
        <w:jc w:val="left"/>
        <w:rPr>
          <w:rFonts w:ascii="Arial" w:hAnsi="Arial"/>
          <w:b/>
          <w:i/>
          <w:color w:val="000000"/>
          <w:sz w:val="20"/>
        </w:rPr>
      </w:pPr>
      <w:r>
        <w:rPr>
          <w:rFonts w:ascii="Arial" w:hAnsi="Arial"/>
          <w:b/>
          <w:i/>
          <w:color w:val="000000"/>
          <w:sz w:val="20"/>
        </w:rPr>
        <w:t>Technology and Development</w:t>
      </w:r>
    </w:p>
    <w:p>
      <w:pPr>
        <w:pStyle w:val="TextBody"/>
        <w:bidi w:val="0"/>
        <w:spacing w:before="200" w:after="283"/>
        <w:jc w:val="left"/>
        <w:rPr>
          <w:rFonts w:ascii="Arial" w:hAnsi="Arial"/>
          <w:color w:val="000000"/>
          <w:sz w:val="20"/>
        </w:rPr>
      </w:pPr>
      <w:r>
        <w:rPr>
          <w:rFonts w:ascii="Arial" w:hAnsi="Arial"/>
          <w:color w:val="000000"/>
          <w:sz w:val="20"/>
        </w:rPr>
        <w:t>Technology and development includes (i)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(ii) site operations and other infrastructure costs incurred to support the transaction processing and payments platform, (iii) amortization related to capitalized cost to fulfill a contract, (iv) personnel-related expenses, including salaries, stock based compensation and other expenses, (v) hardware and software engineering, consultant services and other costs associated with the Company’s technology platform and products, (vi) research materials and facilities, and (vii) depreciation and maintenance expense.</w:t>
      </w:r>
    </w:p>
    <w:p>
      <w:pPr>
        <w:pStyle w:val="TextBody"/>
        <w:bidi w:val="0"/>
        <w:spacing w:before="120" w:after="283"/>
        <w:jc w:val="center"/>
        <w:rPr>
          <w:rFonts w:ascii="Arial" w:hAnsi="Arial"/>
          <w:color w:val="000000"/>
          <w:sz w:val="20"/>
        </w:rPr>
      </w:pPr>
      <w:r>
        <w:rPr>
          <w:rFonts w:ascii="Arial" w:hAnsi="Arial"/>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Selling and Marketing</w:t>
      </w:r>
    </w:p>
    <w:p>
      <w:pPr>
        <w:pStyle w:val="TextBody"/>
        <w:bidi w:val="0"/>
        <w:spacing w:before="200" w:after="283"/>
        <w:jc w:val="left"/>
        <w:rPr>
          <w:rFonts w:ascii="Arial" w:hAnsi="Arial"/>
          <w:color w:val="000000"/>
          <w:sz w:val="20"/>
        </w:rPr>
      </w:pPr>
      <w:r>
        <w:rPr>
          <w:rFonts w:ascii="Arial" w:hAnsi="Arial"/>
          <w:color w:val="000000"/>
          <w:sz w:val="20"/>
        </w:rPr>
        <w:t>Selling and marketing expenses consist of personnel-related expenses, including stock-based compensation expense, sales commissions, amortization of acquired customer relationship intangible assets, marketing program expenses, travel-related expenses and costs to market and promote the Company's solutions through advertisements, marketing events, partnership arrangements, and direct client acquisition.</w:t>
      </w:r>
    </w:p>
    <w:p>
      <w:pPr>
        <w:pStyle w:val="TextBody"/>
        <w:bidi w:val="0"/>
        <w:spacing w:before="200" w:after="283"/>
        <w:jc w:val="left"/>
        <w:rPr>
          <w:rFonts w:ascii="Arial" w:hAnsi="Arial"/>
          <w:b/>
          <w:i/>
          <w:color w:val="000000"/>
          <w:sz w:val="20"/>
        </w:rPr>
      </w:pPr>
      <w:r>
        <w:rPr>
          <w:rFonts w:ascii="Arial" w:hAnsi="Arial"/>
          <w:b/>
          <w:i/>
          <w:color w:val="000000"/>
          <w:sz w:val="20"/>
        </w:rPr>
        <w:t>General and Administrative</w:t>
      </w:r>
    </w:p>
    <w:p>
      <w:pPr>
        <w:pStyle w:val="TextBody"/>
        <w:bidi w:val="0"/>
        <w:spacing w:before="200" w:after="283"/>
        <w:jc w:val="left"/>
        <w:rPr>
          <w:rFonts w:ascii="Arial" w:hAnsi="Arial"/>
          <w:color w:val="000000"/>
          <w:sz w:val="20"/>
        </w:rPr>
      </w:pPr>
      <w:r>
        <w:rPr>
          <w:rFonts w:ascii="Arial" w:hAnsi="Arial"/>
          <w:color w:val="000000"/>
          <w:sz w:val="20"/>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w:t>
      </w:r>
    </w:p>
    <w:p>
      <w:pPr>
        <w:pStyle w:val="TextBody"/>
        <w:bidi w:val="0"/>
        <w:spacing w:before="200" w:after="283"/>
        <w:jc w:val="left"/>
        <w:rPr>
          <w:rFonts w:ascii="Arial" w:hAnsi="Arial"/>
          <w:b/>
          <w:i/>
          <w:color w:val="000000"/>
          <w:sz w:val="20"/>
        </w:rPr>
      </w:pPr>
      <w:r>
        <w:rPr>
          <w:rFonts w:ascii="Arial" w:hAnsi="Arial"/>
          <w:b/>
          <w:i/>
          <w:color w:val="000000"/>
          <w:sz w:val="20"/>
        </w:rPr>
        <w:t>Advertising Costs</w:t>
      </w:r>
    </w:p>
    <w:p>
      <w:pPr>
        <w:pStyle w:val="TextBody"/>
        <w:bidi w:val="0"/>
        <w:spacing w:before="200" w:after="283"/>
        <w:jc w:val="left"/>
        <w:rPr>
          <w:rFonts w:ascii="Times New Roman" w:hAnsi="Times New Roman"/>
          <w:sz w:val="20"/>
        </w:rPr>
      </w:pPr>
      <w:r>
        <w:rPr>
          <w:rFonts w:ascii="Arial" w:hAnsi="Arial"/>
          <w:color w:val="000000"/>
          <w:sz w:val="20"/>
        </w:rPr>
        <w:t>Advertising costs are expensed as incurred and are included in selling and marketing expenses in the consolidated statements of operations and comprehensive income (loss). Advertising expenses were $8.8</w:t>
      </w:r>
      <w:r>
        <w:rPr>
          <w:rFonts w:ascii="Times New Roman" w:hAnsi="Times New Roman"/>
          <w:color w:val="000000"/>
          <w:sz w:val="20"/>
        </w:rPr>
        <w:t xml:space="preserve"> </w:t>
      </w:r>
      <w:r>
        <w:rPr>
          <w:rFonts w:ascii="Arial" w:hAnsi="Arial"/>
          <w:color w:val="000000"/>
          <w:sz w:val="20"/>
        </w:rPr>
        <w:t>million, $7.5</w:t>
      </w:r>
      <w:r>
        <w:rPr>
          <w:rFonts w:ascii="Times New Roman" w:hAnsi="Times New Roman"/>
          <w:color w:val="000000"/>
          <w:sz w:val="20"/>
        </w:rPr>
        <w:t xml:space="preserve"> </w:t>
      </w:r>
      <w:r>
        <w:rPr>
          <w:rFonts w:ascii="Arial" w:hAnsi="Arial"/>
          <w:color w:val="000000"/>
          <w:sz w:val="20"/>
        </w:rPr>
        <w:t>million, and $6.6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years ended December 31, 2025, 2024, and 2023, respectively.</w:t>
      </w:r>
    </w:p>
    <w:p>
      <w:pPr>
        <w:pStyle w:val="TextBody"/>
        <w:bidi w:val="0"/>
        <w:spacing w:before="200" w:after="283"/>
        <w:jc w:val="left"/>
        <w:rPr>
          <w:rFonts w:ascii="Arial" w:hAnsi="Arial"/>
          <w:b/>
          <w:i/>
          <w:color w:val="000000"/>
          <w:sz w:val="20"/>
        </w:rPr>
      </w:pPr>
      <w:r>
        <w:rPr>
          <w:rFonts w:ascii="Arial" w:hAnsi="Arial"/>
          <w:b/>
          <w:i/>
          <w:color w:val="000000"/>
          <w:sz w:val="20"/>
        </w:rPr>
        <w:t>Stock-Based Compensation</w:t>
      </w:r>
    </w:p>
    <w:p>
      <w:pPr>
        <w:pStyle w:val="TextBody"/>
        <w:bidi w:val="0"/>
        <w:spacing w:before="200" w:after="283"/>
        <w:jc w:val="left"/>
        <w:rPr>
          <w:rFonts w:ascii="Arial" w:hAnsi="Arial"/>
          <w:color w:val="000000"/>
          <w:sz w:val="20"/>
        </w:rPr>
      </w:pPr>
      <w:r>
        <w:rPr>
          <w:rFonts w:ascii="Arial" w:hAnsi="Arial"/>
          <w:color w:val="000000"/>
          <w:sz w:val="20"/>
        </w:rPr>
        <w:t>The Company recognizes compensation cost for all stock-based compensation awards made to employees, net of an estimated forfeiture rate and recognizes compensation cost only for those shares expected to vest over the requisite service period of the award.</w:t>
      </w:r>
    </w:p>
    <w:p>
      <w:pPr>
        <w:pStyle w:val="TextBody"/>
        <w:bidi w:val="0"/>
        <w:spacing w:before="200" w:after="283"/>
        <w:jc w:val="left"/>
        <w:rPr>
          <w:rFonts w:ascii="Arial" w:hAnsi="Arial"/>
          <w:color w:val="000000"/>
          <w:sz w:val="20"/>
        </w:rPr>
      </w:pPr>
      <w:r>
        <w:rPr>
          <w:rFonts w:ascii="Arial" w:hAnsi="Arial"/>
          <w:color w:val="000000"/>
          <w:sz w:val="20"/>
        </w:rPr>
        <w:t>The Company determines compensation expense associated with restricted stock units based on the fair value of the Company's common stock on the date of the grant.</w:t>
      </w:r>
    </w:p>
    <w:p>
      <w:pPr>
        <w:pStyle w:val="TextBody"/>
        <w:bidi w:val="0"/>
        <w:spacing w:before="200" w:after="283"/>
        <w:jc w:val="left"/>
        <w:rPr>
          <w:rFonts w:ascii="Arial" w:hAnsi="Arial"/>
          <w:color w:val="000000"/>
          <w:sz w:val="20"/>
        </w:rPr>
      </w:pPr>
      <w:r>
        <w:rPr>
          <w:rFonts w:ascii="Arial" w:hAnsi="Arial"/>
          <w:color w:val="000000"/>
          <w:sz w:val="20"/>
        </w:rPr>
        <w:t>The Company determines compensation expense associated with options to purchase shares of common stock and Employee Stock Purchase Plan (ESPP) based on the grant date fair value method using the Black-Scholes valuation model.</w:t>
      </w:r>
    </w:p>
    <w:p>
      <w:pPr>
        <w:pStyle w:val="TextBody"/>
        <w:bidi w:val="0"/>
        <w:spacing w:before="200" w:after="283"/>
        <w:jc w:val="left"/>
        <w:rPr>
          <w:rFonts w:ascii="Arial" w:hAnsi="Arial"/>
          <w:color w:val="000000"/>
          <w:sz w:val="20"/>
        </w:rPr>
      </w:pPr>
      <w:r>
        <w:rPr>
          <w:rFonts w:ascii="Arial" w:hAnsi="Arial"/>
          <w:color w:val="000000"/>
          <w:sz w:val="20"/>
        </w:rPr>
        <w:t>The Black-Scholes valuation model requires judgments and estimates. Such estimates include the exercise price, expected volatility, expected term, risk free rate, and expected dividend yield. Any changes to those estimates may have a significant impact on the stock-based compensation expense recorded and could materially impact the Company’s results of operations.</w:t>
      </w:r>
    </w:p>
    <w:p>
      <w:pPr>
        <w:pStyle w:val="TextBody"/>
        <w:bidi w:val="0"/>
        <w:spacing w:before="200" w:after="283"/>
        <w:jc w:val="left"/>
        <w:rPr>
          <w:rFonts w:ascii="Arial" w:hAnsi="Arial"/>
          <w:color w:val="000000"/>
          <w:sz w:val="20"/>
        </w:rPr>
      </w:pPr>
      <w:r>
        <w:rPr>
          <w:rFonts w:ascii="Arial" w:hAnsi="Arial"/>
          <w:color w:val="000000"/>
          <w:sz w:val="20"/>
        </w:rPr>
        <w:t>The fair value of the Company’s common stock is determined based on the closing quoted market price of the Company’s common stock.</w:t>
      </w:r>
    </w:p>
    <w:p>
      <w:pPr>
        <w:pStyle w:val="TextBody"/>
        <w:bidi w:val="0"/>
        <w:spacing w:before="200" w:after="283"/>
        <w:jc w:val="left"/>
        <w:rPr>
          <w:rFonts w:ascii="Arial" w:hAnsi="Arial"/>
          <w:color w:val="000000"/>
          <w:sz w:val="20"/>
        </w:rPr>
      </w:pPr>
      <w:r>
        <w:rPr>
          <w:rFonts w:ascii="Arial" w:hAnsi="Arial"/>
          <w:color w:val="000000"/>
          <w:sz w:val="20"/>
        </w:rPr>
        <w:t>The expected volatility is estimated based on the historical volatility of the Company’s common stock. However, since the Company’s initial public offering occurred in 2021, the Company lacked sufficient Company-specific historical and implied volatility information for its stock options granted in 2022; therefore, the Company estimated its expected stock volatility based on the historical volatility of publicly traded peer companies.</w:t>
      </w:r>
    </w:p>
    <w:p>
      <w:pPr>
        <w:pStyle w:val="TextBody"/>
        <w:bidi w:val="0"/>
        <w:spacing w:before="200" w:after="283"/>
        <w:jc w:val="left"/>
        <w:rPr>
          <w:rFonts w:ascii="Arial" w:hAnsi="Arial"/>
          <w:color w:val="000000"/>
          <w:sz w:val="20"/>
        </w:rPr>
      </w:pPr>
      <w:r>
        <w:rPr>
          <w:rFonts w:ascii="Arial" w:hAnsi="Arial"/>
          <w:color w:val="000000"/>
          <w:sz w:val="20"/>
        </w:rPr>
        <w:t>The expected term represents the period that stock-based awards are expected to be outstanding. The expected term for options grants is determined using the simplified method. The simplified method deems the term to be the average of the time-to-vesting and the contractual life of the stock-based awards.</w:t>
      </w:r>
    </w:p>
    <w:p>
      <w:pPr>
        <w:pStyle w:val="TextBody"/>
        <w:bidi w:val="0"/>
        <w:spacing w:before="200" w:after="283"/>
        <w:jc w:val="left"/>
        <w:rPr>
          <w:rFonts w:ascii="Arial" w:hAnsi="Arial"/>
          <w:color w:val="000000"/>
          <w:sz w:val="20"/>
        </w:rPr>
      </w:pPr>
      <w:r>
        <w:rPr>
          <w:rFonts w:ascii="Arial" w:hAnsi="Arial"/>
          <w:color w:val="000000"/>
          <w:sz w:val="20"/>
        </w:rPr>
        <w:t>The risk-free interest rate is determined by reference to the U.S. Treasury yield curve in effect at the time of grant of the award for time periods approximately equal to the expected term of the award.</w:t>
      </w:r>
    </w:p>
    <w:p>
      <w:pPr>
        <w:pStyle w:val="TextBody"/>
        <w:bidi w:val="0"/>
        <w:spacing w:before="200" w:after="283"/>
        <w:jc w:val="left"/>
        <w:rPr>
          <w:rFonts w:ascii="Arial" w:hAnsi="Arial"/>
          <w:color w:val="000000"/>
          <w:sz w:val="20"/>
        </w:rPr>
      </w:pPr>
      <w:r>
        <w:rPr>
          <w:rFonts w:ascii="Arial" w:hAnsi="Arial"/>
          <w:color w:val="000000"/>
          <w:sz w:val="20"/>
        </w:rPr>
        <w:t>Expected dividend yield is zero based on the fact that the Company does not have a history of declaring or paying cash dividends.</w:t>
      </w:r>
    </w:p>
    <w:p>
      <w:pPr>
        <w:pStyle w:val="TextBody"/>
        <w:bidi w:val="0"/>
        <w:spacing w:before="200" w:after="283"/>
        <w:jc w:val="left"/>
        <w:rPr>
          <w:rFonts w:ascii="Times New Roman" w:hAnsi="Times New Roman"/>
          <w:sz w:val="20"/>
        </w:rPr>
      </w:pPr>
      <w:r>
        <w:rPr>
          <w:rFonts w:ascii="Arial" w:hAnsi="Arial"/>
          <w:color w:val="000000"/>
          <w:sz w:val="20"/>
        </w:rPr>
        <w:t>Compensation expense is recognized using a straight-line amortization method over the requisite service period of the award, which is generally the vesting term of four years</w:t>
      </w:r>
      <w:r>
        <w:rPr>
          <w:rFonts w:ascii="Times New Roman" w:hAnsi="Times New Roman"/>
          <w:color w:val="000000"/>
          <w:sz w:val="20"/>
        </w:rPr>
        <w:t xml:space="preserve"> </w:t>
      </w:r>
      <w:r>
        <w:rPr>
          <w:rFonts w:ascii="Arial" w:hAnsi="Arial"/>
          <w:color w:val="000000"/>
          <w:sz w:val="20"/>
        </w:rPr>
        <w:t>for stock options, one</w:t>
      </w:r>
      <w:r>
        <w:rPr>
          <w:rFonts w:ascii="Times New Roman" w:hAnsi="Times New Roman"/>
          <w:color w:val="000000"/>
          <w:sz w:val="20"/>
        </w:rPr>
        <w:t xml:space="preserve"> </w:t>
      </w:r>
      <w:r>
        <w:rPr>
          <w:rFonts w:ascii="Arial" w:hAnsi="Arial"/>
          <w:color w:val="000000"/>
          <w:sz w:val="20"/>
        </w:rPr>
        <w:t>to four years</w:t>
      </w:r>
      <w:r>
        <w:rPr>
          <w:rFonts w:ascii="Times New Roman" w:hAnsi="Times New Roman"/>
          <w:color w:val="000000"/>
          <w:sz w:val="20"/>
        </w:rPr>
        <w:t xml:space="preserve"> </w:t>
      </w:r>
      <w:r>
        <w:rPr>
          <w:rFonts w:ascii="Arial" w:hAnsi="Arial"/>
          <w:color w:val="000000"/>
          <w:sz w:val="20"/>
        </w:rPr>
        <w:t>for restricted stock units, and the offering period of six months</w:t>
      </w:r>
      <w:r>
        <w:rPr>
          <w:rFonts w:ascii="Times New Roman" w:hAnsi="Times New Roman"/>
          <w:color w:val="000000"/>
          <w:sz w:val="20"/>
        </w:rPr>
        <w:t xml:space="preserve"> </w:t>
      </w:r>
      <w:r>
        <w:rPr>
          <w:rFonts w:ascii="Arial" w:hAnsi="Arial"/>
          <w:color w:val="000000"/>
          <w:sz w:val="20"/>
        </w:rPr>
        <w:t>for ESPP. The Company has elected to estimate the expected forfeiture rate and recognize expense only for those shares expected to vest. The expected forfeiture rate is estimated based on historical experience, which was determined to be 5% for the year ending December 31, 2025.</w:t>
      </w:r>
    </w:p>
    <w:p>
      <w:pPr>
        <w:pStyle w:val="TextBody"/>
        <w:bidi w:val="0"/>
        <w:spacing w:before="120" w:after="283"/>
        <w:jc w:val="center"/>
        <w:rPr>
          <w:rFonts w:ascii="Arial" w:hAnsi="Arial"/>
          <w:color w:val="000000"/>
          <w:sz w:val="20"/>
        </w:rPr>
      </w:pPr>
      <w:r>
        <w:rPr>
          <w:rFonts w:ascii="Arial" w:hAnsi="Arial"/>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 Company classifies stock-based compensation expense in its consolidated statements of operations and comprehensive income (loss) in the same manner in which the award recipient’s payroll costs are classified.</w:t>
      </w:r>
    </w:p>
    <w:p>
      <w:pPr>
        <w:pStyle w:val="TextBody"/>
        <w:bidi w:val="0"/>
        <w:spacing w:before="200" w:after="283"/>
        <w:jc w:val="left"/>
        <w:rPr>
          <w:rFonts w:ascii="Arial" w:hAnsi="Arial"/>
          <w:b/>
          <w:i/>
          <w:color w:val="000000"/>
          <w:sz w:val="20"/>
        </w:rPr>
      </w:pPr>
      <w:r>
        <w:rPr>
          <w:rFonts w:ascii="Arial" w:hAnsi="Arial"/>
          <w:b/>
          <w:i/>
          <w:color w:val="000000"/>
          <w:sz w:val="20"/>
        </w:rPr>
        <w:t>Income Taxes</w:t>
      </w:r>
    </w:p>
    <w:p>
      <w:pPr>
        <w:pStyle w:val="TextBody"/>
        <w:bidi w:val="0"/>
        <w:spacing w:before="200" w:after="283"/>
        <w:jc w:val="left"/>
        <w:rPr>
          <w:rFonts w:ascii="Arial" w:hAnsi="Arial"/>
          <w:color w:val="000000"/>
          <w:sz w:val="20"/>
        </w:rPr>
      </w:pPr>
      <w:r>
        <w:rPr>
          <w:rFonts w:ascii="Arial" w:hAnsi="Arial"/>
          <w:color w:val="000000"/>
          <w:sz w:val="20"/>
        </w:rPr>
        <w:t>The Company accounts for income taxes using the asset and liability method, which requires the recognition of deferred tax assets and liabilities for the expected future tax consequences of temporary differences between the financial statement and the tax basis of assets and liabilities, as measured by enacted tax rates anticipated to be in effect when these differences are expected to reverse.</w:t>
      </w:r>
    </w:p>
    <w:p>
      <w:pPr>
        <w:pStyle w:val="TextBody"/>
        <w:bidi w:val="0"/>
        <w:spacing w:before="200" w:after="283"/>
        <w:jc w:val="left"/>
        <w:rPr>
          <w:rFonts w:ascii="Arial" w:hAnsi="Arial"/>
          <w:color w:val="000000"/>
          <w:sz w:val="20"/>
        </w:rPr>
      </w:pPr>
      <w:r>
        <w:rPr>
          <w:rFonts w:ascii="Arial" w:hAnsi="Arial"/>
          <w:color w:val="000000"/>
          <w:sz w:val="20"/>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pStyle w:val="TextBody"/>
        <w:bidi w:val="0"/>
        <w:spacing w:before="200" w:after="283"/>
        <w:jc w:val="left"/>
        <w:rPr>
          <w:rFonts w:ascii="Arial" w:hAnsi="Arial"/>
          <w:color w:val="000000"/>
          <w:sz w:val="20"/>
        </w:rPr>
      </w:pPr>
      <w:r>
        <w:rPr>
          <w:rFonts w:ascii="Arial" w:hAnsi="Arial"/>
          <w:color w:val="000000"/>
          <w:sz w:val="20"/>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Interest and penalties related to uncertain tax positions are recognized in the provision for income taxes.</w:t>
      </w:r>
    </w:p>
    <w:p>
      <w:pPr>
        <w:pStyle w:val="TextBody"/>
        <w:bidi w:val="0"/>
        <w:spacing w:before="200" w:after="283"/>
        <w:jc w:val="left"/>
        <w:rPr>
          <w:rFonts w:ascii="Arial" w:hAnsi="Arial"/>
          <w:color w:val="000000"/>
          <w:sz w:val="20"/>
        </w:rPr>
      </w:pPr>
      <w:r>
        <w:rPr>
          <w:rFonts w:ascii="Arial" w:hAnsi="Arial"/>
          <w:color w:val="000000"/>
          <w:sz w:val="20"/>
        </w:rPr>
        <w:t>The Company accounts for the earnings of its foreign subsidiaries, if any, as permanently reinvested and therefore does not provide for U.S. income taxes that could result from the distribution of those earnings to the U.S. parent.</w:t>
      </w:r>
    </w:p>
    <w:p>
      <w:pPr>
        <w:pStyle w:val="TextBody"/>
        <w:bidi w:val="0"/>
        <w:spacing w:before="200" w:after="283"/>
        <w:jc w:val="left"/>
        <w:rPr>
          <w:rFonts w:ascii="Arial" w:hAnsi="Arial"/>
          <w:color w:val="000000"/>
          <w:sz w:val="20"/>
        </w:rPr>
      </w:pPr>
      <w:r>
        <w:rPr>
          <w:rFonts w:ascii="Arial" w:hAnsi="Arial"/>
          <w:color w:val="000000"/>
          <w:sz w:val="20"/>
        </w:rPr>
        <w:t>The Company is open to future tax examinations from 2021 to the present; however, carryforward attributes that were generated prior to 2021 may still be adjusted upon examination by federal, state or local tax authorities to the extent they will be used in a future period.</w:t>
      </w:r>
    </w:p>
    <w:p>
      <w:pPr>
        <w:pStyle w:val="TextBody"/>
        <w:bidi w:val="0"/>
        <w:spacing w:before="200" w:after="283"/>
        <w:jc w:val="left"/>
        <w:rPr>
          <w:rFonts w:ascii="Arial" w:hAnsi="Arial"/>
          <w:b/>
          <w:i/>
          <w:color w:val="000000"/>
          <w:sz w:val="20"/>
        </w:rPr>
      </w:pPr>
      <w:r>
        <w:rPr>
          <w:rFonts w:ascii="Arial" w:hAnsi="Arial"/>
          <w:b/>
          <w:i/>
          <w:color w:val="000000"/>
          <w:sz w:val="20"/>
        </w:rPr>
        <w:t>Comprehensive Income (Loss)</w:t>
      </w:r>
    </w:p>
    <w:p>
      <w:pPr>
        <w:pStyle w:val="TextBody"/>
        <w:bidi w:val="0"/>
        <w:spacing w:before="200" w:after="283"/>
        <w:jc w:val="left"/>
        <w:rPr>
          <w:rFonts w:ascii="Arial" w:hAnsi="Arial"/>
          <w:color w:val="000000"/>
          <w:sz w:val="20"/>
        </w:rPr>
      </w:pPr>
      <w:r>
        <w:rPr>
          <w:rFonts w:ascii="Arial" w:hAnsi="Arial"/>
          <w:color w:val="000000"/>
          <w:sz w:val="20"/>
        </w:rPr>
        <w:t>Comprehensive income (loss) includes net income (loss) as well as other changes in stockholders’ equity that result from transactions and economic events other than those with stockholders. The comprehensive income (loss) for the Company equals its net income (loss) plus changes in foreign currency translation and unrealized gains (losses) on available-for-sale debt securities, net of taxes for all periods presented.</w:t>
      </w:r>
    </w:p>
    <w:p>
      <w:pPr>
        <w:pStyle w:val="TextBody"/>
        <w:bidi w:val="0"/>
        <w:spacing w:before="200" w:after="283"/>
        <w:jc w:val="left"/>
        <w:rPr>
          <w:rFonts w:ascii="Arial" w:hAnsi="Arial"/>
          <w:b/>
          <w:i/>
          <w:color w:val="000000"/>
          <w:sz w:val="20"/>
        </w:rPr>
      </w:pPr>
      <w:r>
        <w:rPr>
          <w:rFonts w:ascii="Arial" w:hAnsi="Arial"/>
          <w:b/>
          <w:i/>
          <w:color w:val="000000"/>
          <w:sz w:val="20"/>
        </w:rPr>
        <w:t>Net Income (Loss) per Share</w:t>
      </w:r>
    </w:p>
    <w:p>
      <w:pPr>
        <w:pStyle w:val="TextBody"/>
        <w:bidi w:val="0"/>
        <w:spacing w:before="200" w:after="283"/>
        <w:jc w:val="left"/>
        <w:rPr>
          <w:rFonts w:ascii="Arial" w:hAnsi="Arial"/>
          <w:color w:val="000000"/>
          <w:sz w:val="20"/>
        </w:rPr>
      </w:pPr>
      <w:r>
        <w:rPr>
          <w:rFonts w:ascii="Arial" w:hAnsi="Arial"/>
          <w:color w:val="000000"/>
          <w:sz w:val="20"/>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 The dilutive effect of outstanding equity incentive awards is reflected in diluted net income (loss) per share by application of the treasury stock method.</w:t>
      </w:r>
    </w:p>
    <w:p>
      <w:pPr>
        <w:pStyle w:val="TextBody"/>
        <w:bidi w:val="0"/>
        <w:spacing w:before="200" w:after="283"/>
        <w:jc w:val="left"/>
        <w:rPr>
          <w:rFonts w:ascii="Times New Roman" w:hAnsi="Times New Roman"/>
          <w:sz w:val="20"/>
        </w:rPr>
      </w:pPr>
      <w:r>
        <w:rPr>
          <w:rFonts w:ascii="Arial" w:hAnsi="Arial"/>
          <w:color w:val="000000"/>
          <w:sz w:val="20"/>
        </w:rPr>
        <w:t>In periods in which the Company reports a net loss attributable to common stockholders, diluted net loss per share attributable to common stockholders is the same as basic net loss per share attributable to</w:t>
      </w:r>
      <w:r>
        <w:rPr>
          <w:rFonts w:ascii="Times New Roman" w:hAnsi="Times New Roman"/>
          <w:color w:val="000000"/>
          <w:sz w:val="20"/>
        </w:rPr>
        <w:t xml:space="preserve"> </w:t>
      </w:r>
      <w:r>
        <w:rPr>
          <w:rFonts w:ascii="Arial" w:hAnsi="Arial"/>
          <w:color w:val="000000"/>
          <w:sz w:val="20"/>
        </w:rPr>
        <w:t>common stockholders, since dilutive common shares are not assumed to have been issued if their effect is anti-dilutive.</w:t>
      </w:r>
    </w:p>
    <w:p>
      <w:pPr>
        <w:pStyle w:val="TextBody"/>
        <w:bidi w:val="0"/>
        <w:spacing w:before="200" w:after="283"/>
        <w:jc w:val="left"/>
        <w:rPr>
          <w:rFonts w:ascii="Arial" w:hAnsi="Arial"/>
          <w:color w:val="000000"/>
          <w:sz w:val="20"/>
        </w:rPr>
      </w:pPr>
      <w:r>
        <w:rPr>
          <w:rFonts w:ascii="Arial" w:hAnsi="Arial"/>
          <w:color w:val="000000"/>
          <w:sz w:val="20"/>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pStyle w:val="TextBody"/>
        <w:bidi w:val="0"/>
        <w:spacing w:before="200" w:after="200"/>
        <w:jc w:val="left"/>
        <w:rPr>
          <w:rFonts w:ascii="Arial" w:hAnsi="Arial"/>
          <w:b/>
          <w:i/>
          <w:color w:val="000000"/>
          <w:sz w:val="20"/>
        </w:rPr>
      </w:pPr>
      <w:r>
        <w:rPr>
          <w:rFonts w:ascii="Arial" w:hAnsi="Arial"/>
          <w:b/>
          <w:i/>
          <w:color w:val="000000"/>
          <w:sz w:val="20"/>
        </w:rPr>
        <w:t>Revisions to Previously Issued Financial Statements</w:t>
      </w:r>
    </w:p>
    <w:p>
      <w:pPr>
        <w:pStyle w:val="TextBody"/>
        <w:bidi w:val="0"/>
        <w:spacing w:before="0" w:after="200"/>
        <w:jc w:val="left"/>
        <w:rPr>
          <w:rFonts w:ascii="Times New Roman" w:hAnsi="Times New Roman"/>
          <w:sz w:val="20"/>
        </w:rPr>
      </w:pPr>
      <w:r>
        <w:rPr>
          <w:rFonts w:ascii="Arial" w:hAnsi="Arial"/>
          <w:color w:val="000000"/>
          <w:sz w:val="20"/>
        </w:rPr>
        <w:t>In connection with the preparation of the Company's consolidated financial statements for the nine months ended September 30, 2025, the Company identified classification errors in its consolidated statements of cash flows for the years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ended December 31, 2024 and 2023. Specifically, the Company’s historical classification of the effects of exchange rate changes on the Company’s foreign denominated cash and cash equivalent balances was misclassified between the effects of exchange rate changes on cash and cash equivalents and cash flows from operating activities in its consolidated statements of cash flows for the years ended December 31, 2024 and 2023. Additionally, the Company corrected for immaterial classification errors between cash flows from operating activities for all revised periods and cash flows from investing activities for the twelve months ended December 31, 2024. The Company's consolidated statements of cash flows for the years ended December 31, 2024 and 2023 has been revised and information about the revision adjustments is disclosed below.</w:t>
      </w:r>
    </w:p>
    <w:p>
      <w:pPr>
        <w:pStyle w:val="TextBody"/>
        <w:bidi w:val="0"/>
        <w:spacing w:before="0" w:after="200"/>
        <w:jc w:val="left"/>
        <w:rPr>
          <w:rFonts w:ascii="Arial" w:hAnsi="Arial"/>
          <w:color w:val="000000"/>
          <w:sz w:val="20"/>
        </w:rPr>
      </w:pPr>
      <w:r>
        <w:rPr>
          <w:rFonts w:ascii="Arial" w:hAnsi="Arial"/>
          <w:color w:val="000000"/>
          <w:sz w:val="20"/>
        </w:rPr>
        <w:t>The Company assessed the effect of the errors on prior periods under the guidance of Securities and Exchange Commission (“SEC”) Staff Accounting Bulletin No. 99, “Materiality,” codified in ASC 250, Accounting Changes and Error Corrections (“ASC 250”). Based on its assessment, the Company determined the errors were not material to any previously issued financial statements. The correction has no impact on the Company's previously reported consolidated net income (loss), financial position, net change in cash, cash equivalents, and restricted cash, or total cash, cash equivalents, and restricted cash as previously reported on the Company's consolidated statements of cash flows for the applicable periods.</w:t>
      </w:r>
    </w:p>
    <w:p>
      <w:pPr>
        <w:pStyle w:val="TextBody"/>
        <w:bidi w:val="0"/>
        <w:spacing w:before="0" w:after="200"/>
        <w:jc w:val="left"/>
        <w:rPr>
          <w:rFonts w:ascii="Arial" w:hAnsi="Arial"/>
          <w:color w:val="000000"/>
          <w:sz w:val="20"/>
        </w:rPr>
      </w:pPr>
      <w:r>
        <w:rPr>
          <w:rFonts w:ascii="Arial" w:hAnsi="Arial"/>
          <w:color w:val="000000"/>
          <w:sz w:val="20"/>
        </w:rPr>
        <w:t>The following table shows the impact of the revision on the consolidated statement of cash flows for the years ended December 31, 2024 and 2023 (in thousands):</w:t>
      </w:r>
    </w:p>
    <w:tbl>
      <w:tblPr>
        <w:tblW w:w="10205" w:type="dxa"/>
        <w:jc w:val="left"/>
        <w:tblInd w:w="0" w:type="dxa"/>
        <w:tblLayout w:type="fixed"/>
        <w:tblCellMar>
          <w:top w:w="28" w:type="dxa"/>
          <w:left w:w="28" w:type="dxa"/>
          <w:bottom w:w="28" w:type="dxa"/>
          <w:right w:w="28" w:type="dxa"/>
        </w:tblCellMar>
      </w:tblPr>
      <w:tblGrid>
        <w:gridCol w:w="5396"/>
        <w:gridCol w:w="374"/>
        <w:gridCol w:w="1588"/>
        <w:gridCol w:w="146"/>
        <w:gridCol w:w="285"/>
        <w:gridCol w:w="916"/>
        <w:gridCol w:w="146"/>
        <w:gridCol w:w="211"/>
        <w:gridCol w:w="1143"/>
      </w:tblGrid>
      <w:tr>
        <w:trPr/>
        <w:tc>
          <w:tcPr>
            <w:tcW w:w="539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2024</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Previously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Revised</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 on remeasurement of foreign currency</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11,573</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accretion of discounts and amortization of premiums on investments</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(1,807)</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operating assets and liabilities, net of acquisition:</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receivable</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(5,226)</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Unbilled receivables</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(4,841)</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Funds receivable from payment partners</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23,335</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Prepaid expenses, other current assets and other assets</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(5,071)</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Funds payable to clients</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7,361</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payable, accrued expenses and other current liabilities</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168</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liabilities</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(1,447)</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Deferred revenue</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(391)</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cash provided by operating activities</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98,669</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short-term and long-term investments</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(192,120)</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cash used in investing activities</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(213,993)</w:t>
            </w:r>
          </w:p>
        </w:tc>
      </w:tr>
      <w:tr>
        <w:trPr/>
        <w:tc>
          <w:tcPr>
            <w:tcW w:w="5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changes on cash and cash equivalents</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0"/>
        <w:gridCol w:w="445"/>
        <w:gridCol w:w="1561"/>
        <w:gridCol w:w="146"/>
        <w:gridCol w:w="300"/>
        <w:gridCol w:w="901"/>
        <w:gridCol w:w="146"/>
        <w:gridCol w:w="211"/>
        <w:gridCol w:w="1235"/>
      </w:tblGrid>
      <w:tr>
        <w:trPr/>
        <w:tc>
          <w:tcPr>
            <w:tcW w:w="5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2023</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Previously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Revised</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 on remeasurement of foreign currency</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2,320</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operating assets and liabilities, net of acquisition:</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receivable</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(1,805)</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Unbilled receivables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(5,228)</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Funds receivable from payment partners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(53,151)</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Prepaid expenses, other current assets and other assets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(5,124)</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Funds payable to clients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82,301</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payable, accrued expenses and other current liabilities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4,721</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liabilities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170</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Deferred revenue</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(1,180)</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cash provided by (used in) operating activities</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76,346</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changes on cash and cash equivalents</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2,444</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i/>
          <w:color w:val="000000"/>
          <w:sz w:val="20"/>
        </w:rPr>
      </w:pPr>
      <w:r>
        <w:rPr>
          <w:rFonts w:ascii="Arial" w:hAnsi="Arial"/>
          <w:b/>
          <w:i/>
          <w:color w:val="000000"/>
          <w:sz w:val="20"/>
        </w:rPr>
        <w:t>Recently Adopted Accounting Pronouncements</w:t>
      </w:r>
    </w:p>
    <w:p>
      <w:pPr>
        <w:pStyle w:val="TextBody"/>
        <w:bidi w:val="0"/>
        <w:spacing w:before="200" w:after="200"/>
        <w:jc w:val="left"/>
        <w:rPr>
          <w:rFonts w:ascii="Times New Roman" w:hAnsi="Times New Roman"/>
          <w:sz w:val="20"/>
        </w:rPr>
      </w:pPr>
      <w:r>
        <w:rPr>
          <w:rFonts w:ascii="Arial" w:hAnsi="Arial"/>
          <w:color w:val="000000"/>
          <w:sz w:val="20"/>
        </w:rPr>
        <w:t>ASU 2023-09,</w:t>
      </w:r>
      <w:r>
        <w:rPr>
          <w:rFonts w:ascii="Times New Roman" w:hAnsi="Times New Roman"/>
          <w:color w:val="000000"/>
          <w:sz w:val="20"/>
        </w:rPr>
        <w:t xml:space="preserve"> </w:t>
      </w:r>
      <w:r>
        <w:rPr>
          <w:rFonts w:ascii="Arial" w:hAnsi="Arial"/>
          <w:i/>
          <w:color w:val="000000"/>
          <w:sz w:val="20"/>
        </w:rPr>
        <w:t xml:space="preserve">Income Taxes (Topic 740): Improvements to Income Tax Disclosures: </w:t>
      </w:r>
      <w:r>
        <w:rPr>
          <w:rFonts w:ascii="Arial" w:hAnsi="Arial"/>
          <w:color w:val="000000"/>
          <w:sz w:val="20"/>
        </w:rPr>
        <w:t>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was effective for the Company for the annual period beginning on January 1, 2025. ASU 2023-09 should be applied on a prospective basis. However, companies have the option to apply the standard retrospectively. The Company adopted this standard on a prospective basis for the annual period ending December 31, 2025. The adoption did not impact the Company’s consolidated financial statements. The adoption resulted in enhanced disclosures related to the Company’s domestic and foreign income taxes.</w:t>
      </w:r>
    </w:p>
    <w:p>
      <w:pPr>
        <w:pStyle w:val="TextBody"/>
        <w:bidi w:val="0"/>
        <w:jc w:val="left"/>
        <w:rPr>
          <w:rFonts w:ascii="Arial" w:hAnsi="Arial"/>
          <w:b/>
          <w:i/>
          <w:color w:val="000000"/>
          <w:sz w:val="20"/>
        </w:rPr>
      </w:pPr>
      <w:r>
        <w:rPr>
          <w:rFonts w:ascii="Arial" w:hAnsi="Arial"/>
          <w:b/>
          <w:i/>
          <w:color w:val="000000"/>
          <w:sz w:val="20"/>
        </w:rPr>
        <w:t>Accounting Pronouncements Not Yet Adopted</w:t>
      </w:r>
    </w:p>
    <w:p>
      <w:pPr>
        <w:pStyle w:val="TextBody"/>
        <w:bidi w:val="0"/>
        <w:spacing w:before="200" w:after="200"/>
        <w:jc w:val="left"/>
        <w:rPr>
          <w:rFonts w:ascii="Arial" w:hAnsi="Arial"/>
          <w:color w:val="000000"/>
          <w:sz w:val="20"/>
        </w:rPr>
      </w:pPr>
      <w:r>
        <w:rPr>
          <w:rFonts w:ascii="Arial" w:hAnsi="Arial"/>
          <w:color w:val="000000"/>
          <w:sz w:val="20"/>
        </w:rPr>
        <w:t>The following Accounting Standards Updates (ASUs) were issued by the Financial Accounting Standards Board (FASB) but not yet adopted by Flywire as of December 31, 2025:</w:t>
      </w:r>
    </w:p>
    <w:p>
      <w:pPr>
        <w:pStyle w:val="TextBody"/>
        <w:bidi w:val="0"/>
        <w:spacing w:before="0" w:after="200"/>
        <w:jc w:val="left"/>
        <w:rPr>
          <w:rFonts w:ascii="Times New Roman" w:hAnsi="Times New Roman"/>
          <w:sz w:val="20"/>
        </w:rPr>
      </w:pPr>
      <w:r>
        <w:rPr>
          <w:rFonts w:ascii="Arial" w:hAnsi="Arial"/>
          <w:color w:val="000000"/>
          <w:sz w:val="20"/>
        </w:rPr>
        <w:t xml:space="preserve">ASU 2024-03, </w:t>
      </w:r>
      <w:r>
        <w:rPr>
          <w:rFonts w:ascii="Arial" w:hAnsi="Arial"/>
          <w:i/>
          <w:color w:val="000000"/>
          <w:sz w:val="20"/>
        </w:rPr>
        <w:t xml:space="preserve">Income Statement - Reporting Comprehensive Income - Expense Disaggregation Disclosures (Subtopic 220-40): Disaggregation of Income Statement Expenses: </w:t>
      </w:r>
      <w:r>
        <w:rPr>
          <w:rFonts w:ascii="Arial" w:hAnsi="Arial"/>
          <w:color w:val="000000"/>
          <w:sz w:val="20"/>
        </w:rPr>
        <w:t xml:space="preserve">ASU 2024-03 is intended to improve the disclosures of expenses by providing more detailed 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The amendment also requires disclosure of the total amount of selling expense and, in annual reporting periods, an entity’s definition of selling expenses. ASU 2025-01, </w:t>
      </w:r>
      <w:r>
        <w:rPr>
          <w:rFonts w:ascii="Arial" w:hAnsi="Arial"/>
          <w:i/>
          <w:color w:val="000000"/>
          <w:sz w:val="20"/>
        </w:rPr>
        <w:t>Income Statement - Reporting Comprehensive Income - Expense Disaggregation Disclosures (Subtopic 220-40): Clarifying the Effective Date</w:t>
      </w:r>
      <w:r>
        <w:rPr>
          <w:rFonts w:ascii="Arial" w:hAnsi="Arial"/>
          <w:color w:val="000000"/>
          <w:sz w:val="20"/>
        </w:rPr>
        <w:t>, clarifies the amendments in ASU 2024-03 are effective for the Company for the annual period beginning on January 1, 2027, and interim reporting periods within annual reporting periods beginning January 1, 2028. The Company is currently evaluating the impact of this standard on its consolidated financial statements and disclosures.</w:t>
      </w:r>
    </w:p>
    <w:p>
      <w:pPr>
        <w:pStyle w:val="TextBody"/>
        <w:bidi w:val="0"/>
        <w:jc w:val="left"/>
        <w:rPr>
          <w:rFonts w:ascii="Times New Roman" w:hAnsi="Times New Roman"/>
          <w:sz w:val="20"/>
        </w:rPr>
      </w:pPr>
      <w:r>
        <w:rPr>
          <w:rFonts w:ascii="Arial" w:hAnsi="Arial"/>
          <w:color w:val="000000"/>
          <w:sz w:val="20"/>
        </w:rPr>
        <w:t>ASU 2025-05,</w:t>
      </w:r>
      <w:r>
        <w:rPr>
          <w:rFonts w:ascii="Times New Roman" w:hAnsi="Times New Roman"/>
          <w:color w:val="000000"/>
          <w:sz w:val="20"/>
        </w:rPr>
        <w:t xml:space="preserve"> </w:t>
      </w:r>
      <w:r>
        <w:rPr>
          <w:rFonts w:ascii="Arial" w:hAnsi="Arial"/>
          <w:i/>
          <w:color w:val="000000"/>
          <w:sz w:val="20"/>
        </w:rPr>
        <w:t>Financial Instruments - Credit Losses (Topic 326): Measurement of Credit Losses for Accounts Receivable and Contract Assets</w:t>
      </w:r>
      <w:r>
        <w:rPr>
          <w:rFonts w:ascii="Arial" w:hAnsi="Arial"/>
          <w:color w:val="000000"/>
          <w:sz w:val="20"/>
        </w:rPr>
        <w:t>: ASU 2025-05 provides a practical expedient and an accounting policy election related to the estimation of expected credit losses for current accounts receivable and current contract assets that arise from transactions accounted for under ASC 606, "</w:t>
      </w:r>
      <w:r>
        <w:rPr>
          <w:rFonts w:ascii="Arial" w:hAnsi="Arial"/>
          <w:i/>
          <w:color w:val="000000"/>
          <w:sz w:val="20"/>
        </w:rPr>
        <w:t>Revenue from Contracts with Customers</w:t>
      </w:r>
      <w:r>
        <w:rPr>
          <w:rFonts w:ascii="Arial" w:hAnsi="Arial"/>
          <w:color w:val="000000"/>
          <w:sz w:val="20"/>
        </w:rPr>
        <w:t>." The practical expedient allows entities to assume that current conditions as of the balance sheet date do not change for the remaining life of the asset. ASU 2025-05 is effective for the Company for the annual period beginning on January 1, 2026, and interim reporting periods within those annual reporting periods beginning January 1, 2026. ASU 2025-05 should be applied on a prospective basis with early adoption permitted. The Company is currently evaluating the impact of this standard and does not expect the adoption of 2025-05 to have a material impact on its consolidated financial statements and disclosures.</w:t>
      </w:r>
    </w:p>
    <w:p>
      <w:pPr>
        <w:pStyle w:val="TextBody"/>
        <w:bidi w:val="0"/>
        <w:spacing w:before="200" w:after="283"/>
        <w:jc w:val="left"/>
        <w:rPr>
          <w:rFonts w:ascii="Times New Roman" w:hAnsi="Times New Roman"/>
          <w:sz w:val="20"/>
        </w:rPr>
      </w:pPr>
      <w:r>
        <w:rPr>
          <w:rFonts w:ascii="Arial" w:hAnsi="Arial"/>
          <w:color w:val="000000"/>
          <w:sz w:val="20"/>
        </w:rPr>
        <w:t xml:space="preserve">ASU 2025-06, </w:t>
      </w:r>
      <w:r>
        <w:rPr>
          <w:rFonts w:ascii="Arial" w:hAnsi="Arial"/>
          <w:i/>
          <w:color w:val="000000"/>
          <w:sz w:val="20"/>
        </w:rPr>
        <w:t>Intangibles - Goodwill and Other - Internal-Use Software (Subtopic 350-40): Targeted Improvements to the Accounting for Internal-Use Software</w:t>
      </w:r>
      <w:r>
        <w:rPr>
          <w:rFonts w:ascii="Arial" w:hAnsi="Arial"/>
          <w:color w:val="000000"/>
          <w:sz w:val="20"/>
        </w:rPr>
        <w:t>: ASU 2025-06 amends certain aspects of the accounting for and disclosure of software costs. Rather than identifying stages, ASC 350-40-25-12 clarifies the following must be met to begin capitalizing software costs: (i) Management, with the relevant authority, implicitly or explicitly authorizes and commits to funding a computer software project; and (ii) it is probable that the project will be completed and the software will be used to perform the function intended (probable-to-complete recognition threshold). ASU 2025-06 is effective for the Company for the annual period beginning on January 1, 2028, and interim reporting periods within those annual reporting periods beginning on January 1, 2028. ASU 2025-06 should be applied on a prospective basis with early adoption permitted. The Company is currently evaluating the impact of this standard on its consolidated financial statements and disclosures.</w:t>
      </w:r>
    </w:p>
    <w:p>
      <w:pPr>
        <w:pStyle w:val="TextBody"/>
        <w:bidi w:val="0"/>
        <w:spacing w:before="200" w:after="200"/>
        <w:jc w:val="left"/>
        <w:rPr>
          <w:rFonts w:ascii="Arial" w:hAnsi="Arial"/>
          <w:b/>
          <w:color w:val="000000"/>
          <w:sz w:val="20"/>
        </w:rPr>
      </w:pPr>
      <w:bookmarkStart w:id="30" w:name="note_2"/>
      <w:bookmarkEnd w:id="30"/>
      <w:r>
        <w:rPr>
          <w:rFonts w:ascii="Arial" w:hAnsi="Arial"/>
          <w:b/>
          <w:color w:val="000000"/>
          <w:sz w:val="20"/>
        </w:rPr>
        <w:t>Note 2. Revenue and Recognition</w:t>
      </w:r>
    </w:p>
    <w:p>
      <w:pPr>
        <w:pStyle w:val="TextBody"/>
        <w:bidi w:val="0"/>
        <w:spacing w:before="0" w:after="200"/>
        <w:jc w:val="left"/>
        <w:rPr>
          <w:rFonts w:ascii="Arial" w:hAnsi="Arial"/>
          <w:color w:val="000000"/>
          <w:sz w:val="20"/>
        </w:rPr>
      </w:pPr>
      <w:r>
        <w:rPr>
          <w:rFonts w:ascii="Arial" w:hAnsi="Arial"/>
          <w:color w:val="000000"/>
          <w:sz w:val="20"/>
        </w:rPr>
        <w:t>The following table presents revenue disaggregated by geographical area and major solutions. The categorization of revenue by geographical location is determined based on the location of where the client resides.</w:t>
      </w:r>
    </w:p>
    <w:p>
      <w:pPr>
        <w:pStyle w:val="TextBody"/>
        <w:bidi w:val="0"/>
        <w:spacing w:before="120" w:after="283"/>
        <w:jc w:val="center"/>
        <w:rPr>
          <w:rFonts w:ascii="Arial" w:hAnsi="Arial"/>
          <w:color w:val="000000"/>
          <w:sz w:val="20"/>
        </w:rPr>
      </w:pPr>
      <w:r>
        <w:rPr>
          <w:rFonts w:ascii="Arial" w:hAnsi="Arial"/>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390" w:type="dxa"/>
        <w:jc w:val="left"/>
        <w:tblInd w:w="0" w:type="dxa"/>
        <w:tblLayout w:type="fixed"/>
        <w:tblCellMar>
          <w:top w:w="28" w:type="dxa"/>
          <w:left w:w="28" w:type="dxa"/>
          <w:bottom w:w="28" w:type="dxa"/>
          <w:right w:w="28" w:type="dxa"/>
        </w:tblCellMar>
      </w:tblPr>
      <w:tblGrid>
        <w:gridCol w:w="2731"/>
        <w:gridCol w:w="146"/>
        <w:gridCol w:w="211"/>
        <w:gridCol w:w="781"/>
        <w:gridCol w:w="146"/>
        <w:gridCol w:w="211"/>
        <w:gridCol w:w="781"/>
        <w:gridCol w:w="146"/>
        <w:gridCol w:w="211"/>
        <w:gridCol w:w="10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Primary geographical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222,580</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120,840</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APAC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59,674</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623,025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492,144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403,094</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Major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329,721</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Platform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73,373</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623,025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492,144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403,094</w:t>
            </w:r>
          </w:p>
        </w:tc>
      </w:tr>
    </w:tbl>
    <w:p>
      <w:pPr>
        <w:pStyle w:val="TextBody"/>
        <w:bidi w:val="0"/>
        <w:spacing w:before="200" w:after="200"/>
        <w:jc w:val="left"/>
        <w:rPr>
          <w:rFonts w:ascii="Arial" w:hAnsi="Arial"/>
          <w:b/>
          <w:i/>
          <w:color w:val="000000"/>
          <w:sz w:val="20"/>
        </w:rPr>
      </w:pPr>
      <w:r>
        <w:rPr>
          <w:rFonts w:ascii="Arial" w:hAnsi="Arial"/>
          <w:b/>
          <w:i/>
          <w:color w:val="000000"/>
          <w:sz w:val="20"/>
        </w:rPr>
        <w:t>Contract Balances from Contracts with Clients</w:t>
      </w:r>
    </w:p>
    <w:p>
      <w:pPr>
        <w:pStyle w:val="TextBody"/>
        <w:bidi w:val="0"/>
        <w:spacing w:before="0" w:after="200"/>
        <w:jc w:val="left"/>
        <w:rPr>
          <w:rFonts w:ascii="Arial" w:hAnsi="Arial"/>
          <w:color w:val="000000"/>
          <w:sz w:val="20"/>
        </w:rPr>
      </w:pPr>
      <w:r>
        <w:rPr>
          <w:rFonts w:ascii="Arial" w:hAnsi="Arial"/>
          <w:color w:val="000000"/>
          <w:sz w:val="20"/>
        </w:rPr>
        <w:t>The timing of revenue recognition, billing, and cash collection results in billed receivables, unbilled receivables, and deferred revenue on the consolidated balance sheet.</w:t>
      </w:r>
    </w:p>
    <w:p>
      <w:pPr>
        <w:pStyle w:val="TextBody"/>
        <w:bidi w:val="0"/>
        <w:spacing w:before="0" w:after="200"/>
        <w:jc w:val="left"/>
        <w:rPr>
          <w:rFonts w:ascii="Times New Roman" w:hAnsi="Times New Roman"/>
          <w:sz w:val="20"/>
        </w:rPr>
      </w:pPr>
      <w:r>
        <w:rPr>
          <w:rFonts w:ascii="Arial" w:hAnsi="Arial"/>
          <w:color w:val="000000"/>
          <w:sz w:val="20"/>
        </w:rPr>
        <w:t>When fees are received prior to transferring services to the client under the terms of a contract, deferred revenue, which is a contract liability, is recorded.</w:t>
      </w:r>
      <w:r>
        <w:rPr>
          <w:rFonts w:ascii="Times New Roman" w:hAnsi="Times New Roman"/>
          <w:color w:val="FF0000"/>
          <w:sz w:val="20"/>
        </w:rPr>
        <w:t xml:space="preserve"> </w:t>
      </w:r>
      <w:r>
        <w:rPr>
          <w:rFonts w:ascii="Arial" w:hAnsi="Arial"/>
          <w:color w:val="000000"/>
          <w:sz w:val="20"/>
        </w:rPr>
        <w:t>Contract liabilities are recognized as revenue when services are performed and all other revenue recognition criteria have been met.</w:t>
      </w:r>
    </w:p>
    <w:p>
      <w:pPr>
        <w:pStyle w:val="TextBody"/>
        <w:bidi w:val="0"/>
        <w:spacing w:before="0" w:after="200"/>
        <w:jc w:val="left"/>
        <w:rPr>
          <w:rFonts w:ascii="Arial" w:hAnsi="Arial"/>
          <w:color w:val="000000"/>
          <w:sz w:val="20"/>
        </w:rPr>
      </w:pPr>
      <w:r>
        <w:rPr>
          <w:rFonts w:ascii="Arial" w:hAnsi="Arial"/>
          <w:color w:val="000000"/>
          <w:sz w:val="20"/>
        </w:rPr>
        <w:t>In certain instances, the Company delivers services in advance of billing. In this case the Company recognizes unbilled receivables which is not a contract asset as the Company has an unconditional right for payment.</w:t>
      </w:r>
    </w:p>
    <w:p>
      <w:pPr>
        <w:pStyle w:val="TextBody"/>
        <w:bidi w:val="0"/>
        <w:spacing w:before="0" w:after="200"/>
        <w:jc w:val="left"/>
        <w:rPr>
          <w:rFonts w:ascii="Arial" w:hAnsi="Arial"/>
          <w:color w:val="000000"/>
          <w:sz w:val="20"/>
        </w:rPr>
      </w:pPr>
      <w:r>
        <w:rPr>
          <w:rFonts w:ascii="Arial" w:hAnsi="Arial"/>
          <w:color w:val="000000"/>
          <w:sz w:val="20"/>
        </w:rPr>
        <w:t>The following table provides information about accounts receivable, unbilled receivables, and deferred revenue from contracts with clients (in thousands):</w:t>
      </w:r>
    </w:p>
    <w:tbl>
      <w:tblPr>
        <w:tblW w:w="5231" w:type="dxa"/>
        <w:jc w:val="left"/>
        <w:tblInd w:w="0" w:type="dxa"/>
        <w:tblLayout w:type="fixed"/>
        <w:tblCellMar>
          <w:top w:w="28" w:type="dxa"/>
          <w:left w:w="28" w:type="dxa"/>
          <w:bottom w:w="28" w:type="dxa"/>
          <w:right w:w="28" w:type="dxa"/>
        </w:tblCellMar>
      </w:tblPr>
      <w:tblGrid>
        <w:gridCol w:w="2701"/>
        <w:gridCol w:w="146"/>
        <w:gridCol w:w="248"/>
        <w:gridCol w:w="796"/>
        <w:gridCol w:w="172"/>
        <w:gridCol w:w="319"/>
        <w:gridCol w:w="849"/>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34,776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23,703</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Unbilled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15,453</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19,951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7,337</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r>
    </w:tbl>
    <w:p>
      <w:pPr>
        <w:pStyle w:val="TextBody"/>
        <w:bidi w:val="0"/>
        <w:spacing w:before="200" w:after="283"/>
        <w:jc w:val="left"/>
        <w:rPr>
          <w:rFonts w:ascii="Times New Roman" w:hAnsi="Times New Roman"/>
          <w:sz w:val="20"/>
        </w:rPr>
      </w:pPr>
      <w:r>
        <w:rPr>
          <w:rFonts w:ascii="Arial" w:hAnsi="Arial"/>
          <w:color w:val="000000"/>
          <w:sz w:val="20"/>
        </w:rPr>
        <w:t>For the year ended December 31, 2025, the Company recognized $6.7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revenue from amounts that were included in deferred revenue as of December 31, 2024. For the year ended December 31, 2024, the Company recognized $5.8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revenue from amounts that were included in deferred revenue as of December 31, 2023.</w:t>
      </w:r>
    </w:p>
    <w:p>
      <w:pPr>
        <w:pStyle w:val="TextBody"/>
        <w:bidi w:val="0"/>
        <w:spacing w:before="200" w:after="283"/>
        <w:jc w:val="left"/>
        <w:rPr>
          <w:rFonts w:ascii="Arial" w:hAnsi="Arial"/>
          <w:b/>
          <w:i/>
          <w:color w:val="000000"/>
          <w:sz w:val="20"/>
        </w:rPr>
      </w:pPr>
      <w:r>
        <w:rPr>
          <w:rFonts w:ascii="Arial" w:hAnsi="Arial"/>
          <w:b/>
          <w:i/>
          <w:color w:val="000000"/>
          <w:sz w:val="20"/>
        </w:rPr>
        <w:t>Remaining Performance Obligations</w:t>
      </w:r>
    </w:p>
    <w:p>
      <w:pPr>
        <w:pStyle w:val="TextBody"/>
        <w:bidi w:val="0"/>
        <w:spacing w:before="200" w:after="283"/>
        <w:jc w:val="left"/>
        <w:rPr>
          <w:rFonts w:ascii="Times New Roman" w:hAnsi="Times New Roman"/>
          <w:sz w:val="20"/>
        </w:rPr>
      </w:pPr>
      <w:r>
        <w:rPr>
          <w:rFonts w:ascii="Arial" w:hAnsi="Arial"/>
          <w:color w:val="000000"/>
          <w:sz w:val="20"/>
        </w:rPr>
        <w:t>The Company has performance obligations associated with certain clients' contracts for future services that have not yet been recognized as revenue. As of December 31, 2025, the aggregate amount of transaction price allocated to performance obligations that are unsatisfied or partially unsatisfied, including deferred revenue, was approximately $18.3</w:t>
      </w:r>
      <w:r>
        <w:rPr>
          <w:rFonts w:ascii="Times New Roman" w:hAnsi="Times New Roman"/>
          <w:color w:val="000000"/>
          <w:sz w:val="20"/>
        </w:rPr>
        <w:t xml:space="preserve"> </w:t>
      </w:r>
      <w:r>
        <w:rPr>
          <w:rFonts w:ascii="Arial" w:hAnsi="Arial"/>
          <w:color w:val="000000"/>
          <w:sz w:val="20"/>
        </w:rPr>
        <w:t>million. Of the total remaining performance obligations, the Company expects to recognize approximately 51.1%</w:t>
      </w:r>
      <w:r>
        <w:rPr>
          <w:rFonts w:ascii="Times New Roman" w:hAnsi="Times New Roman"/>
          <w:color w:val="000000"/>
          <w:sz w:val="20"/>
        </w:rPr>
        <w:t xml:space="preserve"> </w:t>
      </w:r>
      <w:r>
        <w:rPr>
          <w:rFonts w:ascii="Arial" w:hAnsi="Arial"/>
          <w:color w:val="000000"/>
          <w:sz w:val="20"/>
        </w:rPr>
        <w:t>within the next year, 24.0%</w:t>
      </w:r>
      <w:r>
        <w:rPr>
          <w:rFonts w:ascii="Times New Roman" w:hAnsi="Times New Roman"/>
          <w:color w:val="000000"/>
          <w:sz w:val="20"/>
        </w:rPr>
        <w:t xml:space="preserve"> </w:t>
      </w:r>
      <w:r>
        <w:rPr>
          <w:rFonts w:ascii="Arial" w:hAnsi="Arial"/>
          <w:color w:val="000000"/>
          <w:sz w:val="20"/>
        </w:rPr>
        <w:t>after one year through year two and 24.9%</w:t>
      </w:r>
      <w:r>
        <w:rPr>
          <w:rFonts w:ascii="Times New Roman" w:hAnsi="Times New Roman"/>
          <w:color w:val="000000"/>
          <w:sz w:val="20"/>
        </w:rPr>
        <w:t xml:space="preserve"> </w:t>
      </w:r>
      <w:r>
        <w:rPr>
          <w:rFonts w:ascii="Arial" w:hAnsi="Arial"/>
          <w:color w:val="000000"/>
          <w:sz w:val="20"/>
        </w:rPr>
        <w:t>over the next three to five years thereafter. Actual amounts and timing of revenue recognized may differ due to subsequent contract modifications, renewals and/or terminations.</w:t>
      </w:r>
    </w:p>
    <w:p>
      <w:pPr>
        <w:pStyle w:val="TextBody"/>
        <w:bidi w:val="0"/>
        <w:spacing w:before="200" w:after="283"/>
        <w:jc w:val="left"/>
        <w:rPr>
          <w:rFonts w:ascii="Arial" w:hAnsi="Arial"/>
          <w:b/>
          <w:i/>
          <w:color w:val="000000"/>
          <w:sz w:val="20"/>
        </w:rPr>
      </w:pPr>
      <w:r>
        <w:rPr>
          <w:rFonts w:ascii="Arial" w:hAnsi="Arial"/>
          <w:b/>
          <w:i/>
          <w:color w:val="000000"/>
          <w:sz w:val="20"/>
        </w:rPr>
        <w:t>Contract Costs</w:t>
      </w:r>
    </w:p>
    <w:p>
      <w:pPr>
        <w:pStyle w:val="TextBody"/>
        <w:bidi w:val="0"/>
        <w:spacing w:before="200" w:after="283"/>
        <w:jc w:val="left"/>
        <w:rPr>
          <w:rFonts w:ascii="Times New Roman" w:hAnsi="Times New Roman"/>
          <w:sz w:val="20"/>
        </w:rPr>
      </w:pPr>
      <w:r>
        <w:rPr>
          <w:rFonts w:ascii="Arial" w:hAnsi="Arial"/>
          <w:color w:val="000000"/>
          <w:sz w:val="20"/>
        </w:rPr>
        <w:t>Incremental costs for obtaining contracts that are deemed recoverable are capitalized as contract costs and are included in other assets in the consolidated balance sheets. Such costs result from the payment of sales incentives and totaled $5.6</w:t>
      </w:r>
      <w:r>
        <w:rPr>
          <w:rFonts w:ascii="Times New Roman" w:hAnsi="Times New Roman"/>
          <w:color w:val="000000"/>
          <w:sz w:val="20"/>
        </w:rPr>
        <w:t xml:space="preserve"> </w:t>
      </w:r>
      <w:r>
        <w:rPr>
          <w:rFonts w:ascii="Arial" w:hAnsi="Arial"/>
          <w:color w:val="000000"/>
          <w:sz w:val="20"/>
        </w:rPr>
        <w:t>million, $3.4</w:t>
      </w:r>
      <w:r>
        <w:rPr>
          <w:rFonts w:ascii="Times New Roman" w:hAnsi="Times New Roman"/>
          <w:color w:val="000000"/>
          <w:sz w:val="20"/>
        </w:rPr>
        <w:t xml:space="preserve"> </w:t>
      </w:r>
      <w:r>
        <w:rPr>
          <w:rFonts w:ascii="Arial" w:hAnsi="Arial"/>
          <w:color w:val="000000"/>
          <w:sz w:val="20"/>
        </w:rPr>
        <w:t>million, and $3.5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as of December 31, 2025, 2024, and 2023, respectively. Capitalized sales incentives are amortized over the period of benefits, which the Company has determined to be three years. The amortization is included in selling and marketing expense line in the consolidated statements of operations and comprehensive income (loss), and totaled $2.7</w:t>
      </w:r>
      <w:r>
        <w:rPr>
          <w:rFonts w:ascii="Times New Roman" w:hAnsi="Times New Roman"/>
          <w:color w:val="000000"/>
          <w:sz w:val="20"/>
        </w:rPr>
        <w:t xml:space="preserve"> </w:t>
      </w:r>
      <w:r>
        <w:rPr>
          <w:rFonts w:ascii="Arial" w:hAnsi="Arial"/>
          <w:color w:val="000000"/>
          <w:sz w:val="20"/>
        </w:rPr>
        <w:t>million, $2.0</w:t>
      </w:r>
      <w:r>
        <w:rPr>
          <w:rFonts w:ascii="Times New Roman" w:hAnsi="Times New Roman"/>
          <w:color w:val="000000"/>
          <w:sz w:val="20"/>
        </w:rPr>
        <w:t xml:space="preserve"> </w:t>
      </w:r>
      <w:r>
        <w:rPr>
          <w:rFonts w:ascii="Arial" w:hAnsi="Arial"/>
          <w:color w:val="000000"/>
          <w:sz w:val="20"/>
        </w:rPr>
        <w:t>million, and $1.2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years ended December 31, 2025, 2024, and 2023, respectively.</w:t>
      </w:r>
    </w:p>
    <w:p>
      <w:pPr>
        <w:pStyle w:val="TextBody"/>
        <w:bidi w:val="0"/>
        <w:spacing w:before="120" w:after="283"/>
        <w:jc w:val="center"/>
        <w:rPr>
          <w:rFonts w:ascii="Arial" w:hAnsi="Arial"/>
          <w:color w:val="000000"/>
          <w:sz w:val="20"/>
        </w:rPr>
      </w:pPr>
      <w:r>
        <w:rPr>
          <w:rFonts w:ascii="Arial" w:hAnsi="Arial"/>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w:t>
      </w:r>
      <w:r>
        <w:rPr>
          <w:rFonts w:ascii="Times New Roman" w:hAnsi="Times New Roman"/>
          <w:color w:val="FF0000"/>
          <w:sz w:val="20"/>
        </w:rPr>
        <w:t xml:space="preserve"> </w:t>
      </w:r>
      <w:r>
        <w:rPr>
          <w:rFonts w:ascii="Arial" w:hAnsi="Arial"/>
          <w:color w:val="000000"/>
          <w:sz w:val="20"/>
        </w:rPr>
        <w:t>The Company capitalized $4.3</w:t>
      </w:r>
      <w:r>
        <w:rPr>
          <w:rFonts w:ascii="Times New Roman" w:hAnsi="Times New Roman"/>
          <w:color w:val="000000"/>
          <w:sz w:val="20"/>
        </w:rPr>
        <w:t xml:space="preserve"> </w:t>
      </w:r>
      <w:r>
        <w:rPr>
          <w:rFonts w:ascii="Arial" w:hAnsi="Arial"/>
          <w:color w:val="000000"/>
          <w:sz w:val="20"/>
        </w:rPr>
        <w:t>million, $3.0</w:t>
      </w:r>
      <w:r>
        <w:rPr>
          <w:rFonts w:ascii="Times New Roman" w:hAnsi="Times New Roman"/>
          <w:color w:val="000000"/>
          <w:sz w:val="20"/>
        </w:rPr>
        <w:t xml:space="preserve"> </w:t>
      </w:r>
      <w:r>
        <w:rPr>
          <w:rFonts w:ascii="Arial" w:hAnsi="Arial"/>
          <w:color w:val="000000"/>
          <w:sz w:val="20"/>
        </w:rPr>
        <w:t>million, and $2.3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costs in December 31, 2025, 2024, and 2023, respectively within other assets on the consolidated balance sheets.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income (loss), and totaled $1.7</w:t>
      </w:r>
      <w:r>
        <w:rPr>
          <w:rFonts w:ascii="Times New Roman" w:hAnsi="Times New Roman"/>
          <w:color w:val="000000"/>
          <w:sz w:val="20"/>
        </w:rPr>
        <w:t xml:space="preserve"> </w:t>
      </w:r>
      <w:r>
        <w:rPr>
          <w:rFonts w:ascii="Arial" w:hAnsi="Arial"/>
          <w:color w:val="000000"/>
          <w:sz w:val="20"/>
        </w:rPr>
        <w:t>million, $1.2</w:t>
      </w:r>
      <w:r>
        <w:rPr>
          <w:rFonts w:ascii="Times New Roman" w:hAnsi="Times New Roman"/>
          <w:color w:val="000000"/>
          <w:sz w:val="20"/>
        </w:rPr>
        <w:t xml:space="preserve"> </w:t>
      </w:r>
      <w:r>
        <w:rPr>
          <w:rFonts w:ascii="Arial" w:hAnsi="Arial"/>
          <w:color w:val="000000"/>
          <w:sz w:val="20"/>
        </w:rPr>
        <w:t>million, and $0.6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years ended December 31, 2025, 2024, and 2023, respectively.</w:t>
      </w:r>
    </w:p>
    <w:p>
      <w:pPr>
        <w:pStyle w:val="TextBody"/>
        <w:bidi w:val="0"/>
        <w:spacing w:before="200" w:after="283"/>
        <w:jc w:val="left"/>
        <w:rPr>
          <w:rFonts w:ascii="Arial" w:hAnsi="Arial"/>
          <w:b/>
          <w:color w:val="000000"/>
          <w:sz w:val="20"/>
        </w:rPr>
      </w:pPr>
      <w:bookmarkStart w:id="31" w:name="segment"/>
      <w:bookmarkEnd w:id="31"/>
      <w:r>
        <w:rPr>
          <w:rFonts w:ascii="Arial" w:hAnsi="Arial"/>
          <w:b/>
          <w:color w:val="000000"/>
          <w:sz w:val="20"/>
        </w:rPr>
        <w:t>Note 3. Segment Information</w:t>
      </w:r>
    </w:p>
    <w:p>
      <w:pPr>
        <w:pStyle w:val="TextBody"/>
        <w:bidi w:val="0"/>
        <w:spacing w:before="200" w:after="200"/>
        <w:jc w:val="left"/>
        <w:rPr>
          <w:rFonts w:ascii="Times New Roman" w:hAnsi="Times New Roman"/>
          <w:sz w:val="20"/>
        </w:rPr>
      </w:pPr>
      <w:r>
        <w:rPr>
          <w:rFonts w:ascii="Arial" w:hAnsi="Arial"/>
          <w:color w:val="000000"/>
          <w:sz w:val="20"/>
        </w:rPr>
        <w:t>The Company has a single</w:t>
      </w:r>
      <w:r>
        <w:rPr>
          <w:rFonts w:ascii="Times New Roman" w:hAnsi="Times New Roman"/>
          <w:color w:val="000000"/>
          <w:sz w:val="20"/>
        </w:rPr>
        <w:t xml:space="preserve"> </w:t>
      </w:r>
      <w:r>
        <w:rPr>
          <w:rFonts w:ascii="Arial" w:hAnsi="Arial"/>
          <w:color w:val="000000"/>
          <w:sz w:val="20"/>
        </w:rPr>
        <w:t>operating and reportable segment. Operating segments are defined as components of an enterprise for which separate financial information is regularly evaluated by the Company’s chief operating decision maker (CODM). The Company’s CODM is its Chief Executive Officer, who reviews financial information presented on a consolidated basis for purposes of making operating decisions, assessing financial performance, and allocating resources. The Company's CODM evaluates company-wide performance, including allocation resources and assessing profitability, based on multiple performance measures, including, but not limited to net income (loss).</w:t>
      </w:r>
    </w:p>
    <w:p>
      <w:pPr>
        <w:pStyle w:val="TextBody"/>
        <w:bidi w:val="0"/>
        <w:spacing w:before="0" w:after="200"/>
        <w:jc w:val="left"/>
        <w:rPr>
          <w:rFonts w:ascii="Arial" w:hAnsi="Arial"/>
          <w:color w:val="000000"/>
          <w:sz w:val="20"/>
        </w:rPr>
      </w:pPr>
      <w:r>
        <w:rPr>
          <w:rFonts w:ascii="Arial" w:hAnsi="Arial"/>
          <w:color w:val="000000"/>
          <w:sz w:val="20"/>
        </w:rPr>
        <w:t>Beginning in 2024 annual reporting, the Company adopted ASU 2023-07 retrospectively. The following table presents the Company's significant segment expenses and other segment items for the years ended December 31, 2025, 2024, and 2023. The CODM does not regularly review segment asset information, which is total assets, for the purpose of assessing performance and making resource allocation decisions; therefore, such information is not presented. In the prior year, the Company presented revenue less ancillary services. During the year ended December 31, 2025, the Company updated the presentation from revenue less ancillary services to revenue. In order to conform with the current year presentation, the table below has been updated for the years ended December 31, 2024 and 2023.</w:t>
      </w:r>
    </w:p>
    <w:tbl>
      <w:tblPr>
        <w:tblW w:w="8595" w:type="dxa"/>
        <w:jc w:val="left"/>
        <w:tblInd w:w="0" w:type="dxa"/>
        <w:tblLayout w:type="fixed"/>
        <w:tblCellMar>
          <w:top w:w="28" w:type="dxa"/>
          <w:left w:w="28" w:type="dxa"/>
          <w:bottom w:w="28" w:type="dxa"/>
          <w:right w:w="28" w:type="dxa"/>
        </w:tblCellMar>
      </w:tblPr>
      <w:tblGrid>
        <w:gridCol w:w="4706"/>
        <w:gridCol w:w="146"/>
        <w:gridCol w:w="211"/>
        <w:gridCol w:w="781"/>
        <w:gridCol w:w="146"/>
        <w:gridCol w:w="211"/>
        <w:gridCol w:w="796"/>
        <w:gridCol w:w="146"/>
        <w:gridCol w:w="211"/>
        <w:gridCol w:w="1241"/>
      </w:tblGrid>
      <w:tr>
        <w:trPr/>
        <w:tc>
          <w:tcPr>
            <w:tcW w:w="4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4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403,094</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Payment processing services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148,890</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Personnel expense </w:t>
            </w:r>
            <w:r>
              <w:rPr>
                <w:rFonts w:ascii="Arial" w:hAnsi="Arial"/>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137,170</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76,969</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16,368</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Stock-based compensation expense </w:t>
            </w:r>
            <w:r>
              <w:rPr>
                <w:rFonts w:ascii="Arial" w:hAnsi="Arial"/>
                <w:color w:val="000000"/>
                <w:sz w:val="12"/>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45,215</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372</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(13,349)</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(Gain) loss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(4,189)</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4,214</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Segment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(8,566)</w:t>
            </w:r>
          </w:p>
        </w:tc>
      </w:tr>
    </w:tbl>
    <w:p>
      <w:pPr>
        <w:pStyle w:val="TextBody"/>
        <w:bidi w:val="0"/>
        <w:spacing w:before="0" w:after="60"/>
        <w:jc w:val="left"/>
        <w:rPr>
          <w:rFonts w:ascii="Times New Roman" w:hAnsi="Times New Roman"/>
          <w:sz w:val="20"/>
        </w:rPr>
      </w:pPr>
      <w:r>
        <w:rPr>
          <w:rFonts w:ascii="Arial" w:hAnsi="Arial"/>
          <w:color w:val="1F1F1F"/>
          <w:sz w:val="11"/>
        </w:rPr>
        <w:t xml:space="preserve">(a) </w:t>
      </w:r>
      <w:r>
        <w:rPr>
          <w:rFonts w:ascii="Arial" w:hAnsi="Arial"/>
          <w:color w:val="1F1F1F"/>
          <w:sz w:val="16"/>
        </w:rPr>
        <w:t>Personnel expense includes employees' and contractors' compensation in technology and development, selling and marketing, and general and administrative operating expenses.</w:t>
      </w:r>
    </w:p>
    <w:p>
      <w:pPr>
        <w:pStyle w:val="TextBody"/>
        <w:bidi w:val="0"/>
        <w:spacing w:before="0" w:after="60"/>
        <w:jc w:val="left"/>
        <w:rPr>
          <w:rFonts w:ascii="Times New Roman" w:hAnsi="Times New Roman"/>
          <w:sz w:val="20"/>
        </w:rPr>
      </w:pPr>
      <w:r>
        <w:rPr>
          <w:rFonts w:ascii="Arial" w:hAnsi="Arial"/>
          <w:color w:val="1F1F1F"/>
          <w:sz w:val="11"/>
        </w:rPr>
        <w:t xml:space="preserve">(b) </w:t>
      </w:r>
      <w:r>
        <w:rPr>
          <w:rFonts w:ascii="Arial" w:hAnsi="Arial"/>
          <w:color w:val="1F1F1F"/>
          <w:sz w:val="16"/>
        </w:rPr>
        <w:t>Other segment items in segment income include the following expenses: professional fees, marketing, travel, facilities, software, ancillary services, acquisition-related transaction costs, and other general and administrative costs.</w:t>
      </w:r>
    </w:p>
    <w:p>
      <w:pPr>
        <w:pStyle w:val="TextBody"/>
        <w:bidi w:val="0"/>
        <w:spacing w:before="0" w:after="60"/>
        <w:jc w:val="left"/>
        <w:rPr>
          <w:rFonts w:ascii="Times New Roman" w:hAnsi="Times New Roman"/>
          <w:sz w:val="20"/>
        </w:rPr>
      </w:pPr>
      <w:r>
        <w:rPr>
          <w:rFonts w:ascii="Arial" w:hAnsi="Arial"/>
          <w:color w:val="1F1F1F"/>
          <w:sz w:val="11"/>
        </w:rPr>
        <w:t xml:space="preserve">(c) </w:t>
      </w:r>
      <w:r>
        <w:rPr>
          <w:rFonts w:ascii="Arial" w:hAnsi="Arial"/>
          <w:color w:val="1F1F1F"/>
          <w:sz w:val="16"/>
        </w:rPr>
        <w:t>Stock-based compensation expense includes employer payroll taxes and excludes stock-based compensation relating to restructuring.</w:t>
      </w:r>
    </w:p>
    <w:p>
      <w:pPr>
        <w:pStyle w:val="TextBody"/>
        <w:bidi w:val="0"/>
        <w:spacing w:before="140" w:after="283"/>
        <w:jc w:val="left"/>
        <w:rPr>
          <w:rFonts w:ascii="Times New Roman" w:hAnsi="Times New Roman"/>
          <w:sz w:val="20"/>
        </w:rPr>
      </w:pPr>
      <w:r>
        <w:rPr>
          <w:rFonts w:ascii="Arial" w:hAnsi="Arial"/>
          <w:color w:val="1F1F1F"/>
          <w:sz w:val="20"/>
        </w:rPr>
        <w:t xml:space="preserve">See </w:t>
      </w:r>
      <w:r>
        <w:rPr>
          <w:rFonts w:ascii="Arial" w:hAnsi="Arial"/>
          <w:i/>
          <w:color w:val="1F1F1F"/>
          <w:sz w:val="20"/>
        </w:rPr>
        <w:t>Note 2 - Revenue and Recognition</w:t>
      </w:r>
      <w:r>
        <w:rPr>
          <w:rFonts w:ascii="Times New Roman" w:hAnsi="Times New Roman"/>
          <w:color w:val="1F1F1F"/>
          <w:sz w:val="20"/>
        </w:rPr>
        <w:t xml:space="preserve"> </w:t>
      </w:r>
      <w:r>
        <w:rPr>
          <w:rFonts w:ascii="Arial" w:hAnsi="Arial"/>
          <w:color w:val="1F1F1F"/>
          <w:sz w:val="20"/>
        </w:rPr>
        <w:t>for information regarding the Company's revenue by geographic area.</w:t>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32" w:name="note_3"/>
      <w:bookmarkEnd w:id="32"/>
      <w:r>
        <w:rPr>
          <w:rFonts w:ascii="Arial" w:hAnsi="Arial"/>
          <w:b/>
          <w:color w:val="000000"/>
          <w:sz w:val="20"/>
        </w:rPr>
        <w:t>Note 4. Investments</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estimated fair value of available-for-sale debt securities included within short-term as of December 31, 2025 (in thousands):</w:t>
      </w:r>
    </w:p>
    <w:tbl>
      <w:tblPr>
        <w:tblW w:w="10205" w:type="dxa"/>
        <w:jc w:val="left"/>
        <w:tblInd w:w="0" w:type="dxa"/>
        <w:tblLayout w:type="fixed"/>
        <w:tblCellMar>
          <w:top w:w="28" w:type="dxa"/>
          <w:left w:w="28" w:type="dxa"/>
          <w:bottom w:w="28" w:type="dxa"/>
          <w:right w:w="28" w:type="dxa"/>
        </w:tblCellMar>
      </w:tblPr>
      <w:tblGrid>
        <w:gridCol w:w="2010"/>
        <w:gridCol w:w="358"/>
        <w:gridCol w:w="1155"/>
        <w:gridCol w:w="146"/>
        <w:gridCol w:w="635"/>
        <w:gridCol w:w="954"/>
        <w:gridCol w:w="146"/>
        <w:gridCol w:w="627"/>
        <w:gridCol w:w="1032"/>
        <w:gridCol w:w="146"/>
        <w:gridCol w:w="444"/>
        <w:gridCol w:w="890"/>
        <w:gridCol w:w="146"/>
        <w:gridCol w:w="309"/>
        <w:gridCol w:w="1207"/>
      </w:tblGrid>
      <w:tr>
        <w:trPr/>
        <w:tc>
          <w:tcPr>
            <w:tcW w:w="201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20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r>
      <w:tr>
        <w:trPr/>
        <w:tc>
          <w:tcPr>
            <w:tcW w:w="2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Accrued Interest </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 Fair Value</w:t>
            </w:r>
          </w:p>
        </w:tc>
      </w:tr>
      <w:tr>
        <w:trPr/>
        <w:tc>
          <w:tcPr>
            <w:tcW w:w="20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4,850</w:t>
            </w:r>
          </w:p>
        </w:tc>
      </w:tr>
      <w:tr>
        <w:trPr/>
        <w:tc>
          <w:tcPr>
            <w:tcW w:w="2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Government obligations</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19,842</w:t>
            </w:r>
          </w:p>
        </w:tc>
      </w:tr>
      <w:tr>
        <w:trPr/>
        <w:tc>
          <w:tcPr>
            <w:tcW w:w="20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short-term investments</w:t>
            </w:r>
          </w:p>
        </w:tc>
        <w:tc>
          <w:tcPr>
            <w:tcW w:w="3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24,381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24,692</w:t>
            </w:r>
          </w:p>
        </w:tc>
      </w:tr>
    </w:tbl>
    <w:p>
      <w:pPr>
        <w:pStyle w:val="TextBody"/>
        <w:bidi w:val="0"/>
        <w:spacing w:before="200" w:after="200"/>
        <w:jc w:val="left"/>
        <w:rPr>
          <w:rFonts w:ascii="Arial" w:hAnsi="Arial"/>
          <w:color w:val="000000"/>
          <w:sz w:val="20"/>
        </w:rPr>
      </w:pPr>
      <w:r>
        <w:rPr>
          <w:rFonts w:ascii="Arial" w:hAnsi="Arial"/>
          <w:color w:val="000000"/>
          <w:sz w:val="20"/>
        </w:rPr>
        <w:t>As of December 31, 2025, all of the Company's available-for-sale debt securities are due within one year.</w:t>
      </w:r>
    </w:p>
    <w:p>
      <w:pPr>
        <w:pStyle w:val="TextBody"/>
        <w:bidi w:val="0"/>
        <w:spacing w:before="0" w:after="200"/>
        <w:jc w:val="left"/>
        <w:rPr>
          <w:rFonts w:ascii="Arial" w:hAnsi="Arial"/>
          <w:color w:val="000000"/>
          <w:sz w:val="20"/>
        </w:rPr>
      </w:pPr>
      <w:r>
        <w:rPr>
          <w:rFonts w:ascii="Arial" w:hAnsi="Arial"/>
          <w:color w:val="000000"/>
          <w:sz w:val="20"/>
        </w:rPr>
        <w:t>The following table summarizes the estimated fair value of available-for-sale debt securities included within short-term and long-term investments as of December 31, 2024 (in thousands):</w:t>
      </w:r>
    </w:p>
    <w:tbl>
      <w:tblPr>
        <w:tblW w:w="10205" w:type="dxa"/>
        <w:jc w:val="left"/>
        <w:tblInd w:w="0" w:type="dxa"/>
        <w:tblLayout w:type="fixed"/>
        <w:tblCellMar>
          <w:top w:w="28" w:type="dxa"/>
          <w:left w:w="28" w:type="dxa"/>
          <w:bottom w:w="28" w:type="dxa"/>
          <w:right w:w="28" w:type="dxa"/>
        </w:tblCellMar>
      </w:tblPr>
      <w:tblGrid>
        <w:gridCol w:w="1980"/>
        <w:gridCol w:w="365"/>
        <w:gridCol w:w="1160"/>
        <w:gridCol w:w="146"/>
        <w:gridCol w:w="527"/>
        <w:gridCol w:w="1056"/>
        <w:gridCol w:w="146"/>
        <w:gridCol w:w="593"/>
        <w:gridCol w:w="1058"/>
        <w:gridCol w:w="146"/>
        <w:gridCol w:w="443"/>
        <w:gridCol w:w="888"/>
        <w:gridCol w:w="146"/>
        <w:gridCol w:w="288"/>
        <w:gridCol w:w="1263"/>
      </w:tblGrid>
      <w:tr>
        <w:trPr/>
        <w:tc>
          <w:tcPr>
            <w:tcW w:w="19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Accrued Interest </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 Fair Value</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62,625</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U.S. Government obligations</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36,755</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Treasury bill</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6,983</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agency securities</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2,607</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Commercial paper</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6,878</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short-term investments</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115,848</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Long-term investments</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23,100</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U.S. Government obligations</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21,384</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Agency bond</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2,469</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Asset-backed securities</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3,172</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long-term investments</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50,125</w:t>
            </w:r>
          </w:p>
        </w:tc>
      </w:tr>
    </w:tbl>
    <w:p>
      <w:pPr>
        <w:pStyle w:val="TextBody"/>
        <w:bidi w:val="0"/>
        <w:spacing w:before="200" w:after="200"/>
        <w:jc w:val="left"/>
        <w:rPr>
          <w:rFonts w:ascii="Times New Roman" w:hAnsi="Times New Roman"/>
          <w:sz w:val="20"/>
        </w:rPr>
      </w:pPr>
      <w:r>
        <w:rPr>
          <w:rFonts w:ascii="Arial" w:hAnsi="Arial"/>
          <w:color w:val="000000"/>
          <w:sz w:val="20"/>
        </w:rPr>
        <w:t>As of December 31, 2025, none</w:t>
      </w:r>
      <w:r>
        <w:rPr>
          <w:rFonts w:ascii="Times New Roman" w:hAnsi="Times New Roman"/>
          <w:color w:val="000000"/>
          <w:sz w:val="20"/>
        </w:rPr>
        <w:t xml:space="preserve"> </w:t>
      </w:r>
      <w:r>
        <w:rPr>
          <w:rFonts w:ascii="Arial" w:hAnsi="Arial"/>
          <w:color w:val="000000"/>
          <w:sz w:val="20"/>
        </w:rPr>
        <w:t>of the 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aggregated based on the duration that individual securities have been in a continuous unrealized loss position, as of December 31, 2024 (in thousands):</w:t>
      </w:r>
    </w:p>
    <w:tbl>
      <w:tblPr>
        <w:tblW w:w="10205" w:type="dxa"/>
        <w:jc w:val="left"/>
        <w:tblInd w:w="0" w:type="dxa"/>
        <w:tblLayout w:type="fixed"/>
        <w:tblCellMar>
          <w:top w:w="28" w:type="dxa"/>
          <w:left w:w="28" w:type="dxa"/>
          <w:bottom w:w="28" w:type="dxa"/>
          <w:right w:w="28" w:type="dxa"/>
        </w:tblCellMar>
      </w:tblPr>
      <w:tblGrid>
        <w:gridCol w:w="1816"/>
        <w:gridCol w:w="249"/>
        <w:gridCol w:w="686"/>
        <w:gridCol w:w="247"/>
        <w:gridCol w:w="589"/>
        <w:gridCol w:w="903"/>
        <w:gridCol w:w="246"/>
        <w:gridCol w:w="304"/>
        <w:gridCol w:w="427"/>
        <w:gridCol w:w="274"/>
        <w:gridCol w:w="620"/>
        <w:gridCol w:w="872"/>
        <w:gridCol w:w="246"/>
        <w:gridCol w:w="249"/>
        <w:gridCol w:w="686"/>
        <w:gridCol w:w="246"/>
        <w:gridCol w:w="435"/>
        <w:gridCol w:w="1110"/>
      </w:tblGrid>
      <w:tr>
        <w:trPr/>
        <w:tc>
          <w:tcPr>
            <w:tcW w:w="181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Less than 12 Months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12 Months or Longer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Losses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Losses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Unrealized Losses</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6,002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6,002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U.S. Government obligations</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2,010</w:t>
            </w:r>
          </w:p>
        </w:tc>
        <w:tc>
          <w:tcPr>
            <w:tcW w:w="2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short-term investments</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8,012</w:t>
            </w:r>
          </w:p>
        </w:tc>
        <w:tc>
          <w:tcPr>
            <w:tcW w:w="24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5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8,012</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Long-term investments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12,648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U.S. Government obligations</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13,845</w:t>
            </w:r>
          </w:p>
        </w:tc>
        <w:tc>
          <w:tcPr>
            <w:tcW w:w="2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13,845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(67)</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Asset-backed securities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999</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long-term investments</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27,492</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27,492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r>
    </w:tbl>
    <w:p>
      <w:pPr>
        <w:pStyle w:val="TextBody"/>
        <w:bidi w:val="0"/>
        <w:spacing w:before="200" w:after="200"/>
        <w:jc w:val="left"/>
        <w:rPr>
          <w:rFonts w:ascii="Times New Roman" w:hAnsi="Times New Roman"/>
          <w:sz w:val="20"/>
        </w:rPr>
      </w:pPr>
      <w:r>
        <w:rPr>
          <w:rFonts w:ascii="Arial" w:hAnsi="Arial"/>
          <w:color w:val="000000"/>
          <w:sz w:val="20"/>
        </w:rPr>
        <w:t>Unrealized losses have not been recognized into income (loss) as the Company neither intends to sell, nor anticipates that it is more likely than not that the Company will be required to sell, the securities before recovery of their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amortized cost basis. The decline in fair value is due primarily to changes in market interest rates, rather than credit losses. Based on the evaluation of available evidence, the Company does not believe any unrealized losses represent other than temporary impairments.</w:t>
      </w:r>
    </w:p>
    <w:p>
      <w:pPr>
        <w:pStyle w:val="TextBody"/>
        <w:bidi w:val="0"/>
        <w:spacing w:before="0" w:after="200"/>
        <w:jc w:val="left"/>
        <w:rPr>
          <w:rFonts w:ascii="Times New Roman" w:hAnsi="Times New Roman"/>
          <w:sz w:val="20"/>
        </w:rPr>
      </w:pPr>
      <w:r>
        <w:rPr>
          <w:rFonts w:ascii="Arial" w:hAnsi="Arial"/>
          <w:color w:val="000000"/>
          <w:sz w:val="20"/>
        </w:rPr>
        <w:t>During the year ended December 31, 2025, the Company received proceeds of $156.6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from the sale and maturity of short-term and long-term investments. Realized gains on the sale of available-for-sale debt securities were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year ended December 31, 2025. Realized losses on the sale of available-for-sale debt securities were less than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year ended December 31, 2025.</w:t>
      </w:r>
    </w:p>
    <w:p>
      <w:pPr>
        <w:pStyle w:val="TextBody"/>
        <w:bidi w:val="0"/>
        <w:jc w:val="left"/>
        <w:rPr>
          <w:rFonts w:ascii="Arial" w:hAnsi="Arial"/>
          <w:b/>
          <w:color w:val="000000"/>
          <w:sz w:val="20"/>
        </w:rPr>
      </w:pPr>
      <w:bookmarkStart w:id="33" w:name="note_4"/>
      <w:bookmarkEnd w:id="33"/>
      <w:r>
        <w:rPr>
          <w:rFonts w:ascii="Arial" w:hAnsi="Arial"/>
          <w:b/>
          <w:color w:val="000000"/>
          <w:sz w:val="20"/>
        </w:rPr>
        <w:t>Note 5. Fair Value Measurements</w:t>
      </w:r>
    </w:p>
    <w:p>
      <w:pPr>
        <w:pStyle w:val="TextBody"/>
        <w:bidi w:val="0"/>
        <w:spacing w:before="200" w:after="200"/>
        <w:jc w:val="left"/>
        <w:rPr>
          <w:rFonts w:ascii="Arial" w:hAnsi="Arial"/>
          <w:color w:val="000000"/>
          <w:sz w:val="20"/>
        </w:rPr>
      </w:pPr>
      <w:r>
        <w:rPr>
          <w:rFonts w:ascii="Arial" w:hAnsi="Arial"/>
          <w:color w:val="000000"/>
          <w:sz w:val="20"/>
        </w:rPr>
        <w:t>The following tables present the Company’s fair value hierarchy for its financial assets and liabilities that are measured at fair value on a recurring basis as of December 31, 2025 and 2024 (in thousands):</w:t>
      </w:r>
    </w:p>
    <w:tbl>
      <w:tblPr>
        <w:tblW w:w="6946" w:type="dxa"/>
        <w:jc w:val="left"/>
        <w:tblInd w:w="0" w:type="dxa"/>
        <w:tblLayout w:type="fixed"/>
        <w:tblCellMar>
          <w:top w:w="28" w:type="dxa"/>
          <w:left w:w="28" w:type="dxa"/>
          <w:bottom w:w="28" w:type="dxa"/>
          <w:right w:w="28" w:type="dxa"/>
        </w:tblCellMar>
      </w:tblPr>
      <w:tblGrid>
        <w:gridCol w:w="2661"/>
        <w:gridCol w:w="219"/>
        <w:gridCol w:w="703"/>
        <w:gridCol w:w="151"/>
        <w:gridCol w:w="219"/>
        <w:gridCol w:w="703"/>
        <w:gridCol w:w="151"/>
        <w:gridCol w:w="219"/>
        <w:gridCol w:w="593"/>
        <w:gridCol w:w="151"/>
        <w:gridCol w:w="219"/>
        <w:gridCol w:w="957"/>
      </w:tblGrid>
      <w:tr>
        <w:trPr/>
        <w:tc>
          <w:tcPr>
            <w:tcW w:w="26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Measured at Fair Value as of December 31, 2025</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Financial Assets: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equivalents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34,857</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exchange contracts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bonds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4,850</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Government obligations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19,842</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short-term investments</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24,692</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financial assets</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59,891</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Financial Liabilities: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exchange contracts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425</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Contingent consideration</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financial liabilities</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2,471</w:t>
            </w:r>
          </w:p>
        </w:tc>
      </w:tr>
    </w:tbl>
    <w:p>
      <w:pPr>
        <w:pStyle w:val="TextBody"/>
        <w:bidi w:val="0"/>
        <w:jc w:val="left"/>
        <w:rPr/>
      </w:pPr>
      <w:r>
        <w:rPr/>
        <w:t> </w:t>
      </w:r>
    </w:p>
    <w:tbl>
      <w:tblPr>
        <w:tblW w:w="8392" w:type="dxa"/>
        <w:jc w:val="left"/>
        <w:tblInd w:w="0" w:type="dxa"/>
        <w:tblLayout w:type="fixed"/>
        <w:tblCellMar>
          <w:top w:w="28" w:type="dxa"/>
          <w:left w:w="28" w:type="dxa"/>
          <w:bottom w:w="28" w:type="dxa"/>
          <w:right w:w="28" w:type="dxa"/>
        </w:tblCellMar>
      </w:tblPr>
      <w:tblGrid>
        <w:gridCol w:w="2811"/>
        <w:gridCol w:w="346"/>
        <w:gridCol w:w="781"/>
        <w:gridCol w:w="346"/>
        <w:gridCol w:w="346"/>
        <w:gridCol w:w="781"/>
        <w:gridCol w:w="346"/>
        <w:gridCol w:w="346"/>
        <w:gridCol w:w="571"/>
        <w:gridCol w:w="346"/>
        <w:gridCol w:w="346"/>
        <w:gridCol w:w="1026"/>
      </w:tblGrid>
      <w:tr>
        <w:trPr/>
        <w:tc>
          <w:tcPr>
            <w:tcW w:w="2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Measured at Fair Value as of December 31, 2024</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139,545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139,545</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exchange contracts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62,625</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U.S. Government obligations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36,755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36,755</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Treasury bill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6,983</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2,607</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Commercial paper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6,878</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short-term investments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115,848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115,848</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Long-term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Corporate bonds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23,100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23,100</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U.S. Government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21,384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21,384</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Agency bond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2,469</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Asset-backed securities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3,172</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long-term investments</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50,125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50,125</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financial assets</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139,545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165,973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305,567</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Contingent consideration</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financial liabilities</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r>
    </w:tbl>
    <w:p>
      <w:pPr>
        <w:pStyle w:val="TextBody"/>
        <w:bidi w:val="0"/>
        <w:spacing w:before="200" w:after="200"/>
        <w:jc w:val="left"/>
        <w:rPr>
          <w:rFonts w:ascii="Times New Roman" w:hAnsi="Times New Roman"/>
          <w:sz w:val="20"/>
        </w:rPr>
      </w:pPr>
      <w:r>
        <w:rPr>
          <w:rFonts w:ascii="Arial" w:hAnsi="Arial"/>
          <w:color w:val="000000"/>
          <w:sz w:val="20"/>
        </w:rPr>
        <w:t>During the year ended December 31, 2025, the Company corrected the footnotes to its consolidated financial statements for the year ended December 31, 2024, related to the ASC 820 Fair Value Measurement Level classification of money market funds from NAV to Level 1. The table above reflects the appropriate fair value hierarchy classification as of December 31, 2024, which conforms with the current year presentation. The prior period reclassifications had no effect on the reported values of these instruments and the Company does not consider the impact to be material to the prior period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financial statements. Other than this reclassification, during the years ended December 31, 2025, 2024, and 2023, there were no transfers between Level 1, Level 2 or Level 3.</w:t>
      </w:r>
    </w:p>
    <w:p>
      <w:pPr>
        <w:pStyle w:val="TextBody"/>
        <w:bidi w:val="0"/>
        <w:jc w:val="left"/>
        <w:rPr>
          <w:rFonts w:ascii="Arial" w:hAnsi="Arial"/>
          <w:b/>
          <w:i/>
          <w:color w:val="000000"/>
          <w:sz w:val="20"/>
        </w:rPr>
      </w:pPr>
      <w:r>
        <w:rPr>
          <w:rFonts w:ascii="Arial" w:hAnsi="Arial"/>
          <w:b/>
          <w:i/>
          <w:color w:val="000000"/>
          <w:sz w:val="20"/>
        </w:rPr>
        <w:t>Contingent consideration</w:t>
      </w:r>
    </w:p>
    <w:p>
      <w:pPr>
        <w:pStyle w:val="TextBody"/>
        <w:bidi w:val="0"/>
        <w:spacing w:before="200" w:after="200"/>
        <w:jc w:val="left"/>
        <w:rPr>
          <w:rFonts w:ascii="Arial" w:hAnsi="Arial"/>
          <w:b/>
          <w:i/>
          <w:color w:val="000000"/>
          <w:sz w:val="20"/>
        </w:rPr>
      </w:pPr>
      <w:r>
        <w:rPr>
          <w:rFonts w:ascii="Arial" w:hAnsi="Arial"/>
          <w:b/>
          <w:i/>
          <w:color w:val="000000"/>
          <w:sz w:val="20"/>
        </w:rPr>
        <w:t>Sertifi LLC (Sertifi)</w:t>
      </w:r>
    </w:p>
    <w:p>
      <w:pPr>
        <w:pStyle w:val="TextBody"/>
        <w:bidi w:val="0"/>
        <w:spacing w:before="0" w:after="200"/>
        <w:jc w:val="left"/>
        <w:rPr>
          <w:rFonts w:ascii="Times New Roman" w:hAnsi="Times New Roman"/>
          <w:sz w:val="20"/>
        </w:rPr>
      </w:pPr>
      <w:r>
        <w:rPr>
          <w:rFonts w:ascii="Arial" w:hAnsi="Arial"/>
          <w:color w:val="000000"/>
          <w:sz w:val="20"/>
        </w:rPr>
        <w:t xml:space="preserve">The fair value of the contingent consideration related to the gross profit milestone from the Company’s acquisition of Sertifi in February 2025 was determined using an option pricing model and the fair value of the contingent consideration related to the technology and security integration milestones was determined using a scenario-based method. Refer to </w:t>
      </w:r>
      <w:r>
        <w:rPr>
          <w:rFonts w:ascii="Arial" w:hAnsi="Arial"/>
          <w:i/>
          <w:color w:val="000000"/>
          <w:sz w:val="20"/>
        </w:rPr>
        <w:t>Note 10 - Business Combinations</w:t>
      </w:r>
      <w:r>
        <w:rPr>
          <w:rFonts w:ascii="Times New Roman" w:hAnsi="Times New Roman"/>
          <w:color w:val="000000"/>
          <w:sz w:val="20"/>
        </w:rPr>
        <w:t xml:space="preserve"> </w:t>
      </w:r>
      <w:r>
        <w:rPr>
          <w:rFonts w:ascii="Arial" w:hAnsi="Arial"/>
          <w:color w:val="000000"/>
          <w:sz w:val="20"/>
        </w:rPr>
        <w:t>for additional details on the Sertifi acquisition. The following table presents the unobservable inputs incorporated into the fair value of the contingent consideration liability as of December 31, 2025.</w:t>
      </w:r>
    </w:p>
    <w:tbl>
      <w:tblPr>
        <w:tblW w:w="5190" w:type="dxa"/>
        <w:jc w:val="left"/>
        <w:tblInd w:w="0" w:type="dxa"/>
        <w:tblLayout w:type="fixed"/>
        <w:tblCellMar>
          <w:top w:w="28" w:type="dxa"/>
          <w:left w:w="28" w:type="dxa"/>
          <w:bottom w:w="28" w:type="dxa"/>
          <w:right w:w="28" w:type="dxa"/>
        </w:tblCellMar>
      </w:tblPr>
      <w:tblGrid>
        <w:gridCol w:w="3376"/>
        <w:gridCol w:w="744"/>
        <w:gridCol w:w="256"/>
        <w:gridCol w:w="814"/>
      </w:tblGrid>
      <w:tr>
        <w:trPr/>
        <w:tc>
          <w:tcPr>
            <w:tcW w:w="337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Discount rate</w:t>
            </w:r>
          </w:p>
        </w:tc>
        <w:tc>
          <w:tcPr>
            <w:tcW w:w="1814" w:type="dxa"/>
            <w:gridSpan w:val="3"/>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6.6%</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Probability of successful achievement </w:t>
            </w:r>
            <w:r>
              <w:rPr>
                <w:rFonts w:ascii="Arial" w:hAnsi="Arial"/>
                <w:color w:val="000000"/>
                <w:sz w:val="12"/>
              </w:rPr>
              <w:t>(a)</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37%</w:t>
            </w:r>
          </w:p>
        </w:tc>
      </w:tr>
    </w:tbl>
    <w:p>
      <w:pPr>
        <w:pStyle w:val="TextBody"/>
        <w:bidi w:val="0"/>
        <w:jc w:val="left"/>
        <w:rPr>
          <w:rFonts w:ascii="Arial" w:hAnsi="Arial"/>
          <w:color w:val="000000"/>
          <w:sz w:val="16"/>
        </w:rPr>
      </w:pPr>
      <w:r>
        <w:rPr>
          <w:rFonts w:ascii="Arial" w:hAnsi="Arial"/>
          <w:color w:val="000000"/>
          <w:sz w:val="16"/>
        </w:rPr>
        <w:t>_____________________________</w:t>
      </w:r>
    </w:p>
    <w:p>
      <w:pPr>
        <w:pStyle w:val="TextBody"/>
        <w:bidi w:val="0"/>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color w:val="000000"/>
          <w:sz w:val="16"/>
        </w:rPr>
        <w:t>Probability of successful achievement was set at different targets based on the Company’s estimates on achieving them. The weighted average probability of successful achievement was 21.5%</w:t>
      </w:r>
      <w:r>
        <w:rPr>
          <w:rFonts w:ascii="Times New Roman" w:hAnsi="Times New Roman"/>
          <w:color w:val="000000"/>
          <w:sz w:val="20"/>
        </w:rPr>
        <w:t xml:space="preserve"> </w:t>
      </w:r>
      <w:r>
        <w:rPr>
          <w:rFonts w:ascii="Arial" w:hAnsi="Arial"/>
          <w:color w:val="000000"/>
          <w:sz w:val="16"/>
        </w:rPr>
        <w:t>as of December 31, 2025.</w:t>
      </w:r>
    </w:p>
    <w:p>
      <w:pPr>
        <w:pStyle w:val="TextBody"/>
        <w:bidi w:val="0"/>
        <w:spacing w:before="200" w:after="200"/>
        <w:jc w:val="left"/>
        <w:rPr>
          <w:rFonts w:ascii="Arial" w:hAnsi="Arial"/>
          <w:color w:val="000000"/>
          <w:sz w:val="20"/>
        </w:rPr>
      </w:pPr>
      <w:r>
        <w:rPr>
          <w:rFonts w:ascii="Arial" w:hAnsi="Arial"/>
          <w:color w:val="000000"/>
          <w:sz w:val="20"/>
        </w:rPr>
        <w:t>Increases or decreases in the discount rate would result in a lower or higher fair value measurement, respectively. Increases or decreases in any of the probabilities of success in which the gross profit and technology and security milestones are expected to be achieved would result in higher or lower fair value measurement, respectively.</w:t>
      </w:r>
    </w:p>
    <w:p>
      <w:pPr>
        <w:pStyle w:val="TextBody"/>
        <w:bidi w:val="0"/>
        <w:spacing w:before="0" w:after="200"/>
        <w:jc w:val="left"/>
        <w:rPr>
          <w:rFonts w:ascii="Arial" w:hAnsi="Arial"/>
          <w:b/>
          <w:i/>
          <w:color w:val="000000"/>
          <w:sz w:val="20"/>
        </w:rPr>
      </w:pPr>
      <w:r>
        <w:rPr>
          <w:rFonts w:ascii="Arial" w:hAnsi="Arial"/>
          <w:b/>
          <w:i/>
          <w:color w:val="000000"/>
          <w:sz w:val="20"/>
        </w:rPr>
        <w:t>Invoiced Inc. (Invoiced)</w:t>
      </w:r>
    </w:p>
    <w:p>
      <w:pPr>
        <w:pStyle w:val="TextBody"/>
        <w:bidi w:val="0"/>
        <w:spacing w:before="0" w:after="200"/>
        <w:jc w:val="left"/>
        <w:rPr>
          <w:rFonts w:ascii="Times New Roman" w:hAnsi="Times New Roman"/>
          <w:sz w:val="20"/>
        </w:rPr>
      </w:pPr>
      <w:r>
        <w:rPr>
          <w:rFonts w:ascii="Arial" w:hAnsi="Arial"/>
          <w:color w:val="000000"/>
          <w:sz w:val="20"/>
        </w:rPr>
        <w:t xml:space="preserve">The fair value of the contingent consideration related to the revenue milestone from the Company’s acquisition of Invoiced in August 2024 was determined using an option pricing model and the fair value of the contingent consideration related to the cross-selling, product, and security and information technology (IT) milestones was determined using a scenario-based method. As of December 31, 2025, there were no remaining contingent consideration milestones outstanding. Refer to </w:t>
      </w:r>
      <w:r>
        <w:rPr>
          <w:rFonts w:ascii="Arial" w:hAnsi="Arial"/>
          <w:i/>
          <w:color w:val="000000"/>
          <w:sz w:val="20"/>
        </w:rPr>
        <w:t>Note 10 - Business Combinations</w:t>
      </w:r>
      <w:r>
        <w:rPr>
          <w:rFonts w:ascii="Times New Roman" w:hAnsi="Times New Roman"/>
          <w:color w:val="000000"/>
          <w:sz w:val="20"/>
        </w:rPr>
        <w:t xml:space="preserve"> </w:t>
      </w:r>
      <w:r>
        <w:rPr>
          <w:rFonts w:ascii="Arial" w:hAnsi="Arial"/>
          <w:color w:val="000000"/>
          <w:sz w:val="20"/>
        </w:rPr>
        <w:t>for additional details on the Invoiced acquisition. The following table presents the unobservable inputs incorporated into the fair value of the contingent consideration liability as of December 31, 2025 and 2024.</w:t>
      </w:r>
    </w:p>
    <w:tbl>
      <w:tblPr>
        <w:tblW w:w="5191" w:type="dxa"/>
        <w:jc w:val="left"/>
        <w:tblInd w:w="0" w:type="dxa"/>
        <w:tblLayout w:type="fixed"/>
        <w:tblCellMar>
          <w:top w:w="28" w:type="dxa"/>
          <w:left w:w="28" w:type="dxa"/>
          <w:bottom w:w="28" w:type="dxa"/>
          <w:right w:w="28" w:type="dxa"/>
        </w:tblCellMar>
      </w:tblPr>
      <w:tblGrid>
        <w:gridCol w:w="3376"/>
        <w:gridCol w:w="722"/>
        <w:gridCol w:w="227"/>
        <w:gridCol w:w="866"/>
      </w:tblGrid>
      <w:tr>
        <w:trPr/>
        <w:tc>
          <w:tcPr>
            <w:tcW w:w="337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Discount rate</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6.6%</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Probability of successful achievement </w:t>
            </w:r>
            <w:r>
              <w:rPr>
                <w:rFonts w:ascii="Arial" w:hAnsi="Arial"/>
                <w:color w:val="000000"/>
                <w:sz w:val="12"/>
              </w:rPr>
              <w:t>(a)</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100%</w:t>
            </w:r>
          </w:p>
        </w:tc>
      </w:tr>
    </w:tbl>
    <w:p>
      <w:pPr>
        <w:pStyle w:val="TextBody"/>
        <w:bidi w:val="0"/>
        <w:jc w:val="left"/>
        <w:rPr>
          <w:rFonts w:ascii="Arial" w:hAnsi="Arial"/>
          <w:color w:val="000000"/>
          <w:sz w:val="16"/>
        </w:rPr>
      </w:pPr>
      <w:r>
        <w:rPr>
          <w:rFonts w:ascii="Arial" w:hAnsi="Arial"/>
          <w:color w:val="000000"/>
          <w:sz w:val="16"/>
        </w:rPr>
        <w:t>_____________________________</w:t>
      </w:r>
    </w:p>
    <w:p>
      <w:pPr>
        <w:pStyle w:val="TextBody"/>
        <w:bidi w:val="0"/>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color w:val="000000"/>
          <w:sz w:val="16"/>
        </w:rPr>
        <w:t>Probability of successful achievement was set at different targets based on the Company’s estimates on achieving them.</w:t>
      </w:r>
    </w:p>
    <w:p>
      <w:pPr>
        <w:pStyle w:val="TextBody"/>
        <w:bidi w:val="0"/>
        <w:spacing w:before="200" w:after="283"/>
        <w:jc w:val="left"/>
        <w:rPr>
          <w:rFonts w:ascii="Arial" w:hAnsi="Arial"/>
          <w:b/>
          <w:i/>
          <w:color w:val="000000"/>
          <w:sz w:val="20"/>
        </w:rPr>
      </w:pPr>
      <w:r>
        <w:rPr>
          <w:rFonts w:ascii="Arial" w:hAnsi="Arial"/>
          <w:b/>
          <w:i/>
          <w:color w:val="000000"/>
          <w:sz w:val="20"/>
        </w:rPr>
        <w:t>Learning Information Systems Pty Ltd. (StudyLink)</w:t>
      </w:r>
    </w:p>
    <w:p>
      <w:pPr>
        <w:pStyle w:val="TextBody"/>
        <w:bidi w:val="0"/>
        <w:spacing w:before="200" w:after="200"/>
        <w:jc w:val="left"/>
        <w:rPr>
          <w:rFonts w:ascii="Times New Roman" w:hAnsi="Times New Roman"/>
          <w:sz w:val="20"/>
        </w:rPr>
      </w:pPr>
      <w:r>
        <w:rPr>
          <w:rFonts w:ascii="Arial" w:hAnsi="Arial"/>
          <w:color w:val="000000"/>
          <w:sz w:val="20"/>
        </w:rPr>
        <w:t xml:space="preserve">The fair value of the contingent consideration related to the revenue milestone from the Company’s acquisition of StudyLink in November 2023 was determined using an option pricing model and the fair value of the contingent consideration related to the volume of money movement, cross-selling, and engineering implementation milestones was determined using a scenario-based method. As of December 31, 2025, there were no remaining contingent consideration milestones outstanding. Refer to </w:t>
      </w:r>
      <w:r>
        <w:rPr>
          <w:rFonts w:ascii="Arial" w:hAnsi="Arial"/>
          <w:i/>
          <w:color w:val="000000"/>
          <w:sz w:val="20"/>
        </w:rPr>
        <w:t>Note 10 - Business Combinations</w:t>
      </w:r>
      <w:r>
        <w:rPr>
          <w:rFonts w:ascii="Times New Roman" w:hAnsi="Times New Roman"/>
          <w:color w:val="000000"/>
          <w:sz w:val="20"/>
        </w:rPr>
        <w:t xml:space="preserve"> </w:t>
      </w:r>
      <w:r>
        <w:rPr>
          <w:rFonts w:ascii="Arial" w:hAnsi="Arial"/>
          <w:color w:val="000000"/>
          <w:sz w:val="20"/>
        </w:rPr>
        <w:t>for additional details on the StudyLink acquisition.</w:t>
      </w:r>
      <w:r>
        <w:rPr>
          <w:rFonts w:ascii="Times New Roman" w:hAnsi="Times New Roman"/>
          <w:color w:val="000000"/>
          <w:sz w:val="20"/>
        </w:rPr>
        <w:t xml:space="preserve"> </w:t>
      </w:r>
      <w:r>
        <w:rPr>
          <w:rFonts w:ascii="Arial" w:hAnsi="Arial"/>
          <w:color w:val="000000"/>
          <w:sz w:val="20"/>
        </w:rPr>
        <w:t>The following table presents the unobservable inputs incorporated into the valuation of contingent consideration as of December 31, 2025 and 2024.</w:t>
      </w:r>
    </w:p>
    <w:tbl>
      <w:tblPr>
        <w:tblW w:w="5191" w:type="dxa"/>
        <w:jc w:val="left"/>
        <w:tblInd w:w="0" w:type="dxa"/>
        <w:tblLayout w:type="fixed"/>
        <w:tblCellMar>
          <w:top w:w="28" w:type="dxa"/>
          <w:left w:w="28" w:type="dxa"/>
          <w:bottom w:w="28" w:type="dxa"/>
          <w:right w:w="28" w:type="dxa"/>
        </w:tblCellMar>
      </w:tblPr>
      <w:tblGrid>
        <w:gridCol w:w="3376"/>
        <w:gridCol w:w="722"/>
        <w:gridCol w:w="227"/>
        <w:gridCol w:w="866"/>
      </w:tblGrid>
      <w:tr>
        <w:trPr/>
        <w:tc>
          <w:tcPr>
            <w:tcW w:w="337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Discount rate</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8.2%</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Probability of successful achievement </w:t>
            </w:r>
            <w:r>
              <w:rPr>
                <w:rFonts w:ascii="Arial" w:hAnsi="Arial"/>
                <w:color w:val="000000"/>
                <w:sz w:val="12"/>
              </w:rPr>
              <w:t>(a)</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100%</w:t>
            </w:r>
          </w:p>
        </w:tc>
      </w:tr>
    </w:tbl>
    <w:p>
      <w:pPr>
        <w:pStyle w:val="TextBody"/>
        <w:bidi w:val="0"/>
        <w:jc w:val="left"/>
        <w:rPr>
          <w:rFonts w:ascii="Arial" w:hAnsi="Arial"/>
          <w:color w:val="000000"/>
          <w:sz w:val="16"/>
        </w:rPr>
      </w:pPr>
      <w:r>
        <w:rPr>
          <w:rFonts w:ascii="Arial" w:hAnsi="Arial"/>
          <w:color w:val="000000"/>
          <w:sz w:val="16"/>
        </w:rPr>
        <w:t>_____________________________</w:t>
      </w:r>
    </w:p>
    <w:p>
      <w:pPr>
        <w:pStyle w:val="TextBody"/>
        <w:bidi w:val="0"/>
        <w:jc w:val="left"/>
        <w:rPr>
          <w:rFonts w:ascii="Times New Roman" w:hAnsi="Times New Roman"/>
          <w:sz w:val="20"/>
        </w:rPr>
      </w:pPr>
      <w:r>
        <w:rPr>
          <w:rFonts w:ascii="Arial" w:hAnsi="Arial"/>
          <w:color w:val="000000"/>
          <w:sz w:val="11"/>
        </w:rPr>
        <w:t xml:space="preserve">(a) </w:t>
      </w:r>
      <w:r>
        <w:rPr>
          <w:rFonts w:ascii="Arial" w:hAnsi="Arial"/>
          <w:color w:val="000000"/>
          <w:sz w:val="16"/>
        </w:rPr>
        <w:t>Probability of successful achievement was set at different targets based on the Company’s estimates on achieving them.</w:t>
      </w:r>
    </w:p>
    <w:p>
      <w:pPr>
        <w:pStyle w:val="TextBody"/>
        <w:bidi w:val="0"/>
        <w:spacing w:before="200" w:after="200"/>
        <w:jc w:val="left"/>
        <w:rPr>
          <w:rFonts w:ascii="Times New Roman" w:hAnsi="Times New Roman"/>
          <w:sz w:val="20"/>
        </w:rPr>
      </w:pPr>
      <w:r>
        <w:rPr>
          <w:rFonts w:ascii="Arial" w:hAnsi="Arial"/>
          <w:color w:val="000000"/>
          <w:sz w:val="20"/>
        </w:rPr>
        <w:t>Changes in the fair value of contingent consideration are included as a component of general and administrative expense within the consolidated statements of operations and comprehensive income (loss). As of December 31, 2025, $2.0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contingent consideration are reflected in the Company's balance sheet in accrued expenses and other current liabilities. The following table summarizes the changes in the carrying value of the contingent consideration for the years ended December 31, 2025, 2024, and 2023 (in thousands):</w:t>
      </w:r>
    </w:p>
    <w:p>
      <w:pPr>
        <w:pStyle w:val="TextBody"/>
        <w:bidi w:val="0"/>
        <w:spacing w:before="120" w:after="283"/>
        <w:jc w:val="center"/>
        <w:rPr>
          <w:rFonts w:ascii="Arial" w:hAnsi="Arial"/>
          <w:color w:val="000000"/>
          <w:sz w:val="20"/>
        </w:rPr>
      </w:pPr>
      <w:r>
        <w:rPr>
          <w:rFonts w:ascii="Arial" w:hAnsi="Arial"/>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389" w:type="dxa"/>
        <w:jc w:val="left"/>
        <w:tblInd w:w="0" w:type="dxa"/>
        <w:tblLayout w:type="fixed"/>
        <w:tblCellMar>
          <w:top w:w="28" w:type="dxa"/>
          <w:left w:w="28" w:type="dxa"/>
          <w:bottom w:w="28" w:type="dxa"/>
          <w:right w:w="28" w:type="dxa"/>
        </w:tblCellMar>
      </w:tblPr>
      <w:tblGrid>
        <w:gridCol w:w="3346"/>
        <w:gridCol w:w="211"/>
        <w:gridCol w:w="691"/>
        <w:gridCol w:w="146"/>
        <w:gridCol w:w="211"/>
        <w:gridCol w:w="691"/>
        <w:gridCol w:w="146"/>
        <w:gridCol w:w="211"/>
        <w:gridCol w:w="736"/>
      </w:tblGrid>
      <w:tr>
        <w:trPr/>
        <w:tc>
          <w:tcPr>
            <w:tcW w:w="3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Beginning balance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1,332</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2,703</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Contingent consideration paid </w:t>
            </w:r>
            <w:r>
              <w:rPr>
                <w:rFonts w:ascii="Arial" w:hAnsi="Arial"/>
                <w:color w:val="000000"/>
                <w:sz w:val="12"/>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(1,674)</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translation adjustment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Ending balance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2,882</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color w:val="000000"/>
          <w:sz w:val="16"/>
        </w:rPr>
        <w:t>Contingent consideration when paid was bifurcated between the financing and operating sections of the consolidated statement of cash flows. Amounts paid up to the fair value initially recorded in purchase accounting is reported in the financing section, while any excess is reported in the operating section of the consolidated statement of cash flows.</w:t>
      </w:r>
    </w:p>
    <w:p>
      <w:pPr>
        <w:pStyle w:val="TextBody"/>
        <w:bidi w:val="0"/>
        <w:spacing w:before="200" w:after="283"/>
        <w:jc w:val="left"/>
        <w:rPr>
          <w:rFonts w:ascii="Arial" w:hAnsi="Arial"/>
          <w:b/>
          <w:color w:val="000000"/>
          <w:sz w:val="20"/>
        </w:rPr>
      </w:pPr>
      <w:bookmarkStart w:id="34" w:name="note_5"/>
      <w:bookmarkEnd w:id="34"/>
      <w:r>
        <w:rPr>
          <w:rFonts w:ascii="Arial" w:hAnsi="Arial"/>
          <w:b/>
          <w:color w:val="000000"/>
          <w:sz w:val="20"/>
        </w:rPr>
        <w:t>Note 6. Derivative Instruments</w:t>
      </w:r>
    </w:p>
    <w:p>
      <w:pPr>
        <w:pStyle w:val="TextBody"/>
        <w:bidi w:val="0"/>
        <w:spacing w:before="200" w:after="200"/>
        <w:jc w:val="left"/>
        <w:rPr>
          <w:rFonts w:ascii="Times New Roman" w:hAnsi="Times New Roman"/>
          <w:sz w:val="20"/>
        </w:rPr>
      </w:pPr>
      <w:r>
        <w:rPr>
          <w:rFonts w:ascii="Arial" w:hAnsi="Arial"/>
          <w:color w:val="000000"/>
          <w:sz w:val="20"/>
        </w:rPr>
        <w:t>As part of the Company’s foreign currency risk management program, the Company uses derivative instruments to mitigate the volatility related to fluctuations in foreign exchange rates. The Company entered into foreign currency forward contracts used to mitigate the currency exchange risk associated with clients and their customers' payments. In addition, during the year ended December 31, 2025, the Company entered into foreign currency forward contracts to mitigate the currency exchange risk associated with intercompany loans denominated in British Pound Sterling and the Australian dollar. The intercompany transaction derivatives are for a duration of one year with an aggregate notional amount of $83.7</w:t>
      </w:r>
      <w:r>
        <w:rPr>
          <w:rFonts w:ascii="Times New Roman" w:hAnsi="Times New Roman"/>
          <w:color w:val="000000"/>
          <w:sz w:val="20"/>
        </w:rPr>
        <w:t xml:space="preserve"> </w:t>
      </w:r>
      <w:r>
        <w:rPr>
          <w:rFonts w:ascii="Arial" w:hAnsi="Arial"/>
          <w:color w:val="000000"/>
          <w:sz w:val="20"/>
        </w:rPr>
        <w:t>million. The Company's foreign currency forward contracts are not designated as hedging instruments.</w:t>
      </w:r>
    </w:p>
    <w:p>
      <w:pPr>
        <w:pStyle w:val="TextBody"/>
        <w:bidi w:val="0"/>
        <w:spacing w:before="0" w:after="200"/>
        <w:jc w:val="left"/>
        <w:rPr>
          <w:rFonts w:ascii="Times New Roman" w:hAnsi="Times New Roman"/>
          <w:sz w:val="20"/>
        </w:rPr>
      </w:pPr>
      <w:r>
        <w:rPr>
          <w:rFonts w:ascii="Arial" w:hAnsi="Arial"/>
          <w:color w:val="000000"/>
          <w:sz w:val="20"/>
        </w:rPr>
        <w:t>The notional amounts are generally not exchanged, but are used only as the underlying basis on which the value of foreign exchange payments under these contracts is determined. The notional amounts are not recorded on the consolidated balance sheets and are not, when viewed in isolation, a meaningful measure of the risk profile of the derivative instruments. As of December 31, 2025 and 2024, the Company had 18,355</w:t>
      </w:r>
      <w:r>
        <w:rPr>
          <w:rFonts w:ascii="Times New Roman" w:hAnsi="Times New Roman"/>
          <w:color w:val="000000"/>
          <w:sz w:val="20"/>
        </w:rPr>
        <w:t xml:space="preserve"> </w:t>
      </w:r>
      <w:r>
        <w:rPr>
          <w:rFonts w:ascii="Arial" w:hAnsi="Arial"/>
          <w:color w:val="000000"/>
          <w:sz w:val="20"/>
        </w:rPr>
        <w:t>and 18,858</w:t>
      </w:r>
      <w:r>
        <w:rPr>
          <w:rFonts w:ascii="Times New Roman" w:hAnsi="Times New Roman"/>
          <w:color w:val="000000"/>
          <w:sz w:val="20"/>
        </w:rPr>
        <w:t xml:space="preserve"> </w:t>
      </w:r>
      <w:r>
        <w:rPr>
          <w:rFonts w:ascii="Arial" w:hAnsi="Arial"/>
          <w:color w:val="000000"/>
          <w:sz w:val="20"/>
        </w:rPr>
        <w:t>open foreign exchange contracts related to clients and their customers' payments, respectively. As of December 31, 2025 and 2024, the Company had foreign currency forward contracts related to clients and their customers' payments outstanding with notional amounts of $66.5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$43.3</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left"/>
        <w:rPr>
          <w:rFonts w:ascii="Times New Roman" w:hAnsi="Times New Roman"/>
          <w:sz w:val="20"/>
        </w:rPr>
      </w:pPr>
      <w:r>
        <w:rPr>
          <w:rFonts w:ascii="Arial" w:hAnsi="Arial"/>
          <w:color w:val="000000"/>
          <w:sz w:val="20"/>
        </w:rPr>
        <w:t>The Company records all derivative instruments in the consolidated balance sheets at their fair values. The Company recorded an asset of $0.3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a liability of $0.4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outstanding foreign exchange contracts as of December 31, 2025, respectively. The Company recorded an asset of less than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outstanding foreign exchange contracts as of December 31, 2024.</w:t>
      </w:r>
    </w:p>
    <w:p>
      <w:pPr>
        <w:pStyle w:val="TextBody"/>
        <w:bidi w:val="0"/>
        <w:spacing w:before="200" w:after="283"/>
        <w:jc w:val="left"/>
        <w:rPr>
          <w:rFonts w:ascii="Times New Roman" w:hAnsi="Times New Roman"/>
          <w:sz w:val="20"/>
        </w:rPr>
      </w:pPr>
      <w:r>
        <w:rPr>
          <w:rFonts w:ascii="Arial" w:hAnsi="Arial"/>
          <w:color w:val="000000"/>
          <w:sz w:val="20"/>
        </w:rPr>
        <w:t>The Company recorded a net loss of less than $0.1</w:t>
      </w:r>
      <w:r>
        <w:rPr>
          <w:rFonts w:ascii="Times New Roman" w:hAnsi="Times New Roman"/>
          <w:color w:val="000000"/>
          <w:sz w:val="20"/>
        </w:rPr>
        <w:t xml:space="preserve"> </w:t>
      </w:r>
      <w:r>
        <w:rPr>
          <w:rFonts w:ascii="Arial" w:hAnsi="Arial"/>
          <w:color w:val="000000"/>
          <w:sz w:val="20"/>
        </w:rPr>
        <w:t>million on the intercompany loan derivatives during the year ended December 31, 2025. The Company recognized losses on derivatives related to clients and their customers' payments of $1.3</w:t>
      </w:r>
      <w:r>
        <w:rPr>
          <w:rFonts w:ascii="Times New Roman" w:hAnsi="Times New Roman"/>
          <w:color w:val="000000"/>
          <w:sz w:val="20"/>
        </w:rPr>
        <w:t xml:space="preserve"> </w:t>
      </w:r>
      <w:r>
        <w:rPr>
          <w:rFonts w:ascii="Arial" w:hAnsi="Arial"/>
          <w:color w:val="000000"/>
          <w:sz w:val="20"/>
        </w:rPr>
        <w:t>million, $1.7</w:t>
      </w:r>
      <w:r>
        <w:rPr>
          <w:rFonts w:ascii="Times New Roman" w:hAnsi="Times New Roman"/>
          <w:color w:val="000000"/>
          <w:sz w:val="20"/>
        </w:rPr>
        <w:t xml:space="preserve"> </w:t>
      </w:r>
      <w:r>
        <w:rPr>
          <w:rFonts w:ascii="Arial" w:hAnsi="Arial"/>
          <w:color w:val="000000"/>
          <w:sz w:val="20"/>
        </w:rPr>
        <w:t>million, and $2.0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years ended December 31, 2025, 2024, and 2023.</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Gains and losses on the derivatives related to clients and their customers' payments are included as a component of general and administrative expense within the consolidated statements of operations and comprehensive income (loss) due to the nature of the transactions. Gains and losses on the intercompany loans derivatives are included as a component of other income (expense) in the consolidated statements of operations and comprehensive income (loss).</w:t>
      </w:r>
    </w:p>
    <w:p>
      <w:pPr>
        <w:pStyle w:val="TextBody"/>
        <w:bidi w:val="0"/>
        <w:spacing w:before="200" w:after="200"/>
        <w:jc w:val="left"/>
        <w:rPr>
          <w:rFonts w:ascii="Arial" w:hAnsi="Arial"/>
          <w:b/>
          <w:color w:val="000000"/>
          <w:sz w:val="20"/>
        </w:rPr>
      </w:pPr>
      <w:bookmarkStart w:id="35" w:name="note_6"/>
      <w:bookmarkEnd w:id="35"/>
      <w:r>
        <w:rPr>
          <w:rFonts w:ascii="Arial" w:hAnsi="Arial"/>
          <w:b/>
          <w:color w:val="000000"/>
          <w:sz w:val="20"/>
        </w:rPr>
        <w:t>Note 7. Accrued Expenses and Other Current Liabilities</w:t>
      </w:r>
    </w:p>
    <w:p>
      <w:pPr>
        <w:pStyle w:val="TextBody"/>
        <w:bidi w:val="0"/>
        <w:spacing w:before="0" w:after="200"/>
        <w:jc w:val="left"/>
        <w:rPr>
          <w:rFonts w:ascii="Arial" w:hAnsi="Arial"/>
          <w:color w:val="000000"/>
          <w:sz w:val="20"/>
        </w:rPr>
      </w:pPr>
      <w:r>
        <w:rPr>
          <w:rFonts w:ascii="Arial" w:hAnsi="Arial"/>
          <w:color w:val="000000"/>
          <w:sz w:val="20"/>
        </w:rPr>
        <w:t>Accrued expenses and other current liabilities consisted of the following as of the dates presented (in thousands):</w:t>
      </w:r>
    </w:p>
    <w:tbl>
      <w:tblPr>
        <w:tblW w:w="6975" w:type="dxa"/>
        <w:jc w:val="left"/>
        <w:tblInd w:w="0" w:type="dxa"/>
        <w:tblLayout w:type="fixed"/>
        <w:tblCellMar>
          <w:top w:w="28" w:type="dxa"/>
          <w:left w:w="28" w:type="dxa"/>
          <w:bottom w:w="28" w:type="dxa"/>
          <w:right w:w="28" w:type="dxa"/>
        </w:tblCellMar>
      </w:tblPr>
      <w:tblGrid>
        <w:gridCol w:w="4591"/>
        <w:gridCol w:w="256"/>
        <w:gridCol w:w="820"/>
        <w:gridCol w:w="177"/>
        <w:gridCol w:w="256"/>
        <w:gridCol w:w="875"/>
      </w:tblGrid>
      <w:tr>
        <w:trPr/>
        <w:tc>
          <w:tcPr>
            <w:tcW w:w="4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employee compensation and related taxes</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17,950</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income and other non-employee related taxes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8,699</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vendor liabilities</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3,992</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Sales tax payable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portion of contingent consideration</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4,113</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professional services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1,879</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portion of operating lease liabilities</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1,719</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accrued expenses and current liabilities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12,842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10,945</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Accrued expenses and other current liabilities</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55,715</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49,297</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36" w:name="note_7"/>
      <w:bookmarkEnd w:id="36"/>
      <w:r>
        <w:rPr>
          <w:rFonts w:ascii="Arial" w:hAnsi="Arial"/>
          <w:b/>
          <w:color w:val="000000"/>
          <w:sz w:val="20"/>
        </w:rPr>
        <w:t>Note 8. Property and Equipment, net</w:t>
      </w:r>
    </w:p>
    <w:p>
      <w:pPr>
        <w:pStyle w:val="TextBody"/>
        <w:bidi w:val="0"/>
        <w:spacing w:before="200" w:after="200"/>
        <w:jc w:val="left"/>
        <w:rPr>
          <w:rFonts w:ascii="Arial" w:hAnsi="Arial"/>
          <w:color w:val="000000"/>
          <w:sz w:val="20"/>
        </w:rPr>
      </w:pPr>
      <w:r>
        <w:rPr>
          <w:rFonts w:ascii="Arial" w:hAnsi="Arial"/>
          <w:color w:val="000000"/>
          <w:sz w:val="20"/>
        </w:rPr>
        <w:t>Property and equipment, net consisted of the following as of the dates presented (dollars in thousands):</w:t>
      </w:r>
    </w:p>
    <w:tbl>
      <w:tblPr>
        <w:tblW w:w="9902" w:type="dxa"/>
        <w:jc w:val="left"/>
        <w:tblInd w:w="0" w:type="dxa"/>
        <w:tblLayout w:type="fixed"/>
        <w:tblCellMar>
          <w:top w:w="28" w:type="dxa"/>
          <w:left w:w="28" w:type="dxa"/>
          <w:bottom w:w="28" w:type="dxa"/>
          <w:right w:w="28" w:type="dxa"/>
        </w:tblCellMar>
      </w:tblPr>
      <w:tblGrid>
        <w:gridCol w:w="4536"/>
        <w:gridCol w:w="2836"/>
        <w:gridCol w:w="146"/>
        <w:gridCol w:w="220"/>
        <w:gridCol w:w="831"/>
        <w:gridCol w:w="152"/>
        <w:gridCol w:w="220"/>
        <w:gridCol w:w="961"/>
      </w:tblGrid>
      <w:tr>
        <w:trPr/>
        <w:tc>
          <w:tcPr>
            <w:tcW w:w="453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 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Internal-use software</w:t>
            </w:r>
          </w:p>
        </w:tc>
        <w:tc>
          <w:tcPr>
            <w:tcW w:w="283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31,074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23,378</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Computer equipment and software</w:t>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3</w:t>
            </w:r>
            <w:r>
              <w:rPr>
                <w:rFonts w:ascii="Times New Roman" w:hAnsi="Times New Roman"/>
                <w:color w:val="000000"/>
                <w:sz w:val="20"/>
              </w:rPr>
              <w:t> </w:t>
            </w:r>
            <w:r>
              <w:rPr>
                <w:rFonts w:ascii="Arial" w:hAnsi="Arial"/>
                <w:color w:val="000000"/>
                <w:sz w:val="18"/>
              </w:rPr>
              <w:t>- 5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3,907</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Leasehold improvements</w:t>
            </w:r>
          </w:p>
        </w:tc>
        <w:tc>
          <w:tcPr>
            <w:tcW w:w="283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Shorter of lease term or useful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5,456</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Furniture and fixtures</w:t>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904</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property and equipment</w:t>
            </w:r>
          </w:p>
        </w:tc>
        <w:tc>
          <w:tcPr>
            <w:tcW w:w="2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40,875</w:t>
            </w:r>
          </w:p>
        </w:tc>
        <w:tc>
          <w:tcPr>
            <w:tcW w:w="1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6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33,645</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Less: Accumulated depreciation and amortization </w:t>
            </w:r>
            <w:r>
              <w:rPr>
                <w:rFonts w:ascii="Arial" w:hAnsi="Arial"/>
                <w:color w:val="000000"/>
                <w:sz w:val="12"/>
              </w:rPr>
              <w:t>(a)</w:t>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(16,485)</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Property and equipment, net</w:t>
            </w:r>
          </w:p>
        </w:tc>
        <w:tc>
          <w:tcPr>
            <w:tcW w:w="28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22,125</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17,160</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sz w:val="20"/>
        </w:rPr>
      </w:pPr>
      <w:r>
        <w:rPr>
          <w:rFonts w:ascii="Arial" w:hAnsi="Arial"/>
          <w:color w:val="000000"/>
          <w:sz w:val="12"/>
        </w:rPr>
        <w:t>(a)</w:t>
      </w:r>
      <w:r>
        <w:rPr>
          <w:rFonts w:ascii="Times New Roman" w:hAnsi="Times New Roman"/>
          <w:color w:val="000000"/>
          <w:sz w:val="20"/>
        </w:rPr>
        <w:t xml:space="preserve"> </w:t>
      </w:r>
      <w:r>
        <w:rPr>
          <w:rFonts w:ascii="Arial" w:hAnsi="Arial"/>
          <w:color w:val="000000"/>
          <w:sz w:val="16"/>
        </w:rPr>
        <w:t>For the year ended December 31, 2025, accumulated depreciation and amortization expense included $2,418</w:t>
      </w:r>
      <w:r>
        <w:rPr>
          <w:rFonts w:ascii="Times New Roman" w:hAnsi="Times New Roman"/>
          <w:color w:val="000000"/>
          <w:sz w:val="20"/>
        </w:rPr>
        <w:t xml:space="preserve"> </w:t>
      </w:r>
      <w:r>
        <w:rPr>
          <w:rFonts w:ascii="Arial" w:hAnsi="Arial"/>
          <w:color w:val="000000"/>
          <w:sz w:val="16"/>
        </w:rPr>
        <w:t>thousand</w:t>
      </w:r>
      <w:r>
        <w:rPr>
          <w:rFonts w:ascii="Times New Roman" w:hAnsi="Times New Roman"/>
          <w:color w:val="000000"/>
          <w:sz w:val="20"/>
        </w:rPr>
        <w:t xml:space="preserve"> </w:t>
      </w:r>
      <w:r>
        <w:rPr>
          <w:rFonts w:ascii="Arial" w:hAnsi="Arial"/>
          <w:color w:val="000000"/>
          <w:sz w:val="16"/>
        </w:rPr>
        <w:t>of computer disposals</w:t>
      </w:r>
    </w:p>
    <w:p>
      <w:pPr>
        <w:pStyle w:val="TextBody"/>
        <w:bidi w:val="0"/>
        <w:jc w:val="left"/>
        <w:rPr>
          <w:rFonts w:ascii="Times New Roman" w:hAnsi="Times New Roman"/>
          <w:sz w:val="20"/>
        </w:rPr>
      </w:pPr>
      <w:r>
        <w:rPr>
          <w:rFonts w:ascii="Arial" w:hAnsi="Arial"/>
          <w:color w:val="000000"/>
          <w:sz w:val="16"/>
        </w:rPr>
        <w:t>and $1,321</w:t>
      </w:r>
      <w:r>
        <w:rPr>
          <w:rFonts w:ascii="Times New Roman" w:hAnsi="Times New Roman"/>
          <w:color w:val="000000"/>
          <w:sz w:val="20"/>
        </w:rPr>
        <w:t xml:space="preserve"> </w:t>
      </w:r>
      <w:r>
        <w:rPr>
          <w:rFonts w:ascii="Arial" w:hAnsi="Arial"/>
          <w:color w:val="000000"/>
          <w:sz w:val="16"/>
        </w:rPr>
        <w:t>thousand</w:t>
      </w:r>
      <w:r>
        <w:rPr>
          <w:rFonts w:ascii="Times New Roman" w:hAnsi="Times New Roman"/>
          <w:color w:val="000000"/>
          <w:sz w:val="20"/>
        </w:rPr>
        <w:t xml:space="preserve"> </w:t>
      </w:r>
      <w:r>
        <w:rPr>
          <w:rFonts w:ascii="Arial" w:hAnsi="Arial"/>
          <w:color w:val="000000"/>
          <w:sz w:val="16"/>
        </w:rPr>
        <w:t>of foreign currency translation adjustment losses. For the year ended December 31, 2024, accumulated depreciation and amortization expense included $348</w:t>
      </w:r>
      <w:r>
        <w:rPr>
          <w:rFonts w:ascii="Times New Roman" w:hAnsi="Times New Roman"/>
          <w:color w:val="000000"/>
          <w:sz w:val="20"/>
        </w:rPr>
        <w:t xml:space="preserve"> </w:t>
      </w:r>
      <w:r>
        <w:rPr>
          <w:rFonts w:ascii="Arial" w:hAnsi="Arial"/>
          <w:color w:val="000000"/>
          <w:sz w:val="16"/>
        </w:rPr>
        <w:t>thousand</w:t>
      </w:r>
      <w:r>
        <w:rPr>
          <w:rFonts w:ascii="Times New Roman" w:hAnsi="Times New Roman"/>
          <w:color w:val="000000"/>
          <w:sz w:val="20"/>
        </w:rPr>
        <w:t xml:space="preserve"> </w:t>
      </w:r>
      <w:r>
        <w:rPr>
          <w:rFonts w:ascii="Arial" w:hAnsi="Arial"/>
          <w:color w:val="000000"/>
          <w:sz w:val="16"/>
        </w:rPr>
        <w:t>of computer disposals and $1,290</w:t>
      </w:r>
      <w:r>
        <w:rPr>
          <w:rFonts w:ascii="Times New Roman" w:hAnsi="Times New Roman"/>
          <w:color w:val="000000"/>
          <w:sz w:val="20"/>
        </w:rPr>
        <w:t xml:space="preserve"> </w:t>
      </w:r>
      <w:r>
        <w:rPr>
          <w:rFonts w:ascii="Arial" w:hAnsi="Arial"/>
          <w:color w:val="000000"/>
          <w:sz w:val="16"/>
        </w:rPr>
        <w:t>thousand</w:t>
      </w:r>
      <w:r>
        <w:rPr>
          <w:rFonts w:ascii="Times New Roman" w:hAnsi="Times New Roman"/>
          <w:color w:val="000000"/>
          <w:sz w:val="20"/>
        </w:rPr>
        <w:t xml:space="preserve"> </w:t>
      </w:r>
      <w:r>
        <w:rPr>
          <w:rFonts w:ascii="Arial" w:hAnsi="Arial"/>
          <w:color w:val="000000"/>
          <w:sz w:val="16"/>
        </w:rPr>
        <w:t>of foreign currency translation adjustment losses.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Depreciation of property and equipment and amortization of internal-used software was $6.0</w:t>
      </w:r>
      <w:r>
        <w:rPr>
          <w:rFonts w:ascii="Times New Roman" w:hAnsi="Times New Roman"/>
          <w:color w:val="000000"/>
          <w:sz w:val="20"/>
        </w:rPr>
        <w:t xml:space="preserve"> </w:t>
      </w:r>
      <w:r>
        <w:rPr>
          <w:rFonts w:ascii="Arial" w:hAnsi="Arial"/>
          <w:color w:val="000000"/>
          <w:sz w:val="20"/>
        </w:rPr>
        <w:t>million, $5.1</w:t>
      </w:r>
      <w:r>
        <w:rPr>
          <w:rFonts w:ascii="Times New Roman" w:hAnsi="Times New Roman"/>
          <w:color w:val="000000"/>
          <w:sz w:val="20"/>
        </w:rPr>
        <w:t xml:space="preserve"> </w:t>
      </w:r>
      <w:r>
        <w:rPr>
          <w:rFonts w:ascii="Arial" w:hAnsi="Arial"/>
          <w:color w:val="000000"/>
          <w:sz w:val="20"/>
        </w:rPr>
        <w:t>million, and $4.2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years ended December 31, 2025, 2024, and 2023,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The Company capitalized $9.5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$5.2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costs related to internal-use software during the years ended December 31, 2025 and 2024.</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of December 31, 2025 and 2024, the carrying value of internal-used software was $20.2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$15.4</w:t>
      </w:r>
      <w:r>
        <w:rPr>
          <w:rFonts w:ascii="Times New Roman" w:hAnsi="Times New Roman"/>
          <w:color w:val="000000"/>
          <w:sz w:val="20"/>
        </w:rPr>
        <w:t xml:space="preserve"> </w:t>
      </w:r>
      <w:r>
        <w:rPr>
          <w:rFonts w:ascii="Arial" w:hAnsi="Arial"/>
          <w:color w:val="000000"/>
          <w:sz w:val="20"/>
        </w:rPr>
        <w:t>million, respectively. Amortization expense related to internal-used software was $4.8</w:t>
      </w:r>
      <w:r>
        <w:rPr>
          <w:rFonts w:ascii="Times New Roman" w:hAnsi="Times New Roman"/>
          <w:color w:val="000000"/>
          <w:sz w:val="20"/>
        </w:rPr>
        <w:t xml:space="preserve"> </w:t>
      </w:r>
      <w:r>
        <w:rPr>
          <w:rFonts w:ascii="Arial" w:hAnsi="Arial"/>
          <w:color w:val="000000"/>
          <w:sz w:val="20"/>
        </w:rPr>
        <w:t>million, $3.6</w:t>
      </w:r>
      <w:r>
        <w:rPr>
          <w:rFonts w:ascii="Times New Roman" w:hAnsi="Times New Roman"/>
          <w:color w:val="000000"/>
          <w:sz w:val="20"/>
        </w:rPr>
        <w:t xml:space="preserve"> </w:t>
      </w:r>
      <w:r>
        <w:rPr>
          <w:rFonts w:ascii="Arial" w:hAnsi="Arial"/>
          <w:color w:val="000000"/>
          <w:sz w:val="20"/>
        </w:rPr>
        <w:t>million, and $2.9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years ended December 31, 2025, 2024, and 2023,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i/>
          <w:color w:val="000000"/>
          <w:sz w:val="20"/>
        </w:rPr>
        <w:t>Geographic Information</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Company’s property and equipment, net based on geography (in thousands):</w:t>
      </w:r>
    </w:p>
    <w:tbl>
      <w:tblPr>
        <w:tblW w:w="3750" w:type="dxa"/>
        <w:jc w:val="left"/>
        <w:tblInd w:w="0" w:type="dxa"/>
        <w:tblLayout w:type="fixed"/>
        <w:tblCellMar>
          <w:top w:w="28" w:type="dxa"/>
          <w:left w:w="28" w:type="dxa"/>
          <w:bottom w:w="28" w:type="dxa"/>
          <w:right w:w="28" w:type="dxa"/>
        </w:tblCellMar>
      </w:tblPr>
      <w:tblGrid>
        <w:gridCol w:w="1366"/>
        <w:gridCol w:w="256"/>
        <w:gridCol w:w="820"/>
        <w:gridCol w:w="177"/>
        <w:gridCol w:w="256"/>
        <w:gridCol w:w="875"/>
      </w:tblGrid>
      <w:tr>
        <w:trPr/>
        <w:tc>
          <w:tcPr>
            <w:tcW w:w="13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U.S.</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15,903</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U.K.</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countries</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1,204</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22,125</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17,160</w:t>
            </w:r>
          </w:p>
        </w:tc>
      </w:tr>
    </w:tbl>
    <w:p>
      <w:pPr>
        <w:pStyle w:val="TextBody"/>
        <w:bidi w:val="0"/>
        <w:jc w:val="left"/>
        <w:rPr/>
      </w:pPr>
      <w:r>
        <w:rPr/>
        <w:t> </w:t>
      </w:r>
    </w:p>
    <w:p>
      <w:pPr>
        <w:pStyle w:val="TextBody"/>
        <w:bidi w:val="0"/>
        <w:jc w:val="left"/>
        <w:rPr>
          <w:rFonts w:ascii="Arial" w:hAnsi="Arial"/>
          <w:b/>
          <w:color w:val="000000"/>
          <w:sz w:val="20"/>
        </w:rPr>
      </w:pPr>
      <w:bookmarkStart w:id="37" w:name="fn_restr"/>
      <w:bookmarkEnd w:id="37"/>
      <w:r>
        <w:rPr>
          <w:rFonts w:ascii="Arial" w:hAnsi="Arial"/>
          <w:b/>
          <w:color w:val="000000"/>
          <w:sz w:val="20"/>
        </w:rPr>
        <w:t>Note 9. Restructuring</w:t>
      </w:r>
    </w:p>
    <w:p>
      <w:pPr>
        <w:pStyle w:val="TextBody"/>
        <w:bidi w:val="0"/>
        <w:spacing w:before="200" w:after="283"/>
        <w:jc w:val="left"/>
        <w:rPr>
          <w:rFonts w:ascii="Times New Roman" w:hAnsi="Times New Roman"/>
          <w:sz w:val="20"/>
        </w:rPr>
      </w:pPr>
      <w:r>
        <w:rPr>
          <w:rFonts w:ascii="Arial" w:hAnsi="Arial"/>
          <w:color w:val="000000"/>
          <w:sz w:val="20"/>
        </w:rPr>
        <w:t>In February 2025, the Company announced a restructuring plan designed to improve operational efficiencies, reduce operating costs, and better align the Company’s workforce with current business needs, top strategic priorities, and key growth opportunities (collectively, the Restructuring Plan). In connection with the Restructuring Plan, the Company incurred restructuring and restructuring-related charges of $8.7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year ended December 31, 2025, recorded within restructuring expenses on the consolidated statements of operations and comprehensive income (loss), primarily consisting of cash expenditures for severance payments and related expenses of $6.3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 ended December 31, 2025, as well as non-cash expenditures related to acceleration of vesting of share-based awards of $2.4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year ended December 31, 2025. As of December 31, 2025, the accrued restructuring liability was less than $0.1</w:t>
      </w:r>
      <w:r>
        <w:rPr>
          <w:rFonts w:ascii="Times New Roman" w:hAnsi="Times New Roman"/>
          <w:color w:val="000000"/>
          <w:sz w:val="20"/>
        </w:rPr>
        <w:t xml:space="preserve"> </w:t>
      </w:r>
      <w:r>
        <w:rPr>
          <w:rFonts w:ascii="Arial" w:hAnsi="Arial"/>
          <w:color w:val="000000"/>
          <w:sz w:val="20"/>
        </w:rPr>
        <w:t>million, which is included within accrued expenses and other current liabilities in the consolidated balance sheets. Total restructuring costs were complete as of June</w:t>
      </w:r>
      <w:r>
        <w:rPr>
          <w:rFonts w:ascii="Times New Roman" w:hAnsi="Times New Roman"/>
          <w:color w:val="000000"/>
          <w:sz w:val="20"/>
        </w:rPr>
        <w:t xml:space="preserve"> </w:t>
      </w:r>
      <w:r>
        <w:rPr>
          <w:rFonts w:ascii="Arial" w:hAnsi="Arial"/>
          <w:color w:val="000000"/>
          <w:sz w:val="20"/>
        </w:rPr>
        <w:t>30, 2025.</w:t>
      </w:r>
    </w:p>
    <w:p>
      <w:pPr>
        <w:pStyle w:val="TextBody"/>
        <w:bidi w:val="0"/>
        <w:spacing w:before="200" w:after="283"/>
        <w:jc w:val="left"/>
        <w:rPr>
          <w:rFonts w:ascii="Arial" w:hAnsi="Arial"/>
          <w:b/>
          <w:color w:val="000000"/>
          <w:sz w:val="20"/>
        </w:rPr>
      </w:pPr>
      <w:bookmarkStart w:id="38" w:name="note_8"/>
      <w:bookmarkEnd w:id="38"/>
      <w:r>
        <w:rPr>
          <w:rFonts w:ascii="Arial" w:hAnsi="Arial"/>
          <w:b/>
          <w:color w:val="000000"/>
          <w:sz w:val="20"/>
        </w:rPr>
        <w:t>Note 10. Business Combinations</w:t>
      </w:r>
    </w:p>
    <w:p>
      <w:pPr>
        <w:pStyle w:val="TextBody"/>
        <w:bidi w:val="0"/>
        <w:spacing w:before="200" w:after="200"/>
        <w:jc w:val="left"/>
        <w:rPr>
          <w:rFonts w:ascii="Arial" w:hAnsi="Arial"/>
          <w:b/>
          <w:i/>
          <w:color w:val="000000"/>
          <w:sz w:val="20"/>
        </w:rPr>
      </w:pPr>
      <w:r>
        <w:rPr>
          <w:rFonts w:ascii="Arial" w:hAnsi="Arial"/>
          <w:b/>
          <w:i/>
          <w:color w:val="000000"/>
          <w:sz w:val="20"/>
        </w:rPr>
        <w:t>Sertifi</w:t>
      </w:r>
    </w:p>
    <w:p>
      <w:pPr>
        <w:pStyle w:val="TextBody"/>
        <w:bidi w:val="0"/>
        <w:spacing w:before="0" w:after="200"/>
        <w:jc w:val="left"/>
        <w:rPr>
          <w:rFonts w:ascii="Times New Roman" w:hAnsi="Times New Roman"/>
          <w:sz w:val="20"/>
        </w:rPr>
      </w:pPr>
      <w:r>
        <w:rPr>
          <w:rFonts w:ascii="Arial" w:hAnsi="Arial"/>
          <w:color w:val="000000"/>
          <w:sz w:val="20"/>
        </w:rPr>
        <w:t>On February 24, 2025, Flywire acquired all of the issued and outstanding membership interests of Sertifi LLC (Sertifi) for upfront cash consideration of $330.0</w:t>
      </w:r>
      <w:r>
        <w:rPr>
          <w:rFonts w:ascii="Times New Roman" w:hAnsi="Times New Roman"/>
          <w:color w:val="000000"/>
          <w:sz w:val="20"/>
        </w:rPr>
        <w:t xml:space="preserve"> </w:t>
      </w:r>
      <w:r>
        <w:rPr>
          <w:rFonts w:ascii="Arial" w:hAnsi="Arial"/>
          <w:color w:val="000000"/>
          <w:sz w:val="20"/>
        </w:rPr>
        <w:t>million, subject to certain post-closing adjustments set forth in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Purchase and Sale Agreement (the Agreement), and contingent consideration of up to $10.0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upon the completion or satisfaction of certain technical and commercial milestones by Sertifi. Sertifi is a vertical software and payments platform digitizing hospitality-specific workflows and associated payments. The acquisition of Sertifi was intended to accelerate the Company’s travel business and expand Flywire’s offerings to support over 20,000 hotel locations globally.</w:t>
      </w:r>
    </w:p>
    <w:p>
      <w:pPr>
        <w:pStyle w:val="TextBody"/>
        <w:bidi w:val="0"/>
        <w:spacing w:before="0" w:after="200"/>
        <w:jc w:val="left"/>
        <w:rPr>
          <w:rFonts w:ascii="Times New Roman" w:hAnsi="Times New Roman"/>
          <w:sz w:val="20"/>
        </w:rPr>
      </w:pPr>
      <w:r>
        <w:rPr>
          <w:rFonts w:ascii="Arial" w:hAnsi="Arial"/>
          <w:color w:val="000000"/>
          <w:sz w:val="20"/>
        </w:rPr>
        <w:t>The Company paid the upfront cash consideration through a combination of cash on hand and $125.0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borrowed from its existing 2024 Revolving Credit Facility.</w:t>
      </w:r>
    </w:p>
    <w:p>
      <w:pPr>
        <w:pStyle w:val="TextBody"/>
        <w:bidi w:val="0"/>
        <w:spacing w:before="0" w:after="200"/>
        <w:jc w:val="left"/>
        <w:rPr>
          <w:rFonts w:ascii="Times New Roman" w:hAnsi="Times New Roman"/>
          <w:sz w:val="20"/>
        </w:rPr>
      </w:pPr>
      <w:r>
        <w:rPr>
          <w:rFonts w:ascii="Arial" w:hAnsi="Arial"/>
          <w:color w:val="000000"/>
          <w:sz w:val="20"/>
        </w:rPr>
        <w:t>During the second quarter of 2025, the Company completed its purchase accounting. The Company recorded measurement period adjustments that increased Goodwill by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due to changes in acquired intangible assets, contingent consideration, and a working capital adjustment.</w:t>
      </w:r>
    </w:p>
    <w:p>
      <w:pPr>
        <w:pStyle w:val="TextBody"/>
        <w:bidi w:val="0"/>
        <w:spacing w:before="0" w:after="200"/>
        <w:jc w:val="left"/>
        <w:rPr>
          <w:rFonts w:ascii="Times New Roman" w:hAnsi="Times New Roman"/>
          <w:sz w:val="20"/>
        </w:rPr>
      </w:pPr>
      <w:r>
        <w:rPr>
          <w:rFonts w:ascii="Arial" w:hAnsi="Arial"/>
          <w:color w:val="000000"/>
          <w:sz w:val="20"/>
        </w:rPr>
        <w:t>Pursuant to the terms of the Agreement, the Company acquired Sertifi for total purchase consideration of approximately $336.1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or $328.0</w:t>
      </w:r>
      <w:r>
        <w:rPr>
          <w:rFonts w:ascii="Times New Roman" w:hAnsi="Times New Roman"/>
          <w:color w:val="000000"/>
          <w:sz w:val="20"/>
        </w:rPr>
        <w:t xml:space="preserve"> </w:t>
      </w:r>
      <w:r>
        <w:rPr>
          <w:rFonts w:ascii="Arial" w:hAnsi="Arial"/>
          <w:color w:val="000000"/>
          <w:sz w:val="20"/>
        </w:rPr>
        <w:t>million, net of cash acquired, which consisted of (in thousands):</w:t>
      </w:r>
    </w:p>
    <w:tbl>
      <w:tblPr>
        <w:tblW w:w="5268" w:type="dxa"/>
        <w:jc w:val="left"/>
        <w:tblInd w:w="0" w:type="dxa"/>
        <w:tblLayout w:type="fixed"/>
        <w:tblCellMar>
          <w:top w:w="28" w:type="dxa"/>
          <w:left w:w="28" w:type="dxa"/>
          <w:bottom w:w="28" w:type="dxa"/>
          <w:right w:w="28" w:type="dxa"/>
        </w:tblCellMar>
      </w:tblPr>
      <w:tblGrid>
        <w:gridCol w:w="4231"/>
        <w:gridCol w:w="211"/>
        <w:gridCol w:w="826"/>
      </w:tblGrid>
      <w:tr>
        <w:trPr/>
        <w:tc>
          <w:tcPr>
            <w:tcW w:w="4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consideration, net of cash acquired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324,921</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fair value of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3,107</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purchase consideration, net of cash acquired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328,028</w:t>
            </w:r>
          </w:p>
        </w:tc>
      </w:tr>
    </w:tbl>
    <w:p>
      <w:pPr>
        <w:pStyle w:val="TextBody"/>
        <w:bidi w:val="0"/>
        <w:spacing w:before="200" w:after="200"/>
        <w:jc w:val="left"/>
        <w:rPr>
          <w:rFonts w:ascii="Times New Roman" w:hAnsi="Times New Roman"/>
          <w:sz w:val="20"/>
        </w:rPr>
      </w:pPr>
      <w:r>
        <w:rPr>
          <w:rFonts w:ascii="Arial" w:hAnsi="Arial"/>
          <w:color w:val="000000"/>
          <w:sz w:val="20"/>
        </w:rPr>
        <w:t>During the year ended December 31, 2025, the Company paid $5.1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post-closing adjustments. The Agreement provides for contingent consideration of up to $10.0</w:t>
      </w:r>
      <w:r>
        <w:rPr>
          <w:rFonts w:ascii="Times New Roman" w:hAnsi="Times New Roman"/>
          <w:color w:val="000000"/>
          <w:sz w:val="20"/>
        </w:rPr>
        <w:t xml:space="preserve"> </w:t>
      </w:r>
      <w:r>
        <w:rPr>
          <w:rFonts w:ascii="Arial" w:hAnsi="Arial"/>
          <w:color w:val="000000"/>
          <w:sz w:val="20"/>
        </w:rPr>
        <w:t>million, with an estimated fair value of $3.1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on the date of acquisition, and represents additional payments that Flywire may be required to make in the future which are dependent upon the successful achievement of certain targets related to gross profit as well as milestones related to Sertifi's technology and security integration.</w:t>
      </w:r>
    </w:p>
    <w:p>
      <w:pPr>
        <w:pStyle w:val="TextBody"/>
        <w:bidi w:val="0"/>
        <w:spacing w:before="0" w:after="200"/>
        <w:jc w:val="left"/>
        <w:rPr>
          <w:rFonts w:ascii="Times New Roman" w:hAnsi="Times New Roman"/>
          <w:sz w:val="20"/>
        </w:rPr>
      </w:pPr>
      <w:r>
        <w:rPr>
          <w:rFonts w:ascii="Arial" w:hAnsi="Arial"/>
          <w:color w:val="000000"/>
          <w:sz w:val="20"/>
        </w:rPr>
        <w:t>During the year ended December 31, 2025, the Company incurred $2.6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transaction costs in connection with the Sertifi acquisition. These transaction costs are included in general and administrative expenses in the consolidated statements of operations and comprehensive income (loss).</w:t>
      </w:r>
    </w:p>
    <w:p>
      <w:pPr>
        <w:pStyle w:val="TextBody"/>
        <w:bidi w:val="0"/>
        <w:spacing w:before="0" w:after="200"/>
        <w:jc w:val="left"/>
        <w:rPr>
          <w:rFonts w:ascii="Arial" w:hAnsi="Arial"/>
          <w:color w:val="000000"/>
          <w:sz w:val="20"/>
        </w:rPr>
      </w:pPr>
      <w:r>
        <w:rPr>
          <w:rFonts w:ascii="Arial" w:hAnsi="Arial"/>
          <w:color w:val="000000"/>
          <w:sz w:val="20"/>
        </w:rPr>
        <w:t>The table summarizes the allocation of the purchase consideration to the fair value of the assets acquired and liabilities assumed (in thousands):</w:t>
      </w:r>
    </w:p>
    <w:tbl>
      <w:tblPr>
        <w:tblW w:w="4853" w:type="dxa"/>
        <w:jc w:val="left"/>
        <w:tblInd w:w="0" w:type="dxa"/>
        <w:tblLayout w:type="fixed"/>
        <w:tblCellMar>
          <w:top w:w="28" w:type="dxa"/>
          <w:left w:w="28" w:type="dxa"/>
          <w:bottom w:w="28" w:type="dxa"/>
          <w:right w:w="28" w:type="dxa"/>
        </w:tblCellMar>
      </w:tblPr>
      <w:tblGrid>
        <w:gridCol w:w="3616"/>
        <w:gridCol w:w="211"/>
        <w:gridCol w:w="1026"/>
      </w:tblGrid>
      <w:tr>
        <w:trPr/>
        <w:tc>
          <w:tcPr>
            <w:tcW w:w="3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8,109</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6,418</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982</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Identifiable intangible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86,700</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251,569</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assets acquired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354,099</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14,347</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 and 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3,615</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liabilities assumed</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17,962</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acquired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336,137</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cash acquired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8,109</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less cash acquired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328,028</w:t>
            </w:r>
          </w:p>
        </w:tc>
      </w:tr>
    </w:tbl>
    <w:p>
      <w:pPr>
        <w:pStyle w:val="TextBody"/>
        <w:bidi w:val="0"/>
        <w:spacing w:before="200" w:after="200"/>
        <w:jc w:val="left"/>
        <w:rPr>
          <w:rFonts w:ascii="Times New Roman" w:hAnsi="Times New Roman"/>
          <w:sz w:val="20"/>
        </w:rPr>
      </w:pPr>
      <w:r>
        <w:rPr>
          <w:rFonts w:ascii="Arial" w:hAnsi="Arial"/>
          <w:color w:val="000000"/>
          <w:sz w:val="20"/>
        </w:rPr>
        <w:t>The goodwill of $251.6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arising from the acquisition of Sertifi can be attributed to a number of business factors, including an assembled workforce and revenue and cost synergies expected to be realized. Goodwill from this acquisition is deductible for income tax purposes.</w:t>
      </w:r>
    </w:p>
    <w:p>
      <w:pPr>
        <w:pStyle w:val="TextBody"/>
        <w:bidi w:val="0"/>
        <w:spacing w:before="0" w:after="200"/>
        <w:jc w:val="left"/>
        <w:rPr>
          <w:rFonts w:ascii="Arial" w:hAnsi="Arial"/>
          <w:color w:val="000000"/>
          <w:sz w:val="20"/>
        </w:rPr>
      </w:pPr>
      <w:r>
        <w:rPr>
          <w:rFonts w:ascii="Arial" w:hAnsi="Arial"/>
          <w:color w:val="000000"/>
          <w:sz w:val="20"/>
        </w:rPr>
        <w:t>The following table reflects the fair values of the identified intangible assets of Sertifi and their respective weighted-average amortization periods.</w:t>
      </w:r>
    </w:p>
    <w:tbl>
      <w:tblPr>
        <w:tblW w:w="6118" w:type="dxa"/>
        <w:jc w:val="left"/>
        <w:tblInd w:w="0" w:type="dxa"/>
        <w:tblLayout w:type="fixed"/>
        <w:tblCellMar>
          <w:top w:w="28" w:type="dxa"/>
          <w:left w:w="28" w:type="dxa"/>
          <w:bottom w:w="28" w:type="dxa"/>
          <w:right w:w="28" w:type="dxa"/>
        </w:tblCellMar>
      </w:tblPr>
      <w:tblGrid>
        <w:gridCol w:w="2041"/>
        <w:gridCol w:w="313"/>
        <w:gridCol w:w="1007"/>
        <w:gridCol w:w="146"/>
        <w:gridCol w:w="2611"/>
      </w:tblGrid>
      <w:tr>
        <w:trPr/>
        <w:tc>
          <w:tcPr>
            <w:tcW w:w="20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Values</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Weighted-Average</w:t>
              <w:br/>
              <w:t>Amortization Periods (years)</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Acquired relationships</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Developed technology</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Trade name/Trademark</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The results of Sertifi have been included in the consolidated financial statements since the date of the acquisition. Sertifi contributed $26.4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platform revenue and $17.7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transactional revenue during the year ended December 31, 2025. The Company has not disclosed net income or loss since the acquisition date as the business was fully integrated into the consolidated Company's operations and therefore it was impracticable to determine this amount.</w:t>
      </w:r>
    </w:p>
    <w:p>
      <w:pPr>
        <w:pStyle w:val="TextBody"/>
        <w:bidi w:val="0"/>
        <w:spacing w:before="0" w:after="200"/>
        <w:jc w:val="left"/>
        <w:rPr>
          <w:rFonts w:ascii="Arial" w:hAnsi="Arial"/>
          <w:color w:val="000000"/>
          <w:sz w:val="20"/>
        </w:rPr>
      </w:pPr>
      <w:r>
        <w:rPr>
          <w:rFonts w:ascii="Arial" w:hAnsi="Arial"/>
          <w:color w:val="000000"/>
          <w:sz w:val="20"/>
        </w:rPr>
        <w:t>Unaudited Pro Forma Financial Information</w:t>
      </w:r>
    </w:p>
    <w:p>
      <w:pPr>
        <w:pStyle w:val="TextBody"/>
        <w:bidi w:val="0"/>
        <w:spacing w:before="0" w:after="120"/>
        <w:jc w:val="left"/>
        <w:rPr>
          <w:rFonts w:ascii="Arial" w:hAnsi="Arial"/>
          <w:color w:val="000000"/>
          <w:sz w:val="20"/>
        </w:rPr>
      </w:pPr>
      <w:r>
        <w:rPr>
          <w:rFonts w:ascii="Arial" w:hAnsi="Arial"/>
          <w:color w:val="000000"/>
          <w:sz w:val="20"/>
        </w:rPr>
        <w:t>The following unaudited pro forma financial information shows the results of the Company’s operations for the year ended December 31, 2025 and 2024, as if the acquisition had occurred on January 1, 2024.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Sertifi. The unaudited pro forma information reflects the effects of applying the Company’s accounting policies and certain pro forma adjustments to the combined historical financial information of the Company and Sertifi. The pro forma adjustments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incremental amortization expense associated with the fair value of identified intangible assets;</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incremental employee compensation expense for Sertifi employees;</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interest expense for borrowings related to the acquisition;</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transaction costs; and</w:t>
      </w:r>
    </w:p>
    <w:p>
      <w:pPr>
        <w:pStyle w:val="TextBody"/>
        <w:bidi w:val="0"/>
        <w:spacing w:before="60" w:after="200"/>
        <w:jc w:val="left"/>
        <w:rPr>
          <w:color w:val="000000"/>
        </w:rPr>
      </w:pPr>
      <w:r>
        <w:rPr>
          <w:color w:val="000000"/>
        </w:rPr>
        <w:t>•</w:t>
      </w:r>
    </w:p>
    <w:p>
      <w:pPr>
        <w:pStyle w:val="TextBody"/>
        <w:bidi w:val="0"/>
        <w:spacing w:before="60" w:after="200"/>
        <w:jc w:val="left"/>
        <w:rPr>
          <w:rFonts w:ascii="Arial" w:hAnsi="Arial"/>
          <w:color w:val="000000"/>
          <w:sz w:val="20"/>
        </w:rPr>
      </w:pPr>
      <w:r>
        <w:rPr>
          <w:rFonts w:ascii="Arial" w:hAnsi="Arial"/>
          <w:color w:val="000000"/>
          <w:sz w:val="20"/>
        </w:rPr>
        <w:t>the estimated tax impact of the above items.</w:t>
      </w:r>
    </w:p>
    <w:tbl>
      <w:tblPr>
        <w:tblW w:w="6847" w:type="dxa"/>
        <w:jc w:val="left"/>
        <w:tblInd w:w="0" w:type="dxa"/>
        <w:tblLayout w:type="fixed"/>
        <w:tblCellMar>
          <w:top w:w="28" w:type="dxa"/>
          <w:left w:w="28" w:type="dxa"/>
          <w:bottom w:w="28" w:type="dxa"/>
          <w:right w:w="28" w:type="dxa"/>
        </w:tblCellMar>
      </w:tblPr>
      <w:tblGrid>
        <w:gridCol w:w="1051"/>
        <w:gridCol w:w="277"/>
        <w:gridCol w:w="1028"/>
        <w:gridCol w:w="192"/>
        <w:gridCol w:w="277"/>
        <w:gridCol w:w="1028"/>
        <w:gridCol w:w="146"/>
        <w:gridCol w:w="276"/>
        <w:gridCol w:w="1023"/>
        <w:gridCol w:w="191"/>
        <w:gridCol w:w="276"/>
        <w:gridCol w:w="1082"/>
      </w:tblGrid>
      <w:tr>
        <w:trPr/>
        <w:tc>
          <w:tcPr>
            <w:tcW w:w="10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2024</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 Forma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 Forma</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623,025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529,771</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(7,302)</w:t>
            </w:r>
          </w:p>
        </w:tc>
      </w:tr>
    </w:tbl>
    <w:p>
      <w:pPr>
        <w:pStyle w:val="TextBody"/>
        <w:bidi w:val="0"/>
        <w:spacing w:before="200" w:after="283"/>
        <w:jc w:val="left"/>
        <w:rPr>
          <w:rFonts w:ascii="Arial" w:hAnsi="Arial"/>
          <w:b/>
          <w:i/>
          <w:color w:val="000000"/>
          <w:sz w:val="20"/>
        </w:rPr>
      </w:pPr>
      <w:r>
        <w:rPr>
          <w:rFonts w:ascii="Arial" w:hAnsi="Arial"/>
          <w:b/>
          <w:i/>
          <w:color w:val="000000"/>
          <w:sz w:val="20"/>
        </w:rPr>
        <w:t>Invoiced</w:t>
      </w:r>
    </w:p>
    <w:p>
      <w:pPr>
        <w:pStyle w:val="TextBody"/>
        <w:bidi w:val="0"/>
        <w:spacing w:before="200" w:after="283"/>
        <w:jc w:val="left"/>
        <w:rPr>
          <w:rFonts w:ascii="Arial" w:hAnsi="Arial"/>
          <w:color w:val="000000"/>
          <w:sz w:val="20"/>
        </w:rPr>
      </w:pPr>
      <w:r>
        <w:rPr>
          <w:rFonts w:ascii="Arial" w:hAnsi="Arial"/>
          <w:color w:val="000000"/>
          <w:sz w:val="20"/>
        </w:rPr>
        <w:t>On August 2, 2024, Flywire acquired all of the issued and outstanding shares of Invoiced, a U.S.-based software-as-a-service (SaaS) B2B company that provides accounts receivable software that automates all aspects of billing, collections, payments, reporting and forecasting within a single online platform. The acquisition of Invoiced was intended to accelerate the Company's global expansion in its B2B vertical. The acquisition of Invoiced has been accounted for as a business combination.</w:t>
      </w:r>
    </w:p>
    <w:p>
      <w:pPr>
        <w:pStyle w:val="TextBody"/>
        <w:bidi w:val="0"/>
        <w:spacing w:before="200" w:after="200"/>
        <w:jc w:val="left"/>
        <w:rPr>
          <w:rFonts w:ascii="Times New Roman" w:hAnsi="Times New Roman"/>
          <w:sz w:val="20"/>
        </w:rPr>
      </w:pPr>
      <w:r>
        <w:rPr>
          <w:rFonts w:ascii="Arial" w:hAnsi="Arial"/>
          <w:color w:val="000000"/>
          <w:sz w:val="20"/>
        </w:rPr>
        <w:t>During the fourth quarter of 2024, the cash consideration, net of cash acquired and the purchase price allocation was adjusted to reflect a working capital true-up. This resulted in a $0.1</w:t>
      </w:r>
      <w:r>
        <w:rPr>
          <w:rFonts w:ascii="Times New Roman" w:hAnsi="Times New Roman"/>
          <w:color w:val="000000"/>
          <w:sz w:val="20"/>
        </w:rPr>
        <w:t xml:space="preserve"> </w:t>
      </w:r>
      <w:r>
        <w:rPr>
          <w:rFonts w:ascii="Arial" w:hAnsi="Arial"/>
          <w:color w:val="000000"/>
          <w:sz w:val="20"/>
        </w:rPr>
        <w:t>million decrease in the cash consideration, net of cash acquired and a $0.1</w:t>
      </w:r>
      <w:r>
        <w:rPr>
          <w:rFonts w:ascii="Times New Roman" w:hAnsi="Times New Roman"/>
          <w:color w:val="000000"/>
          <w:sz w:val="20"/>
        </w:rPr>
        <w:t xml:space="preserve"> </w:t>
      </w:r>
      <w:r>
        <w:rPr>
          <w:rFonts w:ascii="Arial" w:hAnsi="Arial"/>
          <w:color w:val="000000"/>
          <w:sz w:val="20"/>
        </w:rPr>
        <w:t>million decrease to goodwill. The adjusted purchase price allocation is reflected in the consolidated balance sheet as of December 31, 2024 and purchase price allocation below.</w:t>
      </w:r>
    </w:p>
    <w:p>
      <w:pPr>
        <w:pStyle w:val="TextBody"/>
        <w:bidi w:val="0"/>
        <w:spacing w:before="0" w:after="200"/>
        <w:jc w:val="left"/>
        <w:rPr>
          <w:rFonts w:ascii="Times New Roman" w:hAnsi="Times New Roman"/>
          <w:sz w:val="20"/>
        </w:rPr>
      </w:pPr>
      <w:r>
        <w:rPr>
          <w:rFonts w:ascii="Arial" w:hAnsi="Arial"/>
          <w:color w:val="000000"/>
          <w:sz w:val="20"/>
        </w:rPr>
        <w:t>Pursuant to the terms of the business combination agreement, the Company acquired Invoiced for estimated total purchase consideration of approximately $53.2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or $51.7</w:t>
      </w:r>
      <w:r>
        <w:rPr>
          <w:rFonts w:ascii="Times New Roman" w:hAnsi="Times New Roman"/>
          <w:color w:val="000000"/>
          <w:sz w:val="20"/>
        </w:rPr>
        <w:t xml:space="preserve"> </w:t>
      </w:r>
      <w:r>
        <w:rPr>
          <w:rFonts w:ascii="Arial" w:hAnsi="Arial"/>
          <w:color w:val="000000"/>
          <w:sz w:val="20"/>
        </w:rPr>
        <w:t>million, net of cash acquired, which consisted of (in thousands):</w:t>
      </w:r>
    </w:p>
    <w:tbl>
      <w:tblPr>
        <w:tblW w:w="5163" w:type="dxa"/>
        <w:jc w:val="left"/>
        <w:tblInd w:w="0" w:type="dxa"/>
        <w:tblLayout w:type="fixed"/>
        <w:tblCellMar>
          <w:top w:w="28" w:type="dxa"/>
          <w:left w:w="28" w:type="dxa"/>
          <w:bottom w:w="28" w:type="dxa"/>
          <w:right w:w="28" w:type="dxa"/>
        </w:tblCellMar>
      </w:tblPr>
      <w:tblGrid>
        <w:gridCol w:w="4231"/>
        <w:gridCol w:w="211"/>
        <w:gridCol w:w="721"/>
      </w:tblGrid>
      <w:tr>
        <w:trPr/>
        <w:tc>
          <w:tcPr>
            <w:tcW w:w="4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consideration, net of cash acquired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47,229</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fair value of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purchase consideration, net of cash acquired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51,737</w:t>
            </w:r>
          </w:p>
        </w:tc>
      </w:tr>
    </w:tbl>
    <w:p>
      <w:pPr>
        <w:pStyle w:val="TextBody"/>
        <w:bidi w:val="0"/>
        <w:spacing w:before="200" w:after="200"/>
        <w:jc w:val="left"/>
        <w:rPr>
          <w:rFonts w:ascii="Times New Roman" w:hAnsi="Times New Roman"/>
          <w:sz w:val="20"/>
        </w:rPr>
      </w:pPr>
      <w:r>
        <w:rPr>
          <w:rFonts w:ascii="Arial" w:hAnsi="Arial"/>
          <w:color w:val="000000"/>
          <w:sz w:val="20"/>
        </w:rPr>
        <w:t>The purchase consideration included $2.0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acquisition holdback payments payable to former Invoiced shareholders in the absence of pending claims, $1.0</w:t>
      </w:r>
      <w:r>
        <w:rPr>
          <w:rFonts w:ascii="Times New Roman" w:hAnsi="Times New Roman"/>
          <w:color w:val="000000"/>
          <w:sz w:val="20"/>
        </w:rPr>
        <w:t xml:space="preserve"> </w:t>
      </w:r>
      <w:r>
        <w:rPr>
          <w:rFonts w:ascii="Arial" w:hAnsi="Arial"/>
          <w:color w:val="000000"/>
          <w:sz w:val="20"/>
        </w:rPr>
        <w:t>million on each of the first and second anniversary dates of the acquisition. During the year ended December 31, 2025, the Company released the first anniversary holdback amount of $1.0</w:t>
      </w:r>
      <w:r>
        <w:rPr>
          <w:rFonts w:ascii="Times New Roman" w:hAnsi="Times New Roman"/>
          <w:color w:val="000000"/>
          <w:sz w:val="20"/>
        </w:rPr>
        <w:t xml:space="preserve"> </w:t>
      </w:r>
      <w:r>
        <w:rPr>
          <w:rFonts w:ascii="Arial" w:hAnsi="Arial"/>
          <w:color w:val="000000"/>
          <w:sz w:val="20"/>
        </w:rPr>
        <w:t>million.</w:t>
      </w:r>
    </w:p>
    <w:p>
      <w:pPr>
        <w:pStyle w:val="TextBody"/>
        <w:bidi w:val="0"/>
        <w:jc w:val="left"/>
        <w:rPr>
          <w:rFonts w:ascii="Times New Roman" w:hAnsi="Times New Roman"/>
          <w:sz w:val="20"/>
        </w:rPr>
      </w:pPr>
      <w:r>
        <w:rPr>
          <w:rFonts w:ascii="Arial" w:hAnsi="Arial"/>
          <w:color w:val="000000"/>
          <w:sz w:val="20"/>
        </w:rPr>
        <w:t>The business combination agreement provides for contingent consideration of up to $7.5</w:t>
      </w:r>
      <w:r>
        <w:rPr>
          <w:rFonts w:ascii="Times New Roman" w:hAnsi="Times New Roman"/>
          <w:color w:val="000000"/>
          <w:sz w:val="20"/>
        </w:rPr>
        <w:t xml:space="preserve"> </w:t>
      </w:r>
      <w:r>
        <w:rPr>
          <w:rFonts w:ascii="Arial" w:hAnsi="Arial"/>
          <w:color w:val="000000"/>
          <w:sz w:val="20"/>
        </w:rPr>
        <w:t>million, with an estimated fair value of $4.5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on the date of acquisition, and represents additional payments that Flywire may be required to make in the future which are dependent upon the successful achievement of certain targets related to revenue and cross-selling of the Invoiced software as well as milestones related to the Invoiced software product and security and IT integration. As of December 31, 2025, there were no remaining contingent consideration milestones outstanding. During the year ended December 31, 2025, the Company paid $2.6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the product and security and IT integration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milestones being achieved. During the year ended December 31, 2024, the Company paid $1.1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a product integration milestone achieved.</w:t>
      </w:r>
    </w:p>
    <w:p>
      <w:pPr>
        <w:pStyle w:val="TextBody"/>
        <w:bidi w:val="0"/>
        <w:spacing w:before="200" w:after="283"/>
        <w:jc w:val="left"/>
        <w:rPr>
          <w:rFonts w:ascii="Times New Roman" w:hAnsi="Times New Roman"/>
          <w:sz w:val="20"/>
        </w:rPr>
      </w:pPr>
      <w:r>
        <w:rPr>
          <w:rFonts w:ascii="Arial" w:hAnsi="Arial"/>
          <w:color w:val="000000"/>
          <w:sz w:val="20"/>
        </w:rPr>
        <w:t>During the year ended December 31, 2024, the Company incurred $0.6</w:t>
      </w:r>
      <w:r>
        <w:rPr>
          <w:rFonts w:ascii="Times New Roman" w:hAnsi="Times New Roman"/>
          <w:color w:val="000000"/>
          <w:sz w:val="20"/>
        </w:rPr>
        <w:t xml:space="preserve"> </w:t>
      </w:r>
      <w:r>
        <w:rPr>
          <w:rFonts w:ascii="Arial" w:hAnsi="Arial"/>
          <w:color w:val="000000"/>
          <w:sz w:val="20"/>
        </w:rPr>
        <w:t>million in transaction costs in connection with the Invoiced acquisition, which are included in general and administrative expenses in the consolidated statements of operations and comprehensive income (loss).</w:t>
      </w:r>
    </w:p>
    <w:p>
      <w:pPr>
        <w:pStyle w:val="TextBody"/>
        <w:bidi w:val="0"/>
        <w:spacing w:before="200" w:after="200"/>
        <w:jc w:val="left"/>
        <w:rPr>
          <w:rFonts w:ascii="Arial" w:hAnsi="Arial"/>
          <w:color w:val="000000"/>
          <w:sz w:val="20"/>
        </w:rPr>
      </w:pPr>
      <w:r>
        <w:rPr>
          <w:rFonts w:ascii="Arial" w:hAnsi="Arial"/>
          <w:color w:val="000000"/>
          <w:sz w:val="20"/>
        </w:rPr>
        <w:t>The table summarizes the allocation of the purchase consideration to the assets acquired and liabilities assumed (in thousands):</w:t>
      </w:r>
    </w:p>
    <w:tbl>
      <w:tblPr>
        <w:tblW w:w="4748" w:type="dxa"/>
        <w:jc w:val="left"/>
        <w:tblInd w:w="0" w:type="dxa"/>
        <w:tblLayout w:type="fixed"/>
        <w:tblCellMar>
          <w:top w:w="28" w:type="dxa"/>
          <w:left w:w="28" w:type="dxa"/>
          <w:bottom w:w="28" w:type="dxa"/>
          <w:right w:w="28" w:type="dxa"/>
        </w:tblCellMar>
      </w:tblPr>
      <w:tblGrid>
        <w:gridCol w:w="3616"/>
        <w:gridCol w:w="211"/>
        <w:gridCol w:w="921"/>
      </w:tblGrid>
      <w:tr>
        <w:trPr/>
        <w:tc>
          <w:tcPr>
            <w:tcW w:w="3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1,418</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Identifiable 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26,100</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31,818</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assets acquired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59,566</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4,923</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1,037</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 and accrued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liabilities assumed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6,411</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acquired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53,155</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cash acquired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1,418</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less cash acquired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51,737</w:t>
            </w:r>
          </w:p>
        </w:tc>
      </w:tr>
    </w:tbl>
    <w:p>
      <w:pPr>
        <w:pStyle w:val="TextBody"/>
        <w:bidi w:val="0"/>
        <w:spacing w:before="200" w:after="283"/>
        <w:jc w:val="left"/>
        <w:rPr>
          <w:rFonts w:ascii="Times New Roman" w:hAnsi="Times New Roman"/>
          <w:sz w:val="20"/>
        </w:rPr>
      </w:pPr>
      <w:r>
        <w:rPr>
          <w:rFonts w:ascii="Arial" w:hAnsi="Arial"/>
          <w:color w:val="000000"/>
          <w:sz w:val="20"/>
        </w:rPr>
        <w:t>The goodwill of $31.8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arising from the acquisition of Invoiced can be attributed to a number of business factors, including an assembled workforce and the revenue and cost synergies expected to be realized. No</w:t>
      </w:r>
      <w:r>
        <w:rPr>
          <w:rFonts w:ascii="Times New Roman" w:hAnsi="Times New Roman"/>
          <w:color w:val="000000"/>
          <w:sz w:val="20"/>
        </w:rPr>
        <w:t xml:space="preserve"> </w:t>
      </w:r>
      <w:r>
        <w:rPr>
          <w:rFonts w:ascii="Arial" w:hAnsi="Arial"/>
          <w:color w:val="000000"/>
          <w:sz w:val="20"/>
        </w:rPr>
        <w:t>goodwill from this acquisition will be deductible for income tax purposes.</w:t>
      </w:r>
    </w:p>
    <w:p>
      <w:pPr>
        <w:pStyle w:val="TextBody"/>
        <w:bidi w:val="0"/>
        <w:spacing w:before="200" w:after="200"/>
        <w:jc w:val="left"/>
        <w:rPr>
          <w:rFonts w:ascii="Arial" w:hAnsi="Arial"/>
          <w:color w:val="000000"/>
          <w:sz w:val="20"/>
        </w:rPr>
      </w:pPr>
      <w:r>
        <w:rPr>
          <w:rFonts w:ascii="Arial" w:hAnsi="Arial"/>
          <w:color w:val="000000"/>
          <w:sz w:val="20"/>
        </w:rPr>
        <w:t>The following table reflects the fair values of the identified intangible assets of Invoiced and their respective weighted-average amortization periods.</w:t>
      </w:r>
    </w:p>
    <w:tbl>
      <w:tblPr>
        <w:tblW w:w="6118" w:type="dxa"/>
        <w:jc w:val="left"/>
        <w:tblInd w:w="0" w:type="dxa"/>
        <w:tblLayout w:type="fixed"/>
        <w:tblCellMar>
          <w:top w:w="28" w:type="dxa"/>
          <w:left w:w="28" w:type="dxa"/>
          <w:bottom w:w="28" w:type="dxa"/>
          <w:right w:w="28" w:type="dxa"/>
        </w:tblCellMar>
      </w:tblPr>
      <w:tblGrid>
        <w:gridCol w:w="2041"/>
        <w:gridCol w:w="313"/>
        <w:gridCol w:w="1007"/>
        <w:gridCol w:w="146"/>
        <w:gridCol w:w="2611"/>
      </w:tblGrid>
      <w:tr>
        <w:trPr/>
        <w:tc>
          <w:tcPr>
            <w:tcW w:w="20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Values</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Weighted-Average</w:t>
              <w:br/>
              <w:t>Amortization Periods (years)</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Acquired relationships</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Developed technology</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Trade name/Trademark</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sz w:val="20"/>
        </w:rPr>
      </w:pPr>
      <w:r>
        <w:rPr>
          <w:rFonts w:ascii="Arial" w:hAnsi="Arial"/>
          <w:color w:val="000000"/>
          <w:sz w:val="20"/>
        </w:rPr>
        <w:t>The results of Invoiced have been included in the consolidated financial statements since the date of the acquisition. Invoiced contributed $2.4</w:t>
      </w:r>
      <w:r>
        <w:rPr>
          <w:rFonts w:ascii="Times New Roman" w:hAnsi="Times New Roman"/>
          <w:color w:val="000000"/>
          <w:sz w:val="20"/>
        </w:rPr>
        <w:t xml:space="preserve"> </w:t>
      </w:r>
      <w:r>
        <w:rPr>
          <w:rFonts w:ascii="Arial" w:hAnsi="Arial"/>
          <w:color w:val="000000"/>
          <w:sz w:val="20"/>
        </w:rPr>
        <w:t>million in platform revenue during the year ended December 31, 2024. The Company has not disclosed net income or loss since the acquisition date as the business was fully integrated into the consolidated Company's operations and therefore it was impracticable to determine this amount.</w:t>
      </w:r>
    </w:p>
    <w:p>
      <w:pPr>
        <w:pStyle w:val="TextBody"/>
        <w:bidi w:val="0"/>
        <w:spacing w:before="200" w:after="283"/>
        <w:jc w:val="left"/>
        <w:rPr>
          <w:rFonts w:ascii="Arial" w:hAnsi="Arial"/>
          <w:color w:val="000000"/>
          <w:sz w:val="20"/>
        </w:rPr>
      </w:pPr>
      <w:r>
        <w:rPr>
          <w:rFonts w:ascii="Arial" w:hAnsi="Arial"/>
          <w:color w:val="000000"/>
          <w:sz w:val="20"/>
        </w:rPr>
        <w:t>Unaudited Pro Forma Financial Information</w:t>
      </w:r>
    </w:p>
    <w:p>
      <w:pPr>
        <w:pStyle w:val="TextBody"/>
        <w:bidi w:val="0"/>
        <w:spacing w:before="200" w:after="120"/>
        <w:jc w:val="left"/>
        <w:rPr>
          <w:rFonts w:ascii="Arial" w:hAnsi="Arial"/>
          <w:color w:val="000000"/>
          <w:sz w:val="20"/>
        </w:rPr>
      </w:pPr>
      <w:r>
        <w:rPr>
          <w:rFonts w:ascii="Arial" w:hAnsi="Arial"/>
          <w:color w:val="000000"/>
          <w:sz w:val="20"/>
        </w:rPr>
        <w:t>The following unaudited pro forma financial information shows the results of the Company’s operations for the years ended December 31, 2024 and 2023 as if the acquisition had occurred on January 1, 2023.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Invoiced. The unaudited pro forma information reflects the effects of applying the Company’s accounting policies and certain pro forma adjustments to the combined historical financial information of the Company and Invoiced. The pro forma adjustments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incremental amortization expense associated with the estimated fair value of identified intangible assets;</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 xml:space="preserve">incremental employee compensation expense for Invoiced employees; </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transaction costs; and</w:t>
      </w:r>
    </w:p>
    <w:p>
      <w:pPr>
        <w:pStyle w:val="TextBody"/>
        <w:bidi w:val="0"/>
        <w:spacing w:before="60" w:after="200"/>
        <w:jc w:val="left"/>
        <w:rPr>
          <w:color w:val="000000"/>
        </w:rPr>
      </w:pPr>
      <w:r>
        <w:rPr>
          <w:color w:val="000000"/>
        </w:rPr>
        <w:t>•</w:t>
      </w:r>
    </w:p>
    <w:p>
      <w:pPr>
        <w:pStyle w:val="TextBody"/>
        <w:bidi w:val="0"/>
        <w:spacing w:before="60" w:after="200"/>
        <w:jc w:val="left"/>
        <w:rPr>
          <w:rFonts w:ascii="Arial" w:hAnsi="Arial"/>
          <w:color w:val="000000"/>
          <w:sz w:val="20"/>
        </w:rPr>
      </w:pPr>
      <w:r>
        <w:rPr>
          <w:rFonts w:ascii="Arial" w:hAnsi="Arial"/>
          <w:color w:val="000000"/>
          <w:sz w:val="20"/>
        </w:rPr>
        <w:t>the estimated tax impact of the above items.</w:t>
      </w:r>
    </w:p>
    <w:p>
      <w:pPr>
        <w:pStyle w:val="TextBody"/>
        <w:bidi w:val="0"/>
        <w:spacing w:before="120" w:after="283"/>
        <w:jc w:val="center"/>
        <w:rPr>
          <w:rFonts w:ascii="Arial" w:hAnsi="Arial"/>
          <w:color w:val="000000"/>
          <w:sz w:val="20"/>
        </w:rPr>
      </w:pPr>
      <w:r>
        <w:rPr>
          <w:rFonts w:ascii="Arial" w:hAnsi="Arial"/>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342" w:type="dxa"/>
        <w:jc w:val="left"/>
        <w:tblInd w:w="0" w:type="dxa"/>
        <w:tblLayout w:type="fixed"/>
        <w:tblCellMar>
          <w:top w:w="28" w:type="dxa"/>
          <w:left w:w="28" w:type="dxa"/>
          <w:bottom w:w="28" w:type="dxa"/>
          <w:right w:w="28" w:type="dxa"/>
        </w:tblCellMar>
      </w:tblPr>
      <w:tblGrid>
        <w:gridCol w:w="1546"/>
        <w:gridCol w:w="277"/>
        <w:gridCol w:w="1028"/>
        <w:gridCol w:w="192"/>
        <w:gridCol w:w="277"/>
        <w:gridCol w:w="1028"/>
        <w:gridCol w:w="146"/>
        <w:gridCol w:w="274"/>
        <w:gridCol w:w="1016"/>
        <w:gridCol w:w="190"/>
        <w:gridCol w:w="274"/>
        <w:gridCol w:w="1094"/>
      </w:tblGrid>
      <w:tr>
        <w:trPr/>
        <w:tc>
          <w:tcPr>
            <w:tcW w:w="15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2023</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 Forma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 Forma</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5"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492,144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403,094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408,325</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income/(loss)</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(11,233)</w:t>
            </w:r>
          </w:p>
        </w:tc>
      </w:tr>
    </w:tbl>
    <w:p>
      <w:pPr>
        <w:pStyle w:val="TextBody"/>
        <w:bidi w:val="0"/>
        <w:spacing w:before="200" w:after="283"/>
        <w:jc w:val="left"/>
        <w:rPr>
          <w:rFonts w:ascii="Arial" w:hAnsi="Arial"/>
          <w:b/>
          <w:i/>
          <w:color w:val="000000"/>
          <w:sz w:val="20"/>
        </w:rPr>
      </w:pPr>
      <w:r>
        <w:rPr>
          <w:rFonts w:ascii="Arial" w:hAnsi="Arial"/>
          <w:b/>
          <w:i/>
          <w:color w:val="000000"/>
          <w:sz w:val="20"/>
        </w:rPr>
        <w:t>StudyLink</w:t>
      </w:r>
    </w:p>
    <w:p>
      <w:pPr>
        <w:pStyle w:val="TextBody"/>
        <w:bidi w:val="0"/>
        <w:spacing w:before="200" w:after="283"/>
        <w:jc w:val="left"/>
        <w:rPr>
          <w:rFonts w:ascii="Arial" w:hAnsi="Arial"/>
          <w:color w:val="000000"/>
          <w:sz w:val="20"/>
        </w:rPr>
      </w:pPr>
      <w:r>
        <w:rPr>
          <w:rFonts w:ascii="Arial" w:hAnsi="Arial"/>
          <w:color w:val="000000"/>
          <w:sz w:val="20"/>
        </w:rPr>
        <w:t>On November 3, 2023, Flywire, through one of its Australian subsidiaries Flywire Pacific Pty Ltd., acquired all of the issued and outstanding shares of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the Company's growth in the Australian higher education market and enhance the Company's value proposition to payers, universities and agents in the higher education ecosystem. The acquisition of StudyLink has been accounted for as a business combination.</w:t>
      </w:r>
    </w:p>
    <w:p>
      <w:pPr>
        <w:pStyle w:val="TextBody"/>
        <w:bidi w:val="0"/>
        <w:spacing w:before="200" w:after="283"/>
        <w:jc w:val="left"/>
        <w:rPr>
          <w:rFonts w:ascii="Arial" w:hAnsi="Arial"/>
          <w:color w:val="000000"/>
          <w:sz w:val="20"/>
        </w:rPr>
      </w:pPr>
      <w:r>
        <w:rPr>
          <w:rFonts w:ascii="Arial" w:hAnsi="Arial"/>
          <w:color w:val="000000"/>
          <w:sz w:val="20"/>
        </w:rPr>
        <w:t>During the first quarter of 2024, the Company completed its purchase accounting and recorded an immaterial net working capital adjustment.</w:t>
      </w:r>
    </w:p>
    <w:p>
      <w:pPr>
        <w:pStyle w:val="TextBody"/>
        <w:bidi w:val="0"/>
        <w:spacing w:before="200" w:after="200"/>
        <w:jc w:val="left"/>
        <w:rPr>
          <w:rFonts w:ascii="Times New Roman" w:hAnsi="Times New Roman"/>
          <w:sz w:val="20"/>
        </w:rPr>
      </w:pPr>
      <w:r>
        <w:rPr>
          <w:rFonts w:ascii="Arial" w:hAnsi="Arial"/>
          <w:color w:val="000000"/>
          <w:sz w:val="20"/>
        </w:rPr>
        <w:t>Pursuant to the terms of the business combination agreement, the Company acquired StudyLink for estimated total purchase consideration of approximately $37.6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or $35.5</w:t>
      </w:r>
      <w:r>
        <w:rPr>
          <w:rFonts w:ascii="Times New Roman" w:hAnsi="Times New Roman"/>
          <w:color w:val="000000"/>
          <w:sz w:val="20"/>
        </w:rPr>
        <w:t xml:space="preserve"> </w:t>
      </w:r>
      <w:r>
        <w:rPr>
          <w:rFonts w:ascii="Arial" w:hAnsi="Arial"/>
          <w:color w:val="000000"/>
          <w:sz w:val="20"/>
        </w:rPr>
        <w:t>million, net of cash acquired, which consisted of (in thousands):</w:t>
      </w:r>
    </w:p>
    <w:tbl>
      <w:tblPr>
        <w:tblW w:w="5163" w:type="dxa"/>
        <w:jc w:val="left"/>
        <w:tblInd w:w="0" w:type="dxa"/>
        <w:tblLayout w:type="fixed"/>
        <w:tblCellMar>
          <w:top w:w="28" w:type="dxa"/>
          <w:left w:w="28" w:type="dxa"/>
          <w:bottom w:w="28" w:type="dxa"/>
          <w:right w:w="28" w:type="dxa"/>
        </w:tblCellMar>
      </w:tblPr>
      <w:tblGrid>
        <w:gridCol w:w="4231"/>
        <w:gridCol w:w="211"/>
        <w:gridCol w:w="721"/>
      </w:tblGrid>
      <w:tr>
        <w:trPr/>
        <w:tc>
          <w:tcPr>
            <w:tcW w:w="4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consideration, net of cash acquired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32,764</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Estimated fair value of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2,701</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purchase consideration, net of cash acquired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35,465</w:t>
            </w:r>
          </w:p>
        </w:tc>
      </w:tr>
    </w:tbl>
    <w:p>
      <w:pPr>
        <w:pStyle w:val="TextBody"/>
        <w:bidi w:val="0"/>
        <w:spacing w:before="200" w:after="283"/>
        <w:jc w:val="left"/>
        <w:rPr>
          <w:rFonts w:ascii="Times New Roman" w:hAnsi="Times New Roman"/>
          <w:sz w:val="20"/>
        </w:rPr>
      </w:pPr>
      <w:r>
        <w:rPr>
          <w:rFonts w:ascii="Arial" w:hAnsi="Arial"/>
          <w:color w:val="000000"/>
          <w:sz w:val="20"/>
        </w:rPr>
        <w:t>The business combination agreement provides for contingent consideration up to $3.9</w:t>
      </w:r>
      <w:r>
        <w:rPr>
          <w:rFonts w:ascii="Times New Roman" w:hAnsi="Times New Roman"/>
          <w:color w:val="000000"/>
          <w:sz w:val="20"/>
        </w:rPr>
        <w:t xml:space="preserve"> </w:t>
      </w:r>
      <w:r>
        <w:rPr>
          <w:rFonts w:ascii="Arial" w:hAnsi="Arial"/>
          <w:color w:val="000000"/>
          <w:sz w:val="20"/>
        </w:rPr>
        <w:t>million, with an estimated fair value of $2.7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on the date of acquisition, and represents additional payments that Flywire may be required to make in the future which are dependent upon StudyLink's successful achievement of revenue, volume, cross-selling and engineering implementation milestones and is subject to exchange rate fluctuation adjustment between the U.S. Dollar and Australian Dollar. A portion of contingent consideration can be paid in the form of cash or shares of common stock, at the Company's option. As of December 31, 2025, there were no remaining contingent consideration milestones outstanding.</w:t>
      </w:r>
    </w:p>
    <w:p>
      <w:pPr>
        <w:pStyle w:val="TextBody"/>
        <w:bidi w:val="0"/>
        <w:spacing w:before="200" w:after="283"/>
        <w:jc w:val="left"/>
        <w:rPr>
          <w:rFonts w:ascii="Times New Roman" w:hAnsi="Times New Roman"/>
          <w:sz w:val="20"/>
        </w:rPr>
      </w:pPr>
      <w:r>
        <w:rPr>
          <w:rFonts w:ascii="Arial" w:hAnsi="Arial"/>
          <w:color w:val="000000"/>
          <w:sz w:val="20"/>
        </w:rPr>
        <w:t>Additional payments in the form of shares of common stock will be made based on the continuing employment of a key employee; accordingly, the fair value of $2.4</w:t>
      </w:r>
      <w:r>
        <w:rPr>
          <w:rFonts w:ascii="Times New Roman" w:hAnsi="Times New Roman"/>
          <w:color w:val="000000"/>
          <w:sz w:val="20"/>
        </w:rPr>
        <w:t xml:space="preserve"> </w:t>
      </w:r>
      <w:r>
        <w:rPr>
          <w:rFonts w:ascii="Arial" w:hAnsi="Arial"/>
          <w:color w:val="000000"/>
          <w:sz w:val="20"/>
        </w:rPr>
        <w:t>million, or approximately 84,000</w:t>
      </w:r>
      <w:r>
        <w:rPr>
          <w:rFonts w:ascii="Times New Roman" w:hAnsi="Times New Roman"/>
          <w:color w:val="000000"/>
          <w:sz w:val="20"/>
        </w:rPr>
        <w:t xml:space="preserve"> </w:t>
      </w:r>
      <w:r>
        <w:rPr>
          <w:rFonts w:ascii="Arial" w:hAnsi="Arial"/>
          <w:color w:val="000000"/>
          <w:sz w:val="20"/>
        </w:rPr>
        <w:t>shares of common stock, have been excluded from the purchase consideration. These shares were fixed on the date of acquisition and payable only in common stock, therefore are equity-classified. During the years ended December 31, 2025, 2024, and 2023, the Company expensed $1.0</w:t>
      </w:r>
      <w:r>
        <w:rPr>
          <w:rFonts w:ascii="Times New Roman" w:hAnsi="Times New Roman"/>
          <w:color w:val="000000"/>
          <w:sz w:val="20"/>
        </w:rPr>
        <w:t xml:space="preserve"> </w:t>
      </w:r>
      <w:r>
        <w:rPr>
          <w:rFonts w:ascii="Arial" w:hAnsi="Arial"/>
          <w:color w:val="000000"/>
          <w:sz w:val="20"/>
        </w:rPr>
        <w:t>million, $1.2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in stock-based compensation associated with retention of the key employee. The stock-based compensation expense is included in the Company’s consolidated statements of operations and comprehensive income (loss) and additional paid-in capital on the consolidated balance sheet.</w:t>
      </w:r>
    </w:p>
    <w:p>
      <w:pPr>
        <w:pStyle w:val="TextBody"/>
        <w:bidi w:val="0"/>
        <w:spacing w:before="200" w:after="283"/>
        <w:jc w:val="left"/>
        <w:rPr>
          <w:rFonts w:ascii="Times New Roman" w:hAnsi="Times New Roman"/>
          <w:sz w:val="20"/>
        </w:rPr>
      </w:pPr>
      <w:r>
        <w:rPr>
          <w:rFonts w:ascii="Arial" w:hAnsi="Arial"/>
          <w:color w:val="000000"/>
          <w:sz w:val="20"/>
        </w:rPr>
        <w:t>During the year ended December 31, 2023, the Company incurred $0.7</w:t>
      </w:r>
      <w:r>
        <w:rPr>
          <w:rFonts w:ascii="Times New Roman" w:hAnsi="Times New Roman"/>
          <w:color w:val="000000"/>
          <w:sz w:val="20"/>
        </w:rPr>
        <w:t xml:space="preserve"> </w:t>
      </w:r>
      <w:r>
        <w:rPr>
          <w:rFonts w:ascii="Arial" w:hAnsi="Arial"/>
          <w:color w:val="000000"/>
          <w:sz w:val="20"/>
        </w:rPr>
        <w:t>million in transaction costs, which are included in general and administrative expenses in the consolidated statements of operations and comprehensive income (loss).</w:t>
      </w:r>
    </w:p>
    <w:p>
      <w:pPr>
        <w:pStyle w:val="TextBody"/>
        <w:bidi w:val="0"/>
        <w:spacing w:before="120" w:after="283"/>
        <w:jc w:val="center"/>
        <w:rPr>
          <w:rFonts w:ascii="Arial" w:hAnsi="Arial"/>
          <w:color w:val="000000"/>
          <w:sz w:val="20"/>
        </w:rPr>
      </w:pPr>
      <w:r>
        <w:rPr>
          <w:rFonts w:ascii="Arial" w:hAnsi="Arial"/>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table summarizes the allocation of the purchase consideration to the assets acquired and liabilities assumed (in thousands):</w:t>
      </w:r>
    </w:p>
    <w:tbl>
      <w:tblPr>
        <w:tblW w:w="4973" w:type="dxa"/>
        <w:jc w:val="left"/>
        <w:tblInd w:w="0" w:type="dxa"/>
        <w:tblLayout w:type="fixed"/>
        <w:tblCellMar>
          <w:top w:w="28" w:type="dxa"/>
          <w:left w:w="28" w:type="dxa"/>
          <w:bottom w:w="28" w:type="dxa"/>
          <w:right w:w="28" w:type="dxa"/>
        </w:tblCellMar>
      </w:tblPr>
      <w:tblGrid>
        <w:gridCol w:w="3841"/>
        <w:gridCol w:w="211"/>
        <w:gridCol w:w="921"/>
      </w:tblGrid>
      <w:tr>
        <w:trPr/>
        <w:tc>
          <w:tcPr>
            <w:tcW w:w="3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2,108</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2,762</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Identifiable intangible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19,553</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20,705</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assets acquired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45,753</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2,663</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2,654</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expenses and other 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2,004</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liabilities assumed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8,180</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acquired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37,573</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cash acquired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2,108</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less cash acquired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35,465</w:t>
            </w:r>
          </w:p>
        </w:tc>
      </w:tr>
    </w:tbl>
    <w:p>
      <w:pPr>
        <w:pStyle w:val="TextBody"/>
        <w:bidi w:val="0"/>
        <w:spacing w:before="200" w:after="283"/>
        <w:jc w:val="left"/>
        <w:rPr>
          <w:rFonts w:ascii="Times New Roman" w:hAnsi="Times New Roman"/>
          <w:sz w:val="20"/>
        </w:rPr>
      </w:pPr>
      <w:r>
        <w:rPr>
          <w:rFonts w:ascii="Arial" w:hAnsi="Arial"/>
          <w:color w:val="000000"/>
          <w:sz w:val="20"/>
        </w:rPr>
        <w:t>Goodwill arising from the acquisition of $20.7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was attributable to the assembled workforce of StudyLink and the synergies expected to arise from the acquisition. No</w:t>
      </w:r>
      <w:r>
        <w:rPr>
          <w:rFonts w:ascii="Times New Roman" w:hAnsi="Times New Roman"/>
          <w:color w:val="000000"/>
          <w:sz w:val="20"/>
        </w:rPr>
        <w:t xml:space="preserve"> </w:t>
      </w:r>
      <w:r>
        <w:rPr>
          <w:rFonts w:ascii="Arial" w:hAnsi="Arial"/>
          <w:color w:val="000000"/>
          <w:sz w:val="20"/>
        </w:rPr>
        <w:t>goodwill from this acquisition will be deductible for income tax purposes.</w:t>
      </w:r>
    </w:p>
    <w:p>
      <w:pPr>
        <w:pStyle w:val="TextBody"/>
        <w:bidi w:val="0"/>
        <w:spacing w:before="200" w:after="200"/>
        <w:jc w:val="left"/>
        <w:rPr>
          <w:rFonts w:ascii="Arial" w:hAnsi="Arial"/>
          <w:color w:val="000000"/>
          <w:sz w:val="20"/>
        </w:rPr>
      </w:pPr>
      <w:r>
        <w:rPr>
          <w:rFonts w:ascii="Arial" w:hAnsi="Arial"/>
          <w:color w:val="000000"/>
          <w:sz w:val="20"/>
        </w:rPr>
        <w:t>The following table reflects the fair values of the identified intangible assets of StudyLink and their respective weighted-average amortization periods.</w:t>
      </w:r>
    </w:p>
    <w:tbl>
      <w:tblPr>
        <w:tblW w:w="6118" w:type="dxa"/>
        <w:jc w:val="left"/>
        <w:tblInd w:w="0" w:type="dxa"/>
        <w:tblLayout w:type="fixed"/>
        <w:tblCellMar>
          <w:top w:w="28" w:type="dxa"/>
          <w:left w:w="28" w:type="dxa"/>
          <w:bottom w:w="28" w:type="dxa"/>
          <w:right w:w="28" w:type="dxa"/>
        </w:tblCellMar>
      </w:tblPr>
      <w:tblGrid>
        <w:gridCol w:w="2041"/>
        <w:gridCol w:w="313"/>
        <w:gridCol w:w="1007"/>
        <w:gridCol w:w="146"/>
        <w:gridCol w:w="2611"/>
      </w:tblGrid>
      <w:tr>
        <w:trPr/>
        <w:tc>
          <w:tcPr>
            <w:tcW w:w="20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Values</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Weighted-Average</w:t>
              <w:br/>
              <w:t>Amortization Periods (years)</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Acquired relationships</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Developed technology</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Trade name/Trademark</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sz w:val="20"/>
        </w:rPr>
      </w:pPr>
      <w:r>
        <w:rPr>
          <w:rFonts w:ascii="Arial" w:hAnsi="Arial"/>
          <w:color w:val="000000"/>
          <w:sz w:val="20"/>
        </w:rPr>
        <w:t>The results of StudyLink have been included in the consolidated financial statements since the date of the acquisition. StudyLink contributed $7.6</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in platform revenue during the years ended December 31, 2024 and 2023. The Company has not disclosed net income or loss since the acquisition date as the business was fully integrated into the consolidated Company’s operations and therefore it was impracticable to determine this amount.</w:t>
      </w:r>
    </w:p>
    <w:p>
      <w:pPr>
        <w:pStyle w:val="TextBody"/>
        <w:bidi w:val="0"/>
        <w:spacing w:before="200" w:after="283"/>
        <w:jc w:val="left"/>
        <w:rPr>
          <w:rFonts w:ascii="Arial" w:hAnsi="Arial"/>
          <w:color w:val="000000"/>
          <w:sz w:val="20"/>
        </w:rPr>
      </w:pPr>
      <w:r>
        <w:rPr>
          <w:rFonts w:ascii="Arial" w:hAnsi="Arial"/>
          <w:color w:val="000000"/>
          <w:sz w:val="20"/>
        </w:rPr>
        <w:t>Unaudited Pro Forma Financial Information</w:t>
      </w:r>
    </w:p>
    <w:p>
      <w:pPr>
        <w:pStyle w:val="TextBody"/>
        <w:bidi w:val="0"/>
        <w:spacing w:before="200" w:after="120"/>
        <w:jc w:val="left"/>
        <w:rPr>
          <w:rFonts w:ascii="Arial" w:hAnsi="Arial"/>
          <w:color w:val="000000"/>
          <w:sz w:val="20"/>
        </w:rPr>
      </w:pPr>
      <w:r>
        <w:rPr>
          <w:rFonts w:ascii="Arial" w:hAnsi="Arial"/>
          <w:color w:val="000000"/>
          <w:sz w:val="20"/>
        </w:rPr>
        <w:t>The following unaudited pro forma financial information shows the results of the Company’s operations for the year ended December 31, 2023 as if the acquisition had occurred on January 1, 2023.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StudyLink. The unaudited pro forma information reflects the effects of applying the Company’s accounting policies and certain pro forma adjustments to the combined historical financial information of the Company and StudyLink. The pro forma adjustments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incremental amortization expense associated with the estimated fair value of identified intangible assets;</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 xml:space="preserve">incremental employee compensation expense for StudyLink employees; </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20"/>
        </w:rPr>
      </w:pPr>
      <w:r>
        <w:rPr>
          <w:rFonts w:ascii="Arial" w:hAnsi="Arial"/>
          <w:color w:val="000000"/>
          <w:sz w:val="20"/>
        </w:rPr>
        <w:t>transaction costs; and</w:t>
      </w:r>
    </w:p>
    <w:p>
      <w:pPr>
        <w:pStyle w:val="TextBody"/>
        <w:bidi w:val="0"/>
        <w:spacing w:before="60" w:after="200"/>
        <w:jc w:val="left"/>
        <w:rPr>
          <w:color w:val="000000"/>
        </w:rPr>
      </w:pPr>
      <w:r>
        <w:rPr>
          <w:color w:val="000000"/>
        </w:rPr>
        <w:t>•</w:t>
      </w:r>
    </w:p>
    <w:p>
      <w:pPr>
        <w:pStyle w:val="TextBody"/>
        <w:bidi w:val="0"/>
        <w:spacing w:before="60" w:after="200"/>
        <w:jc w:val="left"/>
        <w:rPr>
          <w:rFonts w:ascii="Arial" w:hAnsi="Arial"/>
          <w:color w:val="000000"/>
          <w:sz w:val="20"/>
        </w:rPr>
      </w:pPr>
      <w:r>
        <w:rPr>
          <w:rFonts w:ascii="Arial" w:hAnsi="Arial"/>
          <w:color w:val="000000"/>
          <w:sz w:val="20"/>
        </w:rPr>
        <w:t>the estimated tax impact of the above items.</w:t>
      </w:r>
    </w:p>
    <w:tbl>
      <w:tblPr>
        <w:tblW w:w="3719" w:type="dxa"/>
        <w:jc w:val="left"/>
        <w:tblInd w:w="0" w:type="dxa"/>
        <w:tblLayout w:type="fixed"/>
        <w:tblCellMar>
          <w:top w:w="28" w:type="dxa"/>
          <w:left w:w="28" w:type="dxa"/>
          <w:bottom w:w="28" w:type="dxa"/>
          <w:right w:w="28" w:type="dxa"/>
        </w:tblCellMar>
      </w:tblPr>
      <w:tblGrid>
        <w:gridCol w:w="871"/>
        <w:gridCol w:w="274"/>
        <w:gridCol w:w="1016"/>
        <w:gridCol w:w="190"/>
        <w:gridCol w:w="274"/>
        <w:gridCol w:w="1094"/>
      </w:tblGrid>
      <w:tr>
        <w:trPr/>
        <w:tc>
          <w:tcPr>
            <w:tcW w:w="8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2023</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 Forma</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403,094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409,161</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(10,369)</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39" w:name="note_9"/>
      <w:bookmarkEnd w:id="39"/>
      <w:r>
        <w:rPr>
          <w:rFonts w:ascii="Arial" w:hAnsi="Arial"/>
          <w:b/>
          <w:color w:val="000000"/>
          <w:sz w:val="20"/>
        </w:rPr>
        <w:t>Note 11. Goodwill and Acquired Intangible Assets</w:t>
      </w:r>
    </w:p>
    <w:p>
      <w:pPr>
        <w:pStyle w:val="TextBody"/>
        <w:bidi w:val="0"/>
        <w:spacing w:before="200" w:after="283"/>
        <w:jc w:val="left"/>
        <w:rPr>
          <w:rFonts w:ascii="Arial" w:hAnsi="Arial"/>
          <w:b/>
          <w:i/>
          <w:color w:val="000000"/>
          <w:sz w:val="20"/>
        </w:rPr>
      </w:pPr>
      <w:r>
        <w:rPr>
          <w:rFonts w:ascii="Arial" w:hAnsi="Arial"/>
          <w:b/>
          <w:i/>
          <w:color w:val="000000"/>
          <w:sz w:val="20"/>
        </w:rPr>
        <w:t>Goodwill</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changes in the carrying amount of goodwill for the years ended December 31, 2025 and 2024 (in thousands):</w:t>
      </w:r>
    </w:p>
    <w:tbl>
      <w:tblPr>
        <w:tblW w:w="5730" w:type="dxa"/>
        <w:jc w:val="left"/>
        <w:tblInd w:w="0" w:type="dxa"/>
        <w:tblLayout w:type="fixed"/>
        <w:tblCellMar>
          <w:top w:w="28" w:type="dxa"/>
          <w:left w:w="28" w:type="dxa"/>
          <w:bottom w:w="28" w:type="dxa"/>
          <w:right w:w="28" w:type="dxa"/>
        </w:tblCellMar>
      </w:tblPr>
      <w:tblGrid>
        <w:gridCol w:w="3346"/>
        <w:gridCol w:w="231"/>
        <w:gridCol w:w="856"/>
        <w:gridCol w:w="160"/>
        <w:gridCol w:w="231"/>
        <w:gridCol w:w="906"/>
      </w:tblGrid>
      <w:tr>
        <w:trPr/>
        <w:tc>
          <w:tcPr>
            <w:tcW w:w="33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Beginning balance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149,558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121,646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 related to acquisitions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251,517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31,818</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translation adjustment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(3,906)</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Measurement period adjustments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Ending balance</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406,507</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149,558</w:t>
            </w:r>
          </w:p>
        </w:tc>
      </w:tr>
    </w:tbl>
    <w:p>
      <w:pPr>
        <w:pStyle w:val="TextBody"/>
        <w:bidi w:val="0"/>
        <w:spacing w:before="200" w:after="283"/>
        <w:jc w:val="left"/>
        <w:rPr>
          <w:rFonts w:ascii="Arial" w:hAnsi="Arial"/>
          <w:b/>
          <w:i/>
          <w:color w:val="000000"/>
          <w:sz w:val="20"/>
        </w:rPr>
      </w:pPr>
      <w:r>
        <w:rPr>
          <w:rFonts w:ascii="Arial" w:hAnsi="Arial"/>
          <w:b/>
          <w:i/>
          <w:color w:val="000000"/>
          <w:sz w:val="20"/>
        </w:rPr>
        <w:t>Acquired Intangible Assets</w:t>
      </w:r>
    </w:p>
    <w:p>
      <w:pPr>
        <w:pStyle w:val="TextBody"/>
        <w:bidi w:val="0"/>
        <w:spacing w:before="200" w:after="200"/>
        <w:jc w:val="left"/>
        <w:rPr>
          <w:rFonts w:ascii="Arial" w:hAnsi="Arial"/>
          <w:color w:val="000000"/>
          <w:sz w:val="20"/>
        </w:rPr>
      </w:pPr>
      <w:r>
        <w:rPr>
          <w:rFonts w:ascii="Arial" w:hAnsi="Arial"/>
          <w:color w:val="000000"/>
          <w:sz w:val="20"/>
        </w:rPr>
        <w:t>Acquired intangible assets subject to amortization consisted of the following (dollars in thousands):</w:t>
      </w:r>
    </w:p>
    <w:tbl>
      <w:tblPr>
        <w:tblW w:w="8106" w:type="dxa"/>
        <w:jc w:val="left"/>
        <w:tblInd w:w="0" w:type="dxa"/>
        <w:tblLayout w:type="fixed"/>
        <w:tblCellMar>
          <w:top w:w="28" w:type="dxa"/>
          <w:left w:w="28" w:type="dxa"/>
          <w:bottom w:w="28" w:type="dxa"/>
          <w:right w:w="28" w:type="dxa"/>
        </w:tblCellMar>
      </w:tblPr>
      <w:tblGrid>
        <w:gridCol w:w="2071"/>
        <w:gridCol w:w="303"/>
        <w:gridCol w:w="1122"/>
        <w:gridCol w:w="146"/>
        <w:gridCol w:w="277"/>
        <w:gridCol w:w="969"/>
        <w:gridCol w:w="146"/>
        <w:gridCol w:w="255"/>
        <w:gridCol w:w="945"/>
        <w:gridCol w:w="146"/>
        <w:gridCol w:w="1726"/>
      </w:tblGrid>
      <w:tr>
        <w:trPr/>
        <w:tc>
          <w:tcPr>
            <w:tcW w:w="20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 Average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Net 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Remaining Life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(years)</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Acquired Relationships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11.74</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Developed Technology</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Trade Name/Trademark</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8106" w:type="dxa"/>
        <w:jc w:val="left"/>
        <w:tblInd w:w="0" w:type="dxa"/>
        <w:tblLayout w:type="fixed"/>
        <w:tblCellMar>
          <w:top w:w="28" w:type="dxa"/>
          <w:left w:w="28" w:type="dxa"/>
          <w:bottom w:w="28" w:type="dxa"/>
          <w:right w:w="28" w:type="dxa"/>
        </w:tblCellMar>
      </w:tblPr>
      <w:tblGrid>
        <w:gridCol w:w="2071"/>
        <w:gridCol w:w="303"/>
        <w:gridCol w:w="1122"/>
        <w:gridCol w:w="146"/>
        <w:gridCol w:w="277"/>
        <w:gridCol w:w="969"/>
        <w:gridCol w:w="146"/>
        <w:gridCol w:w="255"/>
        <w:gridCol w:w="945"/>
        <w:gridCol w:w="146"/>
        <w:gridCol w:w="1726"/>
      </w:tblGrid>
      <w:tr>
        <w:trPr/>
        <w:tc>
          <w:tcPr>
            <w:tcW w:w="20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 Average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Gross 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Net 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Remaining Life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(years)</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Acquired Relationships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10.12</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Developed Technology</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Trade Name/Trademark</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Amortization expense for the years ended December 31, 2025, 2024, and 2023 was $20.1</w:t>
      </w:r>
      <w:r>
        <w:rPr>
          <w:rFonts w:ascii="Times New Roman" w:hAnsi="Times New Roman"/>
          <w:color w:val="000000"/>
          <w:sz w:val="20"/>
        </w:rPr>
        <w:t xml:space="preserve"> </w:t>
      </w:r>
      <w:r>
        <w:rPr>
          <w:rFonts w:ascii="Arial" w:hAnsi="Arial"/>
          <w:color w:val="000000"/>
          <w:sz w:val="20"/>
        </w:rPr>
        <w:t>million, $12.3</w:t>
      </w:r>
      <w:r>
        <w:rPr>
          <w:rFonts w:ascii="Times New Roman" w:hAnsi="Times New Roman"/>
          <w:color w:val="000000"/>
          <w:sz w:val="20"/>
        </w:rPr>
        <w:t xml:space="preserve"> </w:t>
      </w:r>
      <w:r>
        <w:rPr>
          <w:rFonts w:ascii="Arial" w:hAnsi="Arial"/>
          <w:color w:val="000000"/>
          <w:sz w:val="20"/>
        </w:rPr>
        <w:t>million, and $11.5</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As of December 31, 2025, the estimated annual amortization expense of intangible assets for each of the next five years and thereafter is expected to be as follows (in thousands):</w:t>
      </w:r>
    </w:p>
    <w:tbl>
      <w:tblPr>
        <w:tblW w:w="3916" w:type="dxa"/>
        <w:jc w:val="left"/>
        <w:tblInd w:w="0" w:type="dxa"/>
        <w:tblLayout w:type="fixed"/>
        <w:tblCellMar>
          <w:top w:w="28" w:type="dxa"/>
          <w:left w:w="28" w:type="dxa"/>
          <w:bottom w:w="28" w:type="dxa"/>
          <w:right w:w="28" w:type="dxa"/>
        </w:tblCellMar>
      </w:tblPr>
      <w:tblGrid>
        <w:gridCol w:w="961"/>
        <w:gridCol w:w="600"/>
        <w:gridCol w:w="2355"/>
      </w:tblGrid>
      <w:tr>
        <w:trPr/>
        <w:tc>
          <w:tcPr>
            <w:tcW w:w="96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 Amortization Expense</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2026</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22,379</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2027</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20,883</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2028</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20,785</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2029</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20,232</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2030</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18,248</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Thereafter</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86,523</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189,050</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00"/>
        <w:jc w:val="left"/>
        <w:rPr>
          <w:rFonts w:ascii="Arial" w:hAnsi="Arial"/>
          <w:b/>
          <w:color w:val="000000"/>
          <w:sz w:val="20"/>
        </w:rPr>
      </w:pPr>
      <w:bookmarkStart w:id="40" w:name="note_10"/>
      <w:bookmarkEnd w:id="40"/>
      <w:r>
        <w:rPr>
          <w:rFonts w:ascii="Arial" w:hAnsi="Arial"/>
          <w:b/>
          <w:color w:val="000000"/>
          <w:sz w:val="20"/>
        </w:rPr>
        <w:t>Note 12. Debt</w:t>
      </w:r>
    </w:p>
    <w:p>
      <w:pPr>
        <w:pStyle w:val="TextBody"/>
        <w:bidi w:val="0"/>
        <w:spacing w:before="0" w:after="200"/>
        <w:jc w:val="left"/>
        <w:rPr>
          <w:rFonts w:ascii="Arial" w:hAnsi="Arial"/>
          <w:b/>
          <w:i/>
          <w:color w:val="000000"/>
          <w:sz w:val="20"/>
        </w:rPr>
      </w:pPr>
      <w:r>
        <w:rPr>
          <w:rFonts w:ascii="Arial" w:hAnsi="Arial"/>
          <w:b/>
          <w:i/>
          <w:color w:val="000000"/>
          <w:sz w:val="20"/>
        </w:rPr>
        <w:t>2024 Revolving Credit Facility</w:t>
      </w:r>
    </w:p>
    <w:p>
      <w:pPr>
        <w:pStyle w:val="TextBody"/>
        <w:bidi w:val="0"/>
        <w:spacing w:before="0" w:after="200"/>
        <w:jc w:val="left"/>
        <w:rPr>
          <w:rFonts w:ascii="Times New Roman" w:hAnsi="Times New Roman"/>
          <w:sz w:val="20"/>
        </w:rPr>
      </w:pPr>
      <w:r>
        <w:rPr>
          <w:rFonts w:ascii="Arial" w:hAnsi="Arial"/>
          <w:color w:val="000000"/>
          <w:sz w:val="20"/>
        </w:rPr>
        <w:t>On February 23, 2024, the Company entered into an Amended and Restated Credit Agreement for a five-year senior secured revolving credit syndication loan (2024 Revolving Credit Facility) with four banks for a total commitment of $125.0</w:t>
      </w:r>
      <w:r>
        <w:rPr>
          <w:rFonts w:ascii="Times New Roman" w:hAnsi="Times New Roman"/>
          <w:color w:val="000000"/>
          <w:sz w:val="20"/>
        </w:rPr>
        <w:t xml:space="preserve"> </w:t>
      </w:r>
      <w:r>
        <w:rPr>
          <w:rFonts w:ascii="Arial" w:hAnsi="Arial"/>
          <w:color w:val="000000"/>
          <w:sz w:val="20"/>
        </w:rPr>
        <w:t>million. The 2024 Revolving Credit Facility provides for an incremental facility in an amount equal to $50.0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plus 100% of Consolidated Adjusted EBITDA based on the most recent consolidated financial information. In addition, the 2024 Revolving Credit Facility includes a $10.0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letter of credit sub-facility and a $5.0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 and is secured by substantially all of the assets of the borrowers and guarantors thereunder, subject to customary exceptions.</w:t>
      </w:r>
    </w:p>
    <w:p>
      <w:pPr>
        <w:pStyle w:val="TextBody"/>
        <w:bidi w:val="0"/>
        <w:spacing w:before="0" w:after="200"/>
        <w:jc w:val="left"/>
        <w:rPr>
          <w:rFonts w:ascii="Times New Roman" w:hAnsi="Times New Roman"/>
          <w:sz w:val="20"/>
        </w:rPr>
      </w:pPr>
      <w:r>
        <w:rPr>
          <w:rFonts w:ascii="Arial" w:hAnsi="Arial"/>
          <w:color w:val="000000"/>
          <w:sz w:val="20"/>
        </w:rPr>
        <w:t>The 2024 Revolving Credit Facility replaced the three-year senior secured revolving credit facility of $50.0</w:t>
      </w:r>
      <w:r>
        <w:rPr>
          <w:rFonts w:ascii="Times New Roman" w:hAnsi="Times New Roman"/>
          <w:color w:val="000000"/>
          <w:sz w:val="20"/>
        </w:rPr>
        <w:t xml:space="preserve"> </w:t>
      </w:r>
      <w:r>
        <w:rPr>
          <w:rFonts w:ascii="Arial" w:hAnsi="Arial"/>
          <w:color w:val="000000"/>
          <w:sz w:val="20"/>
        </w:rPr>
        <w:t>million entered into in July 2021, under which $50.0</w:t>
      </w:r>
      <w:r>
        <w:rPr>
          <w:rFonts w:ascii="Times New Roman" w:hAnsi="Times New Roman"/>
          <w:color w:val="000000"/>
          <w:sz w:val="20"/>
        </w:rPr>
        <w:t xml:space="preserve"> </w:t>
      </w:r>
      <w:r>
        <w:rPr>
          <w:rFonts w:ascii="Arial" w:hAnsi="Arial"/>
          <w:color w:val="000000"/>
          <w:sz w:val="20"/>
        </w:rPr>
        <w:t>million was available to Flywire as of December 31, 2023. Three of the lenders under the 2024 Revolving Credit Facility were existing lenders under the 2021 Revolving Credit Facility.</w:t>
      </w:r>
    </w:p>
    <w:p>
      <w:pPr>
        <w:pStyle w:val="TextBody"/>
        <w:bidi w:val="0"/>
        <w:spacing w:before="0" w:after="200"/>
        <w:jc w:val="left"/>
        <w:rPr>
          <w:rFonts w:ascii="Times New Roman" w:hAnsi="Times New Roman"/>
          <w:sz w:val="20"/>
        </w:rPr>
      </w:pPr>
      <w:r>
        <w:rPr>
          <w:rFonts w:ascii="Arial" w:hAnsi="Arial"/>
          <w:color w:val="000000"/>
          <w:sz w:val="20"/>
        </w:rPr>
        <w:t>On August 1, 2025, the Company entered into an amendment (the 2025 Revolving Credit Facility Amendment) to the 2024 Revolving Credit Facility with five banks to increase the total commitments from $125.0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to $300.0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to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pStyle w:val="TextBody"/>
        <w:bidi w:val="0"/>
        <w:spacing w:before="0" w:after="200"/>
        <w:jc w:val="left"/>
        <w:rPr>
          <w:rFonts w:ascii="Times New Roman" w:hAnsi="Times New Roman"/>
          <w:sz w:val="20"/>
        </w:rPr>
      </w:pPr>
      <w:r>
        <w:rPr>
          <w:rFonts w:ascii="Arial" w:hAnsi="Arial"/>
          <w:color w:val="000000"/>
          <w:sz w:val="20"/>
        </w:rPr>
        <w:t>In connection with the 2025 Revolving Credit Facility Amendment, the Company incurred debt issuance costs of $0.8</w:t>
      </w:r>
      <w:r>
        <w:rPr>
          <w:rFonts w:ascii="Times New Roman" w:hAnsi="Times New Roman"/>
          <w:color w:val="000000"/>
          <w:sz w:val="20"/>
        </w:rPr>
        <w:t xml:space="preserve"> </w:t>
      </w:r>
      <w:r>
        <w:rPr>
          <w:rFonts w:ascii="Arial" w:hAnsi="Arial"/>
          <w:color w:val="000000"/>
          <w:sz w:val="20"/>
        </w:rPr>
        <w:t>million. Debt issuance costs related to the 2024 Amended Revolving Credit Facility are amortized on a straight-line basis over the contractual term of the agreement and are presented as a component of other assets on the Company's consolidated balance sheets. The remaining debt issuance costs of $0.7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the 2024 Revolving Credit Facility will continue to be amortized on a straight-line basis over the contractual term of the new agreement and are presented as a component of other assets on the Company's consolidated balance sheets. The 2025 Revolving Credit Facility Amendment of the 2024 Revolving Credit Facility from the existing lenders was accounted for as a modification.</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 2024 Amended Revolving Credit Facility consists of Alternate Base Rate (ABR) borrowings or Term Secured Overnight Financing Rate (SOFR) borrowings, at the Company’s option.</w:t>
      </w:r>
    </w:p>
    <w:p>
      <w:pPr>
        <w:pStyle w:val="TextBody"/>
        <w:bidi w:val="0"/>
        <w:spacing w:before="0" w:after="200"/>
        <w:jc w:val="left"/>
        <w:rPr>
          <w:rFonts w:ascii="Times New Roman" w:hAnsi="Times New Roman"/>
          <w:sz w:val="20"/>
        </w:rPr>
      </w:pPr>
      <w:r>
        <w:rPr>
          <w:rFonts w:ascii="Arial" w:hAnsi="Arial"/>
          <w:color w:val="000000"/>
          <w:sz w:val="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w:t>
      </w:r>
      <w:r>
        <w:rPr>
          <w:rFonts w:ascii="Times New Roman" w:hAnsi="Times New Roman"/>
          <w:color w:val="000000"/>
          <w:sz w:val="20"/>
        </w:rPr>
        <w:t xml:space="preserve"> </w:t>
      </w:r>
      <w:r>
        <w:rPr>
          <w:rFonts w:ascii="Arial" w:hAnsi="Arial"/>
          <w:color w:val="000000"/>
          <w:sz w:val="20"/>
        </w:rPr>
        <w:t>The 2024 Amended Revolving Credit Facility incurs a commitment fee ranging from 0.25% to 0.35% based upon the Company’s consolidated total net leverage ratio as of the most recent consolidated financial information assessed on the average available commitment.</w:t>
      </w:r>
    </w:p>
    <w:p>
      <w:pPr>
        <w:pStyle w:val="TextBody"/>
        <w:bidi w:val="0"/>
        <w:spacing w:before="0" w:after="200"/>
        <w:jc w:val="left"/>
        <w:rPr>
          <w:rFonts w:ascii="Arial" w:hAnsi="Arial"/>
          <w:color w:val="000000"/>
          <w:sz w:val="20"/>
        </w:rPr>
      </w:pPr>
      <w:r>
        <w:rPr>
          <w:rFonts w:ascii="Arial" w:hAnsi="Arial"/>
          <w:color w:val="000000"/>
          <w:sz w:val="20"/>
        </w:rPr>
        <w:t>The 2024 Amended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2024 Amended Revolving Credit Facility becoming immediately due and payable and termination of the commitments. The Company was in compliance with all covenants associated with the 2024 Amended Revolving Credit Facility as of December 31, 2025.</w:t>
      </w:r>
    </w:p>
    <w:p>
      <w:pPr>
        <w:pStyle w:val="TextBody"/>
        <w:bidi w:val="0"/>
        <w:spacing w:before="0" w:after="200"/>
        <w:jc w:val="left"/>
        <w:rPr>
          <w:rFonts w:ascii="Times New Roman" w:hAnsi="Times New Roman"/>
          <w:sz w:val="20"/>
        </w:rPr>
      </w:pPr>
      <w:r>
        <w:rPr>
          <w:rFonts w:ascii="Arial" w:hAnsi="Arial"/>
          <w:color w:val="000000"/>
          <w:sz w:val="20"/>
        </w:rPr>
        <w:t>During 2025, the Company drew down $125.0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under the 2024 Amended Revolving Credit Facility in connection with the acquisition of Sertifi. During 2025, the Company fully repaid the $125.0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outstanding against the 2024 Amended Revolving Credit Facility. As of December 31, 2025</w:t>
      </w:r>
      <w:r>
        <w:rPr>
          <w:rFonts w:ascii="Times New Roman" w:hAnsi="Times New Roman"/>
          <w:color w:val="000000"/>
          <w:sz w:val="20"/>
        </w:rPr>
        <w:t xml:space="preserve"> </w:t>
      </w:r>
      <w:r>
        <w:rPr>
          <w:rFonts w:ascii="Arial" w:hAnsi="Arial"/>
          <w:color w:val="000000"/>
          <w:sz w:val="20"/>
        </w:rPr>
        <w:t>and 2024, the Company had no</w:t>
      </w:r>
      <w:r>
        <w:rPr>
          <w:rFonts w:ascii="Times New Roman" w:hAnsi="Times New Roman"/>
          <w:color w:val="000000"/>
          <w:sz w:val="20"/>
        </w:rPr>
        <w:t xml:space="preserve"> </w:t>
      </w:r>
      <w:r>
        <w:rPr>
          <w:rFonts w:ascii="Arial" w:hAnsi="Arial"/>
          <w:color w:val="000000"/>
          <w:sz w:val="20"/>
        </w:rPr>
        <w:t>borrowings outstanding under the 2024 Amended Revolving Credit Facility and 2024 Revolving Credit Facility, respectively.</w:t>
      </w:r>
    </w:p>
    <w:p>
      <w:pPr>
        <w:pStyle w:val="TextBody"/>
        <w:bidi w:val="0"/>
        <w:spacing w:before="120" w:after="283"/>
        <w:jc w:val="center"/>
        <w:rPr>
          <w:rFonts w:ascii="Arial" w:hAnsi="Arial"/>
          <w:color w:val="000000"/>
          <w:sz w:val="20"/>
        </w:rPr>
      </w:pPr>
      <w:r>
        <w:rPr>
          <w:rFonts w:ascii="Arial" w:hAnsi="Arial"/>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b/>
          <w:i/>
          <w:color w:val="000000"/>
          <w:sz w:val="20"/>
        </w:rPr>
      </w:pPr>
      <w:r>
        <w:rPr>
          <w:rFonts w:ascii="Arial" w:hAnsi="Arial"/>
          <w:b/>
          <w:i/>
          <w:color w:val="000000"/>
          <w:sz w:val="20"/>
        </w:rPr>
        <w:t>2021 Revolving Credit Facility</w:t>
      </w:r>
    </w:p>
    <w:p>
      <w:pPr>
        <w:pStyle w:val="TextBody"/>
        <w:bidi w:val="0"/>
        <w:spacing w:before="0" w:after="200"/>
        <w:jc w:val="left"/>
        <w:rPr>
          <w:rFonts w:ascii="Times New Roman" w:hAnsi="Times New Roman"/>
          <w:sz w:val="20"/>
        </w:rPr>
      </w:pPr>
      <w:r>
        <w:rPr>
          <w:rFonts w:ascii="Arial" w:hAnsi="Arial"/>
          <w:color w:val="000000"/>
          <w:sz w:val="20"/>
        </w:rPr>
        <w:t>On July 29, 2021, the Company entered into the 2021 Revolving Credit Facility with three banks for a total commitment of $50.0</w:t>
      </w:r>
      <w:r>
        <w:rPr>
          <w:rFonts w:ascii="Times New Roman" w:hAnsi="Times New Roman"/>
          <w:color w:val="000000"/>
          <w:sz w:val="20"/>
        </w:rPr>
        <w:t xml:space="preserve"> </w:t>
      </w:r>
      <w:r>
        <w:rPr>
          <w:rFonts w:ascii="Arial" w:hAnsi="Arial"/>
          <w:color w:val="000000"/>
          <w:sz w:val="20"/>
        </w:rPr>
        <w:t>million. The 2021 Revolving Credit Facility included a $5.0</w:t>
      </w:r>
      <w:r>
        <w:rPr>
          <w:rFonts w:ascii="Times New Roman" w:hAnsi="Times New Roman"/>
          <w:color w:val="000000"/>
          <w:sz w:val="20"/>
        </w:rPr>
        <w:t xml:space="preserve"> </w:t>
      </w:r>
      <w:r>
        <w:rPr>
          <w:rFonts w:ascii="Arial" w:hAnsi="Arial"/>
          <w:color w:val="000000"/>
          <w:sz w:val="20"/>
        </w:rPr>
        <w:t>million letter of credit sub-facility and a $5.0</w:t>
      </w:r>
      <w:r>
        <w:rPr>
          <w:rFonts w:ascii="Times New Roman" w:hAnsi="Times New Roman"/>
          <w:color w:val="000000"/>
          <w:sz w:val="20"/>
        </w:rPr>
        <w:t xml:space="preserve"> </w:t>
      </w:r>
      <w:r>
        <w:rPr>
          <w:rFonts w:ascii="Arial" w:hAnsi="Arial"/>
          <w:color w:val="000000"/>
          <w:sz w:val="20"/>
        </w:rPr>
        <w:t>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pStyle w:val="TextBody"/>
        <w:bidi w:val="0"/>
        <w:spacing w:before="0" w:after="200"/>
        <w:jc w:val="left"/>
        <w:rPr>
          <w:rFonts w:ascii="Arial" w:hAnsi="Arial"/>
          <w:color w:val="000000"/>
          <w:sz w:val="20"/>
        </w:rPr>
      </w:pPr>
      <w:r>
        <w:rPr>
          <w:rFonts w:ascii="Arial" w:hAnsi="Arial"/>
          <w:color w:val="000000"/>
          <w:sz w:val="20"/>
        </w:rPr>
        <w:t>The 2021 Revolving Credit Facility consisted of ABR loans or Eurodollar Borrowings, at the Company’s option.</w:t>
      </w:r>
    </w:p>
    <w:p>
      <w:pPr>
        <w:pStyle w:val="TextBody"/>
        <w:bidi w:val="0"/>
        <w:spacing w:before="0" w:after="200"/>
        <w:jc w:val="left"/>
        <w:rPr>
          <w:rFonts w:ascii="Arial" w:hAnsi="Arial"/>
          <w:color w:val="000000"/>
          <w:sz w:val="20"/>
        </w:rPr>
      </w:pPr>
      <w:r>
        <w:rPr>
          <w:rFonts w:ascii="Arial" w:hAnsi="Arial"/>
          <w:color w:val="000000"/>
          <w:sz w:val="20"/>
        </w:rPr>
        <w:t>On June 23, 2023, the Company executed the First Amendment to the 2021 Revolving Credit Facility to transition determination of the interest rate from the LIBOR benchmark rate to the SOFR benchmark rate effective June 30, 2023.</w:t>
      </w:r>
    </w:p>
    <w:p>
      <w:pPr>
        <w:pStyle w:val="TextBody"/>
        <w:bidi w:val="0"/>
        <w:spacing w:before="0" w:after="200"/>
        <w:jc w:val="left"/>
        <w:rPr>
          <w:rFonts w:ascii="Times New Roman" w:hAnsi="Times New Roman"/>
          <w:sz w:val="20"/>
        </w:rPr>
      </w:pPr>
      <w:r>
        <w:rPr>
          <w:rFonts w:ascii="Arial" w:hAnsi="Arial"/>
          <w:color w:val="000000"/>
          <w:sz w:val="20"/>
        </w:rPr>
        <w:t>As of December 31, 2025 and 2024, there was no</w:t>
      </w:r>
      <w:r>
        <w:rPr>
          <w:rFonts w:ascii="Times New Roman" w:hAnsi="Times New Roman"/>
          <w:color w:val="000000"/>
          <w:sz w:val="20"/>
        </w:rPr>
        <w:t xml:space="preserve"> </w:t>
      </w:r>
      <w:r>
        <w:rPr>
          <w:rFonts w:ascii="Arial" w:hAnsi="Arial"/>
          <w:color w:val="000000"/>
          <w:sz w:val="20"/>
        </w:rPr>
        <w:t>outstanding indebtedness under the 2021 Revolving Credit Facility.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Interest expense for the years ended December 31, 2025, 2024, and 2023 was $3.5</w:t>
      </w:r>
      <w:r>
        <w:rPr>
          <w:rFonts w:ascii="Times New Roman" w:hAnsi="Times New Roman"/>
          <w:color w:val="000000"/>
          <w:sz w:val="20"/>
        </w:rPr>
        <w:t xml:space="preserve"> </w:t>
      </w:r>
      <w:r>
        <w:rPr>
          <w:rFonts w:ascii="Arial" w:hAnsi="Arial"/>
          <w:color w:val="000000"/>
          <w:sz w:val="20"/>
        </w:rPr>
        <w:t>million, $0.5</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 Included in interest expense for the years ended December 31, 2025, 2024, and 2023 was $0.3</w:t>
      </w:r>
      <w:r>
        <w:rPr>
          <w:rFonts w:ascii="Times New Roman" w:hAnsi="Times New Roman"/>
          <w:color w:val="000000"/>
          <w:sz w:val="20"/>
        </w:rPr>
        <w:t xml:space="preserve"> </w:t>
      </w:r>
      <w:r>
        <w:rPr>
          <w:rFonts w:ascii="Arial" w:hAnsi="Arial"/>
          <w:color w:val="000000"/>
          <w:sz w:val="20"/>
        </w:rPr>
        <w:t>million, $0.2</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amortization of debt issuance costs, respectively.</w:t>
      </w:r>
    </w:p>
    <w:p>
      <w:pPr>
        <w:pStyle w:val="TextBody"/>
        <w:bidi w:val="0"/>
        <w:spacing w:before="200" w:after="200"/>
        <w:jc w:val="left"/>
        <w:rPr>
          <w:rFonts w:ascii="Times New Roman" w:hAnsi="Times New Roman"/>
          <w:sz w:val="20"/>
        </w:rPr>
      </w:pPr>
      <w:r>
        <w:rPr>
          <w:rFonts w:ascii="Arial" w:hAnsi="Arial"/>
          <w:b/>
          <w:i/>
          <w:color w:val="000000"/>
          <w:sz w:val="20"/>
        </w:rPr>
        <w:t>Letters of Credit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As of December 31, 2025 and 2024, the Company had an outstanding and unused letters of credit in the amount of approximately $7.9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$2.5</w:t>
      </w:r>
      <w:r>
        <w:rPr>
          <w:rFonts w:ascii="Times New Roman" w:hAnsi="Times New Roman"/>
          <w:color w:val="000000"/>
          <w:sz w:val="20"/>
        </w:rPr>
        <w:t xml:space="preserve"> </w:t>
      </w:r>
      <w:r>
        <w:rPr>
          <w:rFonts w:ascii="Arial" w:hAnsi="Arial"/>
          <w:color w:val="000000"/>
          <w:sz w:val="20"/>
        </w:rPr>
        <w:t>million, respectively, for the purpose of protecting third-party service providers against defaults. The letters of credit may be terminated at any time by the Company upon notice.</w:t>
      </w:r>
    </w:p>
    <w:p>
      <w:pPr>
        <w:pStyle w:val="TextBody"/>
        <w:bidi w:val="0"/>
        <w:spacing w:before="200" w:after="200"/>
        <w:jc w:val="left"/>
        <w:rPr>
          <w:rFonts w:ascii="Arial" w:hAnsi="Arial"/>
          <w:b/>
          <w:color w:val="000000"/>
          <w:sz w:val="20"/>
        </w:rPr>
      </w:pPr>
      <w:bookmarkStart w:id="41" w:name="note_11"/>
      <w:bookmarkEnd w:id="41"/>
      <w:r>
        <w:rPr>
          <w:rFonts w:ascii="Arial" w:hAnsi="Arial"/>
          <w:b/>
          <w:color w:val="000000"/>
          <w:sz w:val="20"/>
        </w:rPr>
        <w:t>Note 13. Stockholders’ Equity</w:t>
      </w:r>
    </w:p>
    <w:p>
      <w:pPr>
        <w:pStyle w:val="TextBody"/>
        <w:bidi w:val="0"/>
        <w:jc w:val="left"/>
        <w:rPr>
          <w:rFonts w:ascii="Arial" w:hAnsi="Arial"/>
          <w:b/>
          <w:i/>
          <w:color w:val="000000"/>
          <w:sz w:val="20"/>
        </w:rPr>
      </w:pPr>
      <w:r>
        <w:rPr>
          <w:rFonts w:ascii="Arial" w:hAnsi="Arial"/>
          <w:b/>
          <w:i/>
          <w:color w:val="000000"/>
          <w:sz w:val="20"/>
        </w:rPr>
        <w:t>Preferred Stock</w:t>
      </w:r>
    </w:p>
    <w:p>
      <w:pPr>
        <w:pStyle w:val="TextBody"/>
        <w:bidi w:val="0"/>
        <w:spacing w:before="200" w:after="283"/>
        <w:jc w:val="left"/>
        <w:rPr>
          <w:rFonts w:ascii="Times New Roman" w:hAnsi="Times New Roman"/>
          <w:sz w:val="20"/>
        </w:rPr>
      </w:pPr>
      <w:r>
        <w:rPr>
          <w:rFonts w:ascii="Arial" w:hAnsi="Arial"/>
          <w:color w:val="000000"/>
          <w:sz w:val="20"/>
        </w:rPr>
        <w:t>The Company’s current amended and restated certificate of incorporation, which was filed on May 28, 2021, authorizes the issuance of 10,000,000</w:t>
      </w:r>
      <w:r>
        <w:rPr>
          <w:rFonts w:ascii="Times New Roman" w:hAnsi="Times New Roman"/>
          <w:color w:val="000000"/>
          <w:sz w:val="20"/>
        </w:rPr>
        <w:t xml:space="preserve"> </w:t>
      </w:r>
      <w:r>
        <w:rPr>
          <w:rFonts w:ascii="Arial" w:hAnsi="Arial"/>
          <w:color w:val="000000"/>
          <w:sz w:val="20"/>
        </w:rPr>
        <w:t>shares of undesignated preferred stock with a par value of $0.0001</w:t>
      </w:r>
      <w:r>
        <w:rPr>
          <w:rFonts w:ascii="Times New Roman" w:hAnsi="Times New Roman"/>
          <w:color w:val="000000"/>
          <w:sz w:val="20"/>
        </w:rPr>
        <w:t xml:space="preserve"> </w:t>
      </w:r>
      <w:r>
        <w:rPr>
          <w:rFonts w:ascii="Arial" w:hAnsi="Arial"/>
          <w:color w:val="000000"/>
          <w:sz w:val="20"/>
        </w:rPr>
        <w:t>per share with rights and preferences, including voting rights, designated from time to time by the board of directors.</w:t>
      </w:r>
    </w:p>
    <w:p>
      <w:pPr>
        <w:pStyle w:val="TextBody"/>
        <w:bidi w:val="0"/>
        <w:spacing w:before="200" w:after="283"/>
        <w:jc w:val="left"/>
        <w:rPr>
          <w:rFonts w:ascii="Arial" w:hAnsi="Arial"/>
          <w:b/>
          <w:i/>
          <w:color w:val="000000"/>
          <w:sz w:val="20"/>
        </w:rPr>
      </w:pPr>
      <w:r>
        <w:rPr>
          <w:rFonts w:ascii="Arial" w:hAnsi="Arial"/>
          <w:b/>
          <w:i/>
          <w:color w:val="000000"/>
          <w:sz w:val="20"/>
        </w:rPr>
        <w:t>Common Stock</w:t>
      </w:r>
    </w:p>
    <w:p>
      <w:pPr>
        <w:pStyle w:val="TextBody"/>
        <w:bidi w:val="0"/>
        <w:spacing w:before="200" w:after="283"/>
        <w:jc w:val="left"/>
        <w:rPr>
          <w:rFonts w:ascii="Times New Roman" w:hAnsi="Times New Roman"/>
          <w:sz w:val="20"/>
        </w:rPr>
      </w:pPr>
      <w:r>
        <w:rPr>
          <w:rFonts w:ascii="Arial" w:hAnsi="Arial"/>
          <w:color w:val="000000"/>
          <w:sz w:val="20"/>
        </w:rPr>
        <w:t>The Company’s current amended and restated certificate of incorporation authorizes the issuance of 2,000,000,000</w:t>
      </w:r>
      <w:r>
        <w:rPr>
          <w:rFonts w:ascii="Times New Roman" w:hAnsi="Times New Roman"/>
          <w:color w:val="000000"/>
          <w:sz w:val="20"/>
        </w:rPr>
        <w:t xml:space="preserve"> </w:t>
      </w:r>
      <w:r>
        <w:rPr>
          <w:rFonts w:ascii="Arial" w:hAnsi="Arial"/>
          <w:color w:val="000000"/>
          <w:sz w:val="20"/>
        </w:rPr>
        <w:t>shares of voting common stock with a par value of $0.0001</w:t>
      </w:r>
      <w:r>
        <w:rPr>
          <w:rFonts w:ascii="Times New Roman" w:hAnsi="Times New Roman"/>
          <w:color w:val="000000"/>
          <w:sz w:val="20"/>
        </w:rPr>
        <w:t xml:space="preserve"> </w:t>
      </w:r>
      <w:r>
        <w:rPr>
          <w:rFonts w:ascii="Arial" w:hAnsi="Arial"/>
          <w:color w:val="000000"/>
          <w:sz w:val="20"/>
        </w:rPr>
        <w:t>per share and 10,000,000</w:t>
      </w:r>
      <w:r>
        <w:rPr>
          <w:rFonts w:ascii="Times New Roman" w:hAnsi="Times New Roman"/>
          <w:color w:val="000000"/>
          <w:sz w:val="20"/>
        </w:rPr>
        <w:t xml:space="preserve"> </w:t>
      </w:r>
      <w:r>
        <w:rPr>
          <w:rFonts w:ascii="Arial" w:hAnsi="Arial"/>
          <w:color w:val="000000"/>
          <w:sz w:val="20"/>
        </w:rPr>
        <w:t>shares of non-voting common stock with a par value of $0.0001</w:t>
      </w:r>
      <w:r>
        <w:rPr>
          <w:rFonts w:ascii="Times New Roman" w:hAnsi="Times New Roman"/>
          <w:color w:val="000000"/>
          <w:sz w:val="20"/>
        </w:rPr>
        <w:t xml:space="preserve"> </w:t>
      </w:r>
      <w:r>
        <w:rPr>
          <w:rFonts w:ascii="Arial" w:hAnsi="Arial"/>
          <w:color w:val="000000"/>
          <w:sz w:val="20"/>
        </w:rPr>
        <w:t>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 As of December 31, 2025 and 2024, no</w:t>
      </w:r>
      <w:r>
        <w:rPr>
          <w:rFonts w:ascii="Times New Roman" w:hAnsi="Times New Roman"/>
          <w:color w:val="000000"/>
          <w:sz w:val="20"/>
        </w:rPr>
        <w:t xml:space="preserve"> </w:t>
      </w:r>
      <w:r>
        <w:rPr>
          <w:rFonts w:ascii="Arial" w:hAnsi="Arial"/>
          <w:color w:val="000000"/>
          <w:sz w:val="20"/>
        </w:rPr>
        <w:t>cash dividends have been declared or paid.</w:t>
      </w:r>
    </w:p>
    <w:p>
      <w:pPr>
        <w:pStyle w:val="TextBody"/>
        <w:bidi w:val="0"/>
        <w:spacing w:before="200" w:after="283"/>
        <w:jc w:val="left"/>
        <w:rPr>
          <w:rFonts w:ascii="Arial" w:hAnsi="Arial"/>
          <w:color w:val="000000"/>
          <w:sz w:val="20"/>
        </w:rPr>
      </w:pPr>
      <w:r>
        <w:rPr>
          <w:rFonts w:ascii="Arial" w:hAnsi="Arial"/>
          <w:color w:val="000000"/>
          <w:sz w:val="20"/>
        </w:rPr>
        <w:t>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pStyle w:val="TextBody"/>
        <w:bidi w:val="0"/>
        <w:spacing w:before="200" w:after="200"/>
        <w:jc w:val="left"/>
        <w:rPr>
          <w:rFonts w:ascii="Arial" w:hAnsi="Arial"/>
          <w:b/>
          <w:i/>
          <w:color w:val="000000"/>
          <w:sz w:val="20"/>
        </w:rPr>
      </w:pPr>
      <w:r>
        <w:rPr>
          <w:rFonts w:ascii="Arial" w:hAnsi="Arial"/>
          <w:b/>
          <w:i/>
          <w:color w:val="000000"/>
          <w:sz w:val="20"/>
        </w:rPr>
        <w:t>Share Repurchase Program</w:t>
      </w:r>
    </w:p>
    <w:p>
      <w:pPr>
        <w:pStyle w:val="TextBody"/>
        <w:bidi w:val="0"/>
        <w:jc w:val="left"/>
        <w:rPr>
          <w:rFonts w:ascii="Times New Roman" w:hAnsi="Times New Roman"/>
          <w:sz w:val="20"/>
        </w:rPr>
      </w:pPr>
      <w:r>
        <w:rPr>
          <w:rFonts w:ascii="Arial" w:hAnsi="Arial"/>
          <w:color w:val="000000"/>
          <w:sz w:val="20"/>
        </w:rPr>
        <w:t>On August 6, 2024, the Company announced a share repurchase program of up to $150.0</w:t>
      </w:r>
      <w:r>
        <w:rPr>
          <w:rFonts w:ascii="Times New Roman" w:hAnsi="Times New Roman"/>
          <w:color w:val="000000"/>
          <w:sz w:val="20"/>
        </w:rPr>
        <w:t xml:space="preserve"> </w:t>
      </w:r>
      <w:r>
        <w:rPr>
          <w:rFonts w:ascii="Arial" w:hAnsi="Arial"/>
          <w:color w:val="000000"/>
          <w:sz w:val="20"/>
        </w:rPr>
        <w:t>million of outstanding voting and non-voting common stock for an indefinite period as part of the Company’s capital deployment strategy (Repurchase Program). On July 30, 2025, the Company's board of directors approved an increase in the aggregate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amount of voting and non-voting common stock outstanding that may be repurchased under the Repurchase Program by an additional $150.0</w:t>
      </w:r>
      <w:r>
        <w:rPr>
          <w:rFonts w:ascii="Times New Roman" w:hAnsi="Times New Roman"/>
          <w:color w:val="000000"/>
          <w:sz w:val="20"/>
        </w:rPr>
        <w:t xml:space="preserve"> </w:t>
      </w:r>
      <w:r>
        <w:rPr>
          <w:rFonts w:ascii="Arial" w:hAnsi="Arial"/>
          <w:color w:val="000000"/>
          <w:sz w:val="20"/>
        </w:rPr>
        <w:t>million, bringing the total authorized amount under the Repurchase Program to $300.0</w:t>
      </w:r>
      <w:r>
        <w:rPr>
          <w:rFonts w:ascii="Times New Roman" w:hAnsi="Times New Roman"/>
          <w:color w:val="000000"/>
          <w:sz w:val="20"/>
        </w:rPr>
        <w:t xml:space="preserve"> </w:t>
      </w:r>
      <w:r>
        <w:rPr>
          <w:rFonts w:ascii="Arial" w:hAnsi="Arial"/>
          <w:color w:val="000000"/>
          <w:sz w:val="20"/>
        </w:rPr>
        <w:t>million.</w:t>
      </w:r>
    </w:p>
    <w:p>
      <w:pPr>
        <w:pStyle w:val="TextBody"/>
        <w:bidi w:val="0"/>
        <w:spacing w:before="200" w:after="283"/>
        <w:jc w:val="left"/>
        <w:rPr>
          <w:rFonts w:ascii="Arial" w:hAnsi="Arial"/>
          <w:color w:val="000000"/>
          <w:sz w:val="20"/>
        </w:rPr>
      </w:pPr>
      <w:r>
        <w:rPr>
          <w:rFonts w:ascii="Arial" w:hAnsi="Arial"/>
          <w:color w:val="000000"/>
          <w:sz w:val="20"/>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pStyle w:val="TextBody"/>
        <w:bidi w:val="0"/>
        <w:spacing w:before="200" w:after="283"/>
        <w:jc w:val="left"/>
        <w:rPr>
          <w:rFonts w:ascii="Times New Roman" w:hAnsi="Times New Roman"/>
          <w:sz w:val="20"/>
        </w:rPr>
      </w:pPr>
      <w:r>
        <w:rPr>
          <w:rFonts w:ascii="Arial" w:hAnsi="Arial"/>
          <w:color w:val="000000"/>
          <w:sz w:val="20"/>
        </w:rPr>
        <w:t>During the year ended December 31, 2025, the Company repurchased 5,623,829</w:t>
      </w:r>
      <w:r>
        <w:rPr>
          <w:rFonts w:ascii="Times New Roman" w:hAnsi="Times New Roman"/>
          <w:color w:val="000000"/>
          <w:sz w:val="20"/>
        </w:rPr>
        <w:t xml:space="preserve"> </w:t>
      </w:r>
      <w:r>
        <w:rPr>
          <w:rFonts w:ascii="Arial" w:hAnsi="Arial"/>
          <w:color w:val="000000"/>
          <w:sz w:val="20"/>
        </w:rPr>
        <w:t>shares of its common stock for an aggregate amount, including commissions and accrued excise tax, of $72.9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under the Repurchase Program. The repurchased shares are currently being held as treasury stock. As of December 31, 2025, approximately $181.9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the $300.0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authorized amount under the Repurchase Program remained available for future repurchases.</w:t>
      </w:r>
    </w:p>
    <w:p>
      <w:pPr>
        <w:pStyle w:val="TextBody"/>
        <w:bidi w:val="0"/>
        <w:spacing w:before="200" w:after="283"/>
        <w:jc w:val="left"/>
        <w:rPr>
          <w:rFonts w:ascii="Times New Roman" w:hAnsi="Times New Roman"/>
          <w:sz w:val="20"/>
        </w:rPr>
      </w:pPr>
      <w:r>
        <w:rPr>
          <w:rFonts w:ascii="Arial" w:hAnsi="Arial"/>
          <w:color w:val="000000"/>
          <w:sz w:val="20"/>
        </w:rPr>
        <w:t>All of the Company’s repurchases are subject to a 1% excise tax enacted by the Inflation Reduction Act of 2022 (the IRA). The amount of share repurchases subject to the excise tax are reduced by the fair market value of any shares issued during the taxable year. For the year ended December 31, 2025, the accrued excise tax liability pursuant to the IRA was $0.3</w:t>
      </w:r>
      <w:r>
        <w:rPr>
          <w:rFonts w:ascii="Times New Roman" w:hAnsi="Times New Roman"/>
          <w:color w:val="000000"/>
          <w:sz w:val="20"/>
        </w:rPr>
        <w:t xml:space="preserve"> </w:t>
      </w:r>
      <w:r>
        <w:rPr>
          <w:rFonts w:ascii="Arial" w:hAnsi="Arial"/>
          <w:color w:val="000000"/>
          <w:sz w:val="20"/>
        </w:rPr>
        <w:t>million, which is included in the cost of treasury stock and accrued expenses and other current liabilities on the Company's consolidated balance sheet.</w:t>
      </w:r>
    </w:p>
    <w:p>
      <w:pPr>
        <w:pStyle w:val="TextBody"/>
        <w:bidi w:val="0"/>
        <w:spacing w:before="200" w:after="283"/>
        <w:jc w:val="left"/>
        <w:rPr>
          <w:rFonts w:ascii="Arial" w:hAnsi="Arial"/>
          <w:b/>
          <w:i/>
          <w:color w:val="000000"/>
          <w:sz w:val="20"/>
        </w:rPr>
      </w:pPr>
      <w:r>
        <w:rPr>
          <w:rFonts w:ascii="Arial" w:hAnsi="Arial"/>
          <w:b/>
          <w:i/>
          <w:color w:val="000000"/>
          <w:sz w:val="20"/>
        </w:rPr>
        <w:t>Treasury Stock</w:t>
      </w:r>
    </w:p>
    <w:p>
      <w:pPr>
        <w:pStyle w:val="TextBody"/>
        <w:bidi w:val="0"/>
        <w:spacing w:before="200" w:after="283"/>
        <w:jc w:val="left"/>
        <w:rPr>
          <w:rFonts w:ascii="Times New Roman" w:hAnsi="Times New Roman"/>
          <w:sz w:val="20"/>
        </w:rPr>
      </w:pPr>
      <w:r>
        <w:rPr>
          <w:rFonts w:ascii="Arial" w:hAnsi="Arial"/>
          <w:color w:val="000000"/>
          <w:sz w:val="20"/>
        </w:rPr>
        <w:t>The Company may issue treasury stock upon the exercise of stock options and vesting of restricted stock units granted under its equity incentive plans. The Company issued 45,374</w:t>
      </w:r>
      <w:r>
        <w:rPr>
          <w:rFonts w:ascii="Times New Roman" w:hAnsi="Times New Roman"/>
          <w:color w:val="000000"/>
          <w:sz w:val="20"/>
        </w:rPr>
        <w:t xml:space="preserve"> </w:t>
      </w:r>
      <w:r>
        <w:rPr>
          <w:rFonts w:ascii="Arial" w:hAnsi="Arial"/>
          <w:color w:val="000000"/>
          <w:sz w:val="20"/>
        </w:rPr>
        <w:t>treasury shares at an average cost of $10.79</w:t>
      </w:r>
      <w:r>
        <w:rPr>
          <w:rFonts w:ascii="Times New Roman" w:hAnsi="Times New Roman"/>
          <w:color w:val="000000"/>
          <w:sz w:val="20"/>
        </w:rPr>
        <w:t xml:space="preserve"> </w:t>
      </w:r>
      <w:r>
        <w:rPr>
          <w:rFonts w:ascii="Arial" w:hAnsi="Arial"/>
          <w:color w:val="000000"/>
          <w:sz w:val="20"/>
        </w:rPr>
        <w:t>per share during the year ended December 31, 2025. The Company issued 30,927</w:t>
      </w:r>
      <w:r>
        <w:rPr>
          <w:rFonts w:ascii="Times New Roman" w:hAnsi="Times New Roman"/>
          <w:color w:val="000000"/>
          <w:sz w:val="20"/>
        </w:rPr>
        <w:t xml:space="preserve"> </w:t>
      </w:r>
      <w:r>
        <w:rPr>
          <w:rFonts w:ascii="Arial" w:hAnsi="Arial"/>
          <w:color w:val="000000"/>
          <w:sz w:val="20"/>
        </w:rPr>
        <w:t>treasury shares at an average cost of $0.32</w:t>
      </w:r>
      <w:r>
        <w:rPr>
          <w:rFonts w:ascii="Times New Roman" w:hAnsi="Times New Roman"/>
          <w:color w:val="000000"/>
          <w:sz w:val="20"/>
        </w:rPr>
        <w:t xml:space="preserve"> </w:t>
      </w:r>
      <w:r>
        <w:rPr>
          <w:rFonts w:ascii="Arial" w:hAnsi="Arial"/>
          <w:color w:val="000000"/>
          <w:sz w:val="20"/>
        </w:rPr>
        <w:t>per share during the year ended December 31, 2024. The Company intends to issue treasury shares as long as an adequate number of those shares are available.</w:t>
      </w:r>
    </w:p>
    <w:p>
      <w:pPr>
        <w:pStyle w:val="TextBody"/>
        <w:bidi w:val="0"/>
        <w:spacing w:before="200" w:after="200"/>
        <w:jc w:val="left"/>
        <w:rPr>
          <w:rFonts w:ascii="Arial" w:hAnsi="Arial"/>
          <w:b/>
          <w:i/>
          <w:color w:val="000000"/>
          <w:sz w:val="20"/>
        </w:rPr>
      </w:pPr>
      <w:r>
        <w:rPr>
          <w:rFonts w:ascii="Arial" w:hAnsi="Arial"/>
          <w:b/>
          <w:i/>
          <w:color w:val="000000"/>
          <w:sz w:val="20"/>
        </w:rPr>
        <w:t>Comprehensive Income (Loss)</w:t>
      </w:r>
    </w:p>
    <w:p>
      <w:pPr>
        <w:pStyle w:val="TextBody"/>
        <w:bidi w:val="0"/>
        <w:jc w:val="left"/>
        <w:rPr>
          <w:rFonts w:ascii="Arial" w:hAnsi="Arial"/>
          <w:color w:val="000000"/>
          <w:sz w:val="20"/>
        </w:rPr>
      </w:pPr>
      <w:r>
        <w:rPr>
          <w:rFonts w:ascii="Arial" w:hAnsi="Arial"/>
          <w:color w:val="000000"/>
          <w:sz w:val="20"/>
        </w:rPr>
        <w:t>Comprehensive income (loss) includes all changes in equity during the period and is comprised of net income (loss) and other comprehensive income (loss). Accumulated other comprehensive (loss) income (AOCI) reported on the Company's consolidated balance sheets for the year ended December 31, 2025 consists of foreign currency translation adjustment and the unrealized gains and losses, net of applicable taxes, on available-for-sale debt securities.</w:t>
      </w:r>
    </w:p>
    <w:p>
      <w:pPr>
        <w:pStyle w:val="TextBody"/>
        <w:bidi w:val="0"/>
        <w:spacing w:before="200" w:after="200"/>
        <w:jc w:val="left"/>
        <w:rPr>
          <w:rFonts w:ascii="Arial" w:hAnsi="Arial"/>
          <w:color w:val="000000"/>
          <w:sz w:val="20"/>
        </w:rPr>
      </w:pPr>
      <w:r>
        <w:rPr>
          <w:rFonts w:ascii="Arial" w:hAnsi="Arial"/>
          <w:color w:val="000000"/>
          <w:sz w:val="20"/>
        </w:rPr>
        <w:t>The following tables summarize the changes in AOCI for the years ended December 31, 2025 and 2024 (in thousands):</w:t>
      </w:r>
    </w:p>
    <w:tbl>
      <w:tblPr>
        <w:tblW w:w="10205" w:type="dxa"/>
        <w:jc w:val="left"/>
        <w:tblInd w:w="0" w:type="dxa"/>
        <w:tblLayout w:type="fixed"/>
        <w:tblCellMar>
          <w:top w:w="28" w:type="dxa"/>
          <w:left w:w="28" w:type="dxa"/>
          <w:bottom w:w="28" w:type="dxa"/>
          <w:right w:w="28" w:type="dxa"/>
        </w:tblCellMar>
      </w:tblPr>
      <w:tblGrid>
        <w:gridCol w:w="3246"/>
        <w:gridCol w:w="405"/>
        <w:gridCol w:w="929"/>
        <w:gridCol w:w="146"/>
        <w:gridCol w:w="211"/>
        <w:gridCol w:w="667"/>
        <w:gridCol w:w="146"/>
        <w:gridCol w:w="211"/>
        <w:gridCol w:w="667"/>
        <w:gridCol w:w="146"/>
        <w:gridCol w:w="442"/>
        <w:gridCol w:w="891"/>
        <w:gridCol w:w="146"/>
        <w:gridCol w:w="211"/>
        <w:gridCol w:w="667"/>
        <w:gridCol w:w="146"/>
        <w:gridCol w:w="211"/>
        <w:gridCol w:w="717"/>
      </w:tblGrid>
      <w:tr>
        <w:trPr/>
        <w:tc>
          <w:tcPr>
            <w:tcW w:w="32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Year Ended December 31, 2024</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Unrealized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Unrealized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(Losses)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(Losses)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Debt Securities,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Debt Securities,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Beginning balance</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1,320</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 income before reclassifications</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(3,386)</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current period other comprehensive (loss) income</w:t>
            </w:r>
          </w:p>
        </w:tc>
        <w:tc>
          <w:tcPr>
            <w:tcW w:w="40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(3,386)</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Ending balance</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(2,066)</w:t>
            </w:r>
          </w:p>
        </w:tc>
      </w:tr>
    </w:tbl>
    <w:p>
      <w:pPr>
        <w:pStyle w:val="TextBody"/>
        <w:bidi w:val="0"/>
        <w:spacing w:before="200" w:after="200"/>
        <w:jc w:val="left"/>
        <w:rPr>
          <w:rFonts w:ascii="Arial" w:hAnsi="Arial"/>
          <w:color w:val="000000"/>
          <w:sz w:val="20"/>
        </w:rPr>
      </w:pPr>
      <w:r>
        <w:rPr>
          <w:rFonts w:ascii="Arial" w:hAnsi="Arial"/>
          <w:color w:val="000000"/>
          <w:sz w:val="20"/>
        </w:rPr>
        <w:t>Changes in AOCI for the year ended December 31, 2023, consisted of foreign currency translation adjustment only. Refer to the Company's consolidated statements of stockholders’ equity for the changes in AOCI for the year ended December 31, 2023.</w:t>
      </w:r>
    </w:p>
    <w:p>
      <w:pPr>
        <w:pStyle w:val="TextBody"/>
        <w:bidi w:val="0"/>
        <w:jc w:val="left"/>
        <w:rPr>
          <w:rFonts w:ascii="Arial" w:hAnsi="Arial"/>
          <w:b/>
          <w:i/>
          <w:color w:val="000000"/>
          <w:sz w:val="20"/>
        </w:rPr>
      </w:pPr>
      <w:r>
        <w:rPr>
          <w:rFonts w:ascii="Arial" w:hAnsi="Arial"/>
          <w:b/>
          <w:i/>
          <w:color w:val="000000"/>
          <w:sz w:val="20"/>
        </w:rPr>
        <w:t>Reserved Shares of Common Stock for Future Issuance</w:t>
      </w:r>
    </w:p>
    <w:p>
      <w:pPr>
        <w:pStyle w:val="TextBody"/>
        <w:bidi w:val="0"/>
        <w:spacing w:before="120" w:after="283"/>
        <w:jc w:val="center"/>
        <w:rPr>
          <w:rFonts w:ascii="Arial" w:hAnsi="Arial"/>
          <w:color w:val="000000"/>
          <w:sz w:val="20"/>
        </w:rPr>
      </w:pPr>
      <w:r>
        <w:rPr>
          <w:rFonts w:ascii="Arial" w:hAnsi="Arial"/>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As of December 31, 2025, the Company had reserved shares of common stock for future issuance as follows:</w:t>
      </w:r>
    </w:p>
    <w:tbl>
      <w:tblPr>
        <w:tblW w:w="6137" w:type="dxa"/>
        <w:jc w:val="left"/>
        <w:tblInd w:w="0" w:type="dxa"/>
        <w:tblLayout w:type="fixed"/>
        <w:tblCellMar>
          <w:top w:w="28" w:type="dxa"/>
          <w:left w:w="28" w:type="dxa"/>
          <w:bottom w:w="28" w:type="dxa"/>
          <w:right w:w="28" w:type="dxa"/>
        </w:tblCellMar>
      </w:tblPr>
      <w:tblGrid>
        <w:gridCol w:w="5056"/>
        <w:gridCol w:w="1081"/>
      </w:tblGrid>
      <w:tr>
        <w:trPr/>
        <w:tc>
          <w:tcPr>
            <w:tcW w:w="505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Issued and outstanding stock options</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5,167,512</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Issued and outstanding restricted stock units</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11,315,889</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Available for issuance under the 2021 Equity Incentive Plan</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16,719,176</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Available for issuance under Employee Stock Purchase Plan</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5,539,474</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Available for conversion of non-voting common stock</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1,873,320</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40,615,371</w:t>
            </w:r>
          </w:p>
        </w:tc>
      </w:tr>
    </w:tbl>
    <w:p>
      <w:pPr>
        <w:pStyle w:val="TextBody"/>
        <w:bidi w:val="0"/>
        <w:jc w:val="left"/>
        <w:rPr/>
      </w:pPr>
      <w:r>
        <w:rPr/>
        <w:t> </w:t>
      </w:r>
    </w:p>
    <w:p>
      <w:pPr>
        <w:pStyle w:val="TextBody"/>
        <w:bidi w:val="0"/>
        <w:spacing w:before="200" w:after="200"/>
        <w:jc w:val="left"/>
        <w:rPr>
          <w:rFonts w:ascii="Arial" w:hAnsi="Arial"/>
          <w:b/>
          <w:color w:val="000000"/>
          <w:sz w:val="20"/>
        </w:rPr>
      </w:pPr>
      <w:bookmarkStart w:id="42" w:name="note_12"/>
      <w:bookmarkEnd w:id="42"/>
      <w:r>
        <w:rPr>
          <w:rFonts w:ascii="Arial" w:hAnsi="Arial"/>
          <w:b/>
          <w:color w:val="000000"/>
          <w:sz w:val="20"/>
        </w:rPr>
        <w:t>Note 14. Stock-Based Compensation</w:t>
      </w:r>
    </w:p>
    <w:p>
      <w:pPr>
        <w:pStyle w:val="TextBody"/>
        <w:bidi w:val="0"/>
        <w:jc w:val="left"/>
        <w:rPr>
          <w:rFonts w:ascii="Arial" w:hAnsi="Arial"/>
          <w:b/>
          <w:i/>
          <w:color w:val="000000"/>
          <w:sz w:val="20"/>
        </w:rPr>
      </w:pPr>
      <w:r>
        <w:rPr>
          <w:rFonts w:ascii="Arial" w:hAnsi="Arial"/>
          <w:b/>
          <w:i/>
          <w:color w:val="000000"/>
          <w:sz w:val="20"/>
        </w:rPr>
        <w:t>Equity Incentive Plan</w:t>
      </w:r>
    </w:p>
    <w:p>
      <w:pPr>
        <w:pStyle w:val="TextBody"/>
        <w:bidi w:val="0"/>
        <w:spacing w:before="200" w:after="283"/>
        <w:jc w:val="left"/>
        <w:rPr>
          <w:rFonts w:ascii="Arial" w:hAnsi="Arial"/>
          <w:color w:val="000000"/>
          <w:sz w:val="20"/>
        </w:rPr>
      </w:pPr>
      <w:r>
        <w:rPr>
          <w:rFonts w:ascii="Arial" w:hAnsi="Arial"/>
          <w:color w:val="000000"/>
          <w:sz w:val="20"/>
        </w:rPr>
        <w:t>In April 2021, the Company’s board of directors adopted, and in May 2021 its stockholders approved, the 2021 Equity Incentive Plan (the 2021 Plan).</w:t>
      </w:r>
    </w:p>
    <w:p>
      <w:pPr>
        <w:pStyle w:val="TextBody"/>
        <w:bidi w:val="0"/>
        <w:spacing w:before="200" w:after="283"/>
        <w:jc w:val="left"/>
        <w:rPr>
          <w:rFonts w:ascii="Arial" w:hAnsi="Arial"/>
          <w:color w:val="000000"/>
          <w:sz w:val="20"/>
        </w:rPr>
      </w:pPr>
      <w:r>
        <w:rPr>
          <w:rFonts w:ascii="Arial" w:hAnsi="Arial"/>
          <w:color w:val="000000"/>
          <w:sz w:val="20"/>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pStyle w:val="TextBody"/>
        <w:bidi w:val="0"/>
        <w:spacing w:before="200" w:after="283"/>
        <w:jc w:val="left"/>
        <w:rPr>
          <w:rFonts w:ascii="Times New Roman" w:hAnsi="Times New Roman"/>
          <w:sz w:val="20"/>
        </w:rPr>
      </w:pPr>
      <w:r>
        <w:rPr>
          <w:rFonts w:ascii="Arial" w:hAnsi="Arial"/>
          <w:color w:val="000000"/>
          <w:sz w:val="20"/>
        </w:rPr>
        <w:t>The 2021 Plan provides for the grant of incentive stock options, non-qualified stock options, stock appreciation rights, restricted stock awards, restricted stock units, performance awards and other forms of equity compensation (collectively, equity awards). A total of 26,116,754</w:t>
      </w:r>
      <w:r>
        <w:rPr>
          <w:rFonts w:ascii="Times New Roman" w:hAnsi="Times New Roman"/>
          <w:color w:val="000000"/>
          <w:sz w:val="20"/>
        </w:rPr>
        <w:t xml:space="preserve"> </w:t>
      </w:r>
      <w:r>
        <w:rPr>
          <w:rFonts w:ascii="Arial" w:hAnsi="Arial"/>
          <w:color w:val="000000"/>
          <w:sz w:val="20"/>
        </w:rPr>
        <w:t>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for grant under the 2021 Plan.</w:t>
      </w:r>
    </w:p>
    <w:p>
      <w:pPr>
        <w:pStyle w:val="TextBody"/>
        <w:bidi w:val="0"/>
        <w:spacing w:before="200" w:after="283"/>
        <w:jc w:val="left"/>
        <w:rPr>
          <w:rFonts w:ascii="Times New Roman" w:hAnsi="Times New Roman"/>
          <w:sz w:val="20"/>
        </w:rPr>
      </w:pPr>
      <w:r>
        <w:rPr>
          <w:rFonts w:ascii="Arial" w:hAnsi="Arial"/>
          <w:color w:val="000000"/>
          <w:sz w:val="20"/>
        </w:rPr>
        <w:t>As of December 31, 2025, a total of 16,719,176</w:t>
      </w:r>
      <w:r>
        <w:rPr>
          <w:rFonts w:ascii="Times New Roman" w:hAnsi="Times New Roman"/>
          <w:color w:val="000000"/>
          <w:sz w:val="20"/>
        </w:rPr>
        <w:t xml:space="preserve"> </w:t>
      </w:r>
      <w:r>
        <w:rPr>
          <w:rFonts w:ascii="Arial" w:hAnsi="Arial"/>
          <w:color w:val="000000"/>
          <w:sz w:val="20"/>
        </w:rPr>
        <w:t>shares of the Company's common stock were available for future issuance under the 2021 Plan.</w:t>
      </w:r>
    </w:p>
    <w:p>
      <w:pPr>
        <w:pStyle w:val="TextBody"/>
        <w:bidi w:val="0"/>
        <w:spacing w:before="200" w:after="283"/>
        <w:jc w:val="left"/>
        <w:rPr>
          <w:rFonts w:ascii="Arial" w:hAnsi="Arial"/>
          <w:b/>
          <w:i/>
          <w:color w:val="000000"/>
          <w:sz w:val="20"/>
        </w:rPr>
      </w:pPr>
      <w:r>
        <w:rPr>
          <w:rFonts w:ascii="Arial" w:hAnsi="Arial"/>
          <w:b/>
          <w:i/>
          <w:color w:val="000000"/>
          <w:sz w:val="20"/>
        </w:rPr>
        <w:t>Stock Options</w:t>
      </w:r>
    </w:p>
    <w:p>
      <w:pPr>
        <w:pStyle w:val="TextBody"/>
        <w:bidi w:val="0"/>
        <w:spacing w:before="200" w:after="283"/>
        <w:jc w:val="left"/>
        <w:rPr>
          <w:rFonts w:ascii="Times New Roman" w:hAnsi="Times New Roman"/>
          <w:sz w:val="20"/>
        </w:rPr>
      </w:pPr>
      <w:r>
        <w:rPr>
          <w:rFonts w:ascii="Arial" w:hAnsi="Arial"/>
          <w:color w:val="000000"/>
          <w:sz w:val="20"/>
        </w:rPr>
        <w:t>Stock options granted under the 2009 Plan, 2018 Plan, and the 2021 Plan generally vest based on continued service over four years</w:t>
      </w:r>
      <w:r>
        <w:rPr>
          <w:rFonts w:ascii="Times New Roman" w:hAnsi="Times New Roman"/>
          <w:color w:val="000000"/>
          <w:sz w:val="20"/>
        </w:rPr>
        <w:t xml:space="preserve"> </w:t>
      </w:r>
      <w:r>
        <w:rPr>
          <w:rFonts w:ascii="Arial" w:hAnsi="Arial"/>
          <w:color w:val="000000"/>
          <w:sz w:val="20"/>
        </w:rPr>
        <w:t>and expire within ten years</w:t>
      </w:r>
      <w:r>
        <w:rPr>
          <w:rFonts w:ascii="Times New Roman" w:hAnsi="Times New Roman"/>
          <w:color w:val="000000"/>
          <w:sz w:val="20"/>
        </w:rPr>
        <w:t xml:space="preserve"> </w:t>
      </w:r>
      <w:r>
        <w:rPr>
          <w:rFonts w:ascii="Arial" w:hAnsi="Arial"/>
          <w:color w:val="000000"/>
          <w:sz w:val="20"/>
        </w:rPr>
        <w:t>from the date of grant. Any options that are cancelled or forfeited before expiration become available for future grants.</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stock option activity for the year ended December 31, 2025:</w:t>
      </w:r>
    </w:p>
    <w:tbl>
      <w:tblPr>
        <w:tblW w:w="10205" w:type="dxa"/>
        <w:jc w:val="left"/>
        <w:tblInd w:w="0" w:type="dxa"/>
        <w:tblLayout w:type="fixed"/>
        <w:tblCellMar>
          <w:top w:w="28" w:type="dxa"/>
          <w:left w:w="28" w:type="dxa"/>
          <w:bottom w:w="28" w:type="dxa"/>
          <w:right w:w="28" w:type="dxa"/>
        </w:tblCellMar>
      </w:tblPr>
      <w:tblGrid>
        <w:gridCol w:w="2151"/>
        <w:gridCol w:w="171"/>
        <w:gridCol w:w="1093"/>
        <w:gridCol w:w="146"/>
        <w:gridCol w:w="646"/>
        <w:gridCol w:w="1753"/>
        <w:gridCol w:w="146"/>
        <w:gridCol w:w="594"/>
        <w:gridCol w:w="1901"/>
        <w:gridCol w:w="146"/>
        <w:gridCol w:w="327"/>
        <w:gridCol w:w="1131"/>
      </w:tblGrid>
      <w:tr>
        <w:trPr/>
        <w:tc>
          <w:tcPr>
            <w:tcW w:w="21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Weighted-Average Remaining Contractual 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 Intrinsic Value</w:t>
              <w:br/>
              <w:t>(in thousands)</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Outstanding as of December 31, 2024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6,199,369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86,213</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Granted</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Exercised</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(854,857)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Cancelled</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Outstanding as of December 31, 2025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5,167,512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41,920</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Exercisable as of December 31, 2025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41,866</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Vested or expected to vest as of December 31, 2025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r>
    </w:tbl>
    <w:p>
      <w:pPr>
        <w:pStyle w:val="TextBody"/>
        <w:bidi w:val="0"/>
        <w:spacing w:before="200" w:after="283"/>
        <w:jc w:val="left"/>
        <w:rPr>
          <w:rFonts w:ascii="Times New Roman" w:hAnsi="Times New Roman"/>
          <w:sz w:val="20"/>
        </w:rPr>
      </w:pPr>
      <w:r>
        <w:rPr>
          <w:rFonts w:ascii="Arial" w:hAnsi="Arial"/>
          <w:color w:val="000000"/>
          <w:sz w:val="20"/>
        </w:rPr>
        <w:t>The aggregate intrinsic value was calculated as the difference between exercise price of the underlying awards and the closing price of the Company’s common stock at December 31, 2025. The aggregate intrinsic value of stock options exercised during the years ended December 31, 2025, 2024, and 2023 was $8.2</w:t>
      </w:r>
      <w:r>
        <w:rPr>
          <w:rFonts w:ascii="Times New Roman" w:hAnsi="Times New Roman"/>
          <w:color w:val="000000"/>
          <w:sz w:val="20"/>
        </w:rPr>
        <w:t xml:space="preserve"> </w:t>
      </w:r>
      <w:r>
        <w:rPr>
          <w:rFonts w:ascii="Arial" w:hAnsi="Arial"/>
          <w:color w:val="000000"/>
          <w:sz w:val="20"/>
        </w:rPr>
        <w:t>million, $33.8</w:t>
      </w:r>
      <w:r>
        <w:rPr>
          <w:rFonts w:ascii="Times New Roman" w:hAnsi="Times New Roman"/>
          <w:color w:val="000000"/>
          <w:sz w:val="20"/>
        </w:rPr>
        <w:t xml:space="preserve"> </w:t>
      </w:r>
      <w:r>
        <w:rPr>
          <w:rFonts w:ascii="Arial" w:hAnsi="Arial"/>
          <w:color w:val="000000"/>
          <w:sz w:val="20"/>
        </w:rPr>
        <w:t>million, and $89.8</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00" w:after="200"/>
        <w:jc w:val="left"/>
        <w:rPr>
          <w:rFonts w:ascii="Arial" w:hAnsi="Arial"/>
          <w:color w:val="000000"/>
          <w:sz w:val="20"/>
        </w:rPr>
      </w:pPr>
      <w:r>
        <w:rPr>
          <w:rFonts w:ascii="Arial" w:hAnsi="Arial"/>
          <w:color w:val="000000"/>
          <w:sz w:val="20"/>
        </w:rPr>
        <w:t>The Company did not grant any options to purchase shares of common stock during the year ended December 31, 2025, 2024, and 2023.</w:t>
      </w:r>
    </w:p>
    <w:p>
      <w:pPr>
        <w:pStyle w:val="TextBody"/>
        <w:bidi w:val="0"/>
        <w:spacing w:before="120" w:after="283"/>
        <w:jc w:val="center"/>
        <w:rPr>
          <w:rFonts w:ascii="Arial" w:hAnsi="Arial"/>
          <w:color w:val="000000"/>
          <w:sz w:val="20"/>
        </w:rPr>
      </w:pPr>
      <w:r>
        <w:rPr>
          <w:rFonts w:ascii="Arial" w:hAnsi="Arial"/>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The Company received cash proceeds from the exercise of options to purchase common stock of $2.3</w:t>
      </w:r>
      <w:r>
        <w:rPr>
          <w:rFonts w:ascii="Times New Roman" w:hAnsi="Times New Roman"/>
          <w:color w:val="000000"/>
          <w:sz w:val="20"/>
        </w:rPr>
        <w:t xml:space="preserve"> </w:t>
      </w:r>
      <w:r>
        <w:rPr>
          <w:rFonts w:ascii="Arial" w:hAnsi="Arial"/>
          <w:color w:val="000000"/>
          <w:sz w:val="20"/>
        </w:rPr>
        <w:t>million, $5.6</w:t>
      </w:r>
      <w:r>
        <w:rPr>
          <w:rFonts w:ascii="Times New Roman" w:hAnsi="Times New Roman"/>
          <w:color w:val="000000"/>
          <w:sz w:val="20"/>
        </w:rPr>
        <w:t xml:space="preserve"> </w:t>
      </w:r>
      <w:r>
        <w:rPr>
          <w:rFonts w:ascii="Arial" w:hAnsi="Arial"/>
          <w:color w:val="000000"/>
          <w:sz w:val="20"/>
        </w:rPr>
        <w:t>million, and $10.4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years ended December 31, 2025, 2024, and 2023, respectively.</w:t>
      </w:r>
    </w:p>
    <w:p>
      <w:pPr>
        <w:pStyle w:val="TextBody"/>
        <w:bidi w:val="0"/>
        <w:spacing w:before="0" w:after="200"/>
        <w:jc w:val="left"/>
        <w:rPr>
          <w:rFonts w:ascii="Times New Roman" w:hAnsi="Times New Roman"/>
          <w:sz w:val="20"/>
        </w:rPr>
      </w:pPr>
      <w:r>
        <w:rPr>
          <w:rFonts w:ascii="Arial" w:hAnsi="Arial"/>
          <w:color w:val="000000"/>
          <w:sz w:val="20"/>
        </w:rPr>
        <w:t>As of December 31, 2025, there was $0.1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total unrecognized compensation expense related to unvested stock options, which is expected to be recognized over a weighted-average period of 0.16</w:t>
      </w:r>
      <w:r>
        <w:rPr>
          <w:rFonts w:ascii="Times New Roman" w:hAnsi="Times New Roman"/>
          <w:color w:val="000000"/>
          <w:sz w:val="20"/>
        </w:rPr>
        <w:t xml:space="preserve"> </w:t>
      </w:r>
      <w:r>
        <w:rPr>
          <w:rFonts w:ascii="Arial" w:hAnsi="Arial"/>
          <w:color w:val="000000"/>
          <w:sz w:val="20"/>
        </w:rPr>
        <w:t>years.</w:t>
      </w:r>
    </w:p>
    <w:p>
      <w:pPr>
        <w:pStyle w:val="TextBody"/>
        <w:bidi w:val="0"/>
        <w:jc w:val="left"/>
        <w:rPr>
          <w:rFonts w:ascii="Arial" w:hAnsi="Arial"/>
          <w:b/>
          <w:i/>
          <w:color w:val="000000"/>
          <w:sz w:val="20"/>
        </w:rPr>
      </w:pPr>
      <w:r>
        <w:rPr>
          <w:rFonts w:ascii="Arial" w:hAnsi="Arial"/>
          <w:b/>
          <w:i/>
          <w:color w:val="000000"/>
          <w:sz w:val="20"/>
        </w:rPr>
        <w:t>Restricted Stock Units</w:t>
      </w:r>
    </w:p>
    <w:p>
      <w:pPr>
        <w:pStyle w:val="TextBody"/>
        <w:bidi w:val="0"/>
        <w:spacing w:before="200" w:after="283"/>
        <w:jc w:val="left"/>
        <w:rPr>
          <w:rFonts w:ascii="Times New Roman" w:hAnsi="Times New Roman"/>
          <w:sz w:val="20"/>
        </w:rPr>
      </w:pPr>
      <w:r>
        <w:rPr>
          <w:rFonts w:ascii="Arial" w:hAnsi="Arial"/>
          <w:color w:val="000000"/>
          <w:sz w:val="20"/>
        </w:rPr>
        <w:t>The Company awarded restricted stock units to employees and certain non-employee board members under the 2021 Plan. The fair value of each restricted stock unit is estimated based on the fair value of the Company's common stock on the date of the grant. The restricted stock units vest over the requisite service period, which range between one</w:t>
      </w:r>
      <w:r>
        <w:rPr>
          <w:rFonts w:ascii="Times New Roman" w:hAnsi="Times New Roman"/>
          <w:color w:val="000000"/>
          <w:sz w:val="20"/>
        </w:rPr>
        <w:t xml:space="preserve"> </w:t>
      </w:r>
      <w:r>
        <w:rPr>
          <w:rFonts w:ascii="Arial" w:hAnsi="Arial"/>
          <w:color w:val="000000"/>
          <w:sz w:val="20"/>
        </w:rPr>
        <w:t>and four</w:t>
      </w:r>
      <w:r>
        <w:rPr>
          <w:rFonts w:ascii="Times New Roman" w:hAnsi="Times New Roman"/>
          <w:color w:val="000000"/>
          <w:sz w:val="20"/>
        </w:rPr>
        <w:t xml:space="preserve"> </w:t>
      </w:r>
      <w:r>
        <w:rPr>
          <w:rFonts w:ascii="Arial" w:hAnsi="Arial"/>
          <w:color w:val="000000"/>
          <w:sz w:val="20"/>
        </w:rPr>
        <w:t>years from the date of the grant, subject to the continued employment of the employees and service of the non-employee board members.</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restricted stock units activity for the year ended December 31, 2025:</w:t>
      </w:r>
    </w:p>
    <w:tbl>
      <w:tblPr>
        <w:tblW w:w="10205" w:type="dxa"/>
        <w:jc w:val="left"/>
        <w:tblInd w:w="0" w:type="dxa"/>
        <w:tblLayout w:type="fixed"/>
        <w:tblCellMar>
          <w:top w:w="28" w:type="dxa"/>
          <w:left w:w="28" w:type="dxa"/>
          <w:bottom w:w="28" w:type="dxa"/>
          <w:right w:w="28" w:type="dxa"/>
        </w:tblCellMar>
      </w:tblPr>
      <w:tblGrid>
        <w:gridCol w:w="2593"/>
        <w:gridCol w:w="191"/>
        <w:gridCol w:w="1376"/>
        <w:gridCol w:w="146"/>
        <w:gridCol w:w="1072"/>
        <w:gridCol w:w="2910"/>
        <w:gridCol w:w="146"/>
        <w:gridCol w:w="358"/>
        <w:gridCol w:w="1413"/>
      </w:tblGrid>
      <w:tr>
        <w:trPr/>
        <w:tc>
          <w:tcPr>
            <w:tcW w:w="25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Weighted-Average 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 Fair Value</w:t>
              <w:br/>
              <w:t>(in thousands)</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as of December 31, 2024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6,016,838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Granted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9,586,537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102,872</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Vested </w:t>
            </w:r>
            <w:r>
              <w:rPr>
                <w:rFonts w:ascii="Arial" w:hAnsi="Arial"/>
                <w:color w:val="000000"/>
                <w:sz w:val="12"/>
              </w:rPr>
              <w:t>(a)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(2,719,472)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69,865</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Cancelled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(1,568,014)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as of December 31, 2025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11,315,889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sz w:val="20"/>
        </w:rPr>
      </w:pPr>
      <w:r>
        <w:rPr>
          <w:rFonts w:ascii="Arial" w:hAnsi="Arial"/>
          <w:color w:val="000000"/>
          <w:sz w:val="12"/>
        </w:rPr>
        <w:t>(a)</w:t>
      </w:r>
      <w:r>
        <w:rPr>
          <w:rFonts w:ascii="Times New Roman" w:hAnsi="Times New Roman"/>
          <w:color w:val="000000"/>
          <w:sz w:val="20"/>
        </w:rPr>
        <w:t xml:space="preserve"> </w:t>
      </w:r>
      <w:r>
        <w:rPr>
          <w:rFonts w:ascii="Arial" w:hAnsi="Arial"/>
          <w:color w:val="000000"/>
          <w:sz w:val="16"/>
        </w:rPr>
        <w:t>Includes 389,210</w:t>
      </w:r>
      <w:r>
        <w:rPr>
          <w:rFonts w:ascii="Times New Roman" w:hAnsi="Times New Roman"/>
          <w:color w:val="000000"/>
          <w:sz w:val="20"/>
        </w:rPr>
        <w:t xml:space="preserve"> </w:t>
      </w:r>
      <w:r>
        <w:rPr>
          <w:rFonts w:ascii="Arial" w:hAnsi="Arial"/>
          <w:color w:val="000000"/>
          <w:sz w:val="16"/>
        </w:rPr>
        <w:t>shares netted for tax.</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As of December 31, 2025, there was $127.5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total unrecognized compensation expense related to unvested restricted stock units, which is expected to be recognized over a weighted-average period of 2.72</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Employee Stock Purchase Plan</w:t>
      </w:r>
    </w:p>
    <w:p>
      <w:pPr>
        <w:pStyle w:val="TextBody"/>
        <w:bidi w:val="0"/>
        <w:spacing w:before="200" w:after="283"/>
        <w:jc w:val="left"/>
        <w:rPr>
          <w:rFonts w:ascii="Times New Roman" w:hAnsi="Times New Roman"/>
          <w:sz w:val="20"/>
        </w:rPr>
      </w:pPr>
      <w:r>
        <w:rPr>
          <w:rFonts w:ascii="Arial" w:hAnsi="Arial"/>
          <w:color w:val="000000"/>
          <w:sz w:val="20"/>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5,539,474</w:t>
      </w:r>
      <w:r>
        <w:rPr>
          <w:rFonts w:ascii="Times New Roman" w:hAnsi="Times New Roman"/>
          <w:color w:val="000000"/>
          <w:sz w:val="20"/>
        </w:rPr>
        <w:t xml:space="preserve"> </w:t>
      </w:r>
      <w:r>
        <w:rPr>
          <w:rFonts w:ascii="Arial" w:hAnsi="Arial"/>
          <w:color w:val="000000"/>
          <w:sz w:val="20"/>
        </w:rPr>
        <w:t>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the lesser of 15% of their eligible compensation and the IRS limit. Offering periods are generally six months long.</w:t>
      </w:r>
    </w:p>
    <w:p>
      <w:pPr>
        <w:pStyle w:val="TextBody"/>
        <w:bidi w:val="0"/>
        <w:spacing w:before="200" w:after="283"/>
        <w:jc w:val="left"/>
        <w:rPr>
          <w:rFonts w:ascii="Times New Roman" w:hAnsi="Times New Roman"/>
          <w:sz w:val="20"/>
        </w:rPr>
      </w:pPr>
      <w:r>
        <w:rPr>
          <w:rFonts w:ascii="Arial" w:hAnsi="Arial"/>
          <w:color w:val="000000"/>
          <w:sz w:val="20"/>
        </w:rPr>
        <w:t>As of December 31, 2025, a total of 5,539,474</w:t>
      </w:r>
      <w:r>
        <w:rPr>
          <w:rFonts w:ascii="Times New Roman" w:hAnsi="Times New Roman"/>
          <w:color w:val="000000"/>
          <w:sz w:val="20"/>
        </w:rPr>
        <w:t xml:space="preserve"> </w:t>
      </w:r>
      <w:r>
        <w:rPr>
          <w:rFonts w:ascii="Arial" w:hAnsi="Arial"/>
          <w:color w:val="000000"/>
          <w:sz w:val="20"/>
        </w:rPr>
        <w:t>shares of the Company's common stock were available for future issuance under the ESPP.</w:t>
      </w:r>
    </w:p>
    <w:p>
      <w:pPr>
        <w:pStyle w:val="TextBody"/>
        <w:bidi w:val="0"/>
        <w:spacing w:before="200" w:after="200"/>
        <w:jc w:val="left"/>
        <w:rPr>
          <w:rFonts w:ascii="Times New Roman" w:hAnsi="Times New Roman"/>
          <w:sz w:val="20"/>
        </w:rPr>
      </w:pPr>
      <w:r>
        <w:rPr>
          <w:rFonts w:ascii="Arial" w:hAnsi="Arial"/>
          <w:color w:val="000000"/>
          <w:sz w:val="20"/>
        </w:rPr>
        <w:t>As of December 31, 2025, there was</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unrecognized compensation expense related to the ESPP.</w:t>
      </w:r>
    </w:p>
    <w:p>
      <w:pPr>
        <w:pStyle w:val="TextBody"/>
        <w:bidi w:val="0"/>
        <w:jc w:val="left"/>
        <w:rPr>
          <w:rFonts w:ascii="Arial" w:hAnsi="Arial"/>
          <w:b/>
          <w:i/>
          <w:color w:val="000000"/>
          <w:sz w:val="20"/>
        </w:rPr>
      </w:pPr>
      <w:r>
        <w:rPr>
          <w:rFonts w:ascii="Arial" w:hAnsi="Arial"/>
          <w:b/>
          <w:i/>
          <w:color w:val="000000"/>
          <w:sz w:val="20"/>
        </w:rPr>
        <w:t>Stock-Based Compensation Costs</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stock-based compensation expense for (i) stock options and restricted stock units granted to employees and non-employee board members and (ii) ESPP shares that were purchased by employees that were recorded in the Company’s consolidated statements of operations and comprehensive income (loss) (in thousands):</w:t>
      </w:r>
    </w:p>
    <w:tbl>
      <w:tblPr>
        <w:tblW w:w="6689" w:type="dxa"/>
        <w:jc w:val="left"/>
        <w:tblInd w:w="0" w:type="dxa"/>
        <w:tblLayout w:type="fixed"/>
        <w:tblCellMar>
          <w:top w:w="28" w:type="dxa"/>
          <w:left w:w="28" w:type="dxa"/>
          <w:bottom w:w="28" w:type="dxa"/>
          <w:right w:w="28" w:type="dxa"/>
        </w:tblCellMar>
      </w:tblPr>
      <w:tblGrid>
        <w:gridCol w:w="3691"/>
        <w:gridCol w:w="211"/>
        <w:gridCol w:w="676"/>
        <w:gridCol w:w="146"/>
        <w:gridCol w:w="211"/>
        <w:gridCol w:w="676"/>
        <w:gridCol w:w="146"/>
        <w:gridCol w:w="211"/>
        <w:gridCol w:w="721"/>
      </w:tblGrid>
      <w:tr>
        <w:trPr/>
        <w:tc>
          <w:tcPr>
            <w:tcW w:w="3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Technology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9,286</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22,458</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Restructuring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stock-based compensation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43,726</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During the years ended December 31, 2025 and 2024, $2.0</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respectively, of stock-based compensation was charged to internal-use software, deferred contract costs, and cloud-computing arrangement implementation costs. During the year ended December 31, 2023, there was no</w:t>
      </w:r>
      <w:r>
        <w:rPr>
          <w:rFonts w:ascii="Times New Roman" w:hAnsi="Times New Roman"/>
          <w:color w:val="000000"/>
          <w:sz w:val="20"/>
        </w:rPr>
        <w:t xml:space="preserve"> </w:t>
      </w:r>
      <w:r>
        <w:rPr>
          <w:rFonts w:ascii="Arial" w:hAnsi="Arial"/>
          <w:color w:val="000000"/>
          <w:sz w:val="20"/>
        </w:rPr>
        <w:t>stock-based compensation capitalized to internal-use software. The Company recognized $7.4</w:t>
      </w:r>
      <w:r>
        <w:rPr>
          <w:rFonts w:ascii="Times New Roman" w:hAnsi="Times New Roman"/>
          <w:color w:val="000000"/>
          <w:sz w:val="20"/>
        </w:rPr>
        <w:t xml:space="preserve"> </w:t>
      </w:r>
      <w:r>
        <w:rPr>
          <w:rFonts w:ascii="Arial" w:hAnsi="Arial"/>
          <w:color w:val="000000"/>
          <w:sz w:val="20"/>
        </w:rPr>
        <w:t>million, $10.4</w:t>
      </w:r>
      <w:r>
        <w:rPr>
          <w:rFonts w:ascii="Times New Roman" w:hAnsi="Times New Roman"/>
          <w:color w:val="000000"/>
          <w:sz w:val="20"/>
        </w:rPr>
        <w:t xml:space="preserve"> </w:t>
      </w:r>
      <w:r>
        <w:rPr>
          <w:rFonts w:ascii="Arial" w:hAnsi="Arial"/>
          <w:color w:val="000000"/>
          <w:sz w:val="20"/>
        </w:rPr>
        <w:t>million, and $15.1</w:t>
      </w:r>
      <w:r>
        <w:rPr>
          <w:rFonts w:ascii="Times New Roman" w:hAnsi="Times New Roman"/>
          <w:color w:val="000000"/>
          <w:sz w:val="20"/>
        </w:rPr>
        <w:t xml:space="preserve"> </w:t>
      </w:r>
      <w:r>
        <w:rPr>
          <w:rFonts w:ascii="Arial" w:hAnsi="Arial"/>
          <w:color w:val="000000"/>
          <w:sz w:val="20"/>
        </w:rPr>
        <w:t>million of tax benefits associated with stock-based compensation during years ended December 31, 2025, 2024, and 2023, respectively.</w:t>
      </w:r>
    </w:p>
    <w:p>
      <w:pPr>
        <w:pStyle w:val="TextBody"/>
        <w:bidi w:val="0"/>
        <w:jc w:val="left"/>
        <w:rPr>
          <w:rFonts w:ascii="Times New Roman" w:hAnsi="Times New Roman"/>
          <w:sz w:val="20"/>
        </w:rPr>
      </w:pPr>
      <w:r>
        <w:rPr>
          <w:rFonts w:ascii="Arial" w:hAnsi="Arial"/>
          <w:color w:val="000000"/>
          <w:sz w:val="20"/>
        </w:rPr>
        <w:t>On November 6, 2023, the Company entered into a Transition Agreement with its previous Chief Financial Officer (Prior CFO), pursuant to which the Company modified its Prior CFO's outstanding stock options and restricted stock units.</w:t>
      </w:r>
      <w:r>
        <w:rPr>
          <w:rFonts w:ascii="Times New Roman" w:hAnsi="Times New Roman"/>
          <w:color w:val="000000"/>
          <w:sz w:val="20"/>
        </w:rPr>
        <w:t xml:space="preserve"> </w:t>
      </w:r>
      <w:r>
        <w:rPr>
          <w:rFonts w:ascii="Arial" w:hAnsi="Arial"/>
          <w:color w:val="000000"/>
          <w:sz w:val="20"/>
        </w:rPr>
        <w:t>As a result of this modification, the Company recognized additional compensation expense of $1.3</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during the years ended December 31, 2024 and 2023, respectively. The Company recognized no</w:t>
      </w:r>
      <w:r>
        <w:rPr>
          <w:rFonts w:ascii="Times New Roman" w:hAnsi="Times New Roman"/>
          <w:color w:val="000000"/>
          <w:sz w:val="20"/>
        </w:rPr>
        <w:t xml:space="preserve"> </w:t>
      </w:r>
      <w:r>
        <w:rPr>
          <w:rFonts w:ascii="Arial" w:hAnsi="Arial"/>
          <w:color w:val="000000"/>
          <w:sz w:val="20"/>
        </w:rPr>
        <w:t>additional compensation expense for the year ended December 31, 2025.</w:t>
      </w:r>
    </w:p>
    <w:p>
      <w:pPr>
        <w:pStyle w:val="TextBody"/>
        <w:bidi w:val="0"/>
        <w:spacing w:before="200" w:after="283"/>
        <w:jc w:val="left"/>
        <w:rPr>
          <w:rFonts w:ascii="Arial" w:hAnsi="Arial"/>
          <w:b/>
          <w:color w:val="000000"/>
          <w:sz w:val="20"/>
        </w:rPr>
      </w:pPr>
      <w:bookmarkStart w:id="43" w:name="note_13"/>
      <w:bookmarkEnd w:id="43"/>
      <w:r>
        <w:rPr>
          <w:rFonts w:ascii="Arial" w:hAnsi="Arial"/>
          <w:b/>
          <w:color w:val="000000"/>
          <w:sz w:val="20"/>
        </w:rPr>
        <w:t>Note 15. Net Income (Loss) per Share</w:t>
      </w:r>
    </w:p>
    <w:p>
      <w:pPr>
        <w:pStyle w:val="TextBody"/>
        <w:bidi w:val="0"/>
        <w:spacing w:before="200" w:after="200"/>
        <w:jc w:val="left"/>
        <w:rPr>
          <w:rFonts w:ascii="Arial" w:hAnsi="Arial"/>
          <w:color w:val="000000"/>
          <w:sz w:val="20"/>
        </w:rPr>
      </w:pPr>
      <w:r>
        <w:rPr>
          <w:rFonts w:ascii="Arial" w:hAnsi="Arial"/>
          <w:color w:val="000000"/>
          <w:sz w:val="20"/>
        </w:rPr>
        <w:t>Basic and diluted net income (loss)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5612"/>
        <w:gridCol w:w="211"/>
        <w:gridCol w:w="1141"/>
        <w:gridCol w:w="146"/>
        <w:gridCol w:w="211"/>
        <w:gridCol w:w="1141"/>
        <w:gridCol w:w="146"/>
        <w:gridCol w:w="211"/>
        <w:gridCol w:w="1386"/>
      </w:tblGrid>
      <w:tr>
        <w:trPr/>
        <w:tc>
          <w:tcPr>
            <w:tcW w:w="5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Numerator: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(8,566)</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(loss) attributable to common stockholders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(8,566)</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Denominator: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Weighted average common shares outstanding –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122,377,814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124,269,820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114,828,494</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Effect of potentially dilutive stock options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3,083,902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4,550,017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Effect of potentially dilutive restricted common stock</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2,285,760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Weighted average common shares outstanding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127,747,476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129,339,462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114,828,494</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income (loss)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(loss) per share attributable to common stockholders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(0.07)</w:t>
            </w:r>
          </w:p>
        </w:tc>
      </w:tr>
      <w:tr>
        <w:trPr/>
        <w:tc>
          <w:tcPr>
            <w:tcW w:w="5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(loss) per share attributable to common stockholders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r>
    </w:tbl>
    <w:p>
      <w:pPr>
        <w:pStyle w:val="TextBody"/>
        <w:bidi w:val="0"/>
        <w:spacing w:before="200" w:after="200"/>
        <w:jc w:val="left"/>
        <w:rPr>
          <w:rFonts w:ascii="Arial" w:hAnsi="Arial"/>
          <w:color w:val="000000"/>
          <w:sz w:val="20"/>
        </w:rPr>
      </w:pPr>
      <w:r>
        <w:rPr>
          <w:rFonts w:ascii="Arial" w:hAnsi="Arial"/>
          <w:color w:val="000000"/>
          <w:sz w:val="20"/>
        </w:rPr>
        <w:t>For periods in which the Company is in a loss position, basic net loss per share attributable to common stockholders is the same as diluted net loss per share attributable to common stockholders. Outstanding potentially dilutive securities, which were excluded from the diluted net income (loss) per share calculations because they would have been antidilutive were as follows as of the dates presented:</w:t>
      </w:r>
    </w:p>
    <w:tbl>
      <w:tblPr>
        <w:tblW w:w="7109" w:type="dxa"/>
        <w:jc w:val="left"/>
        <w:tblInd w:w="0" w:type="dxa"/>
        <w:tblLayout w:type="fixed"/>
        <w:tblCellMar>
          <w:top w:w="28" w:type="dxa"/>
          <w:left w:w="28" w:type="dxa"/>
          <w:bottom w:w="28" w:type="dxa"/>
          <w:right w:w="28" w:type="dxa"/>
        </w:tblCellMar>
      </w:tblPr>
      <w:tblGrid>
        <w:gridCol w:w="3436"/>
        <w:gridCol w:w="146"/>
        <w:gridCol w:w="931"/>
        <w:gridCol w:w="146"/>
        <w:gridCol w:w="146"/>
        <w:gridCol w:w="931"/>
        <w:gridCol w:w="146"/>
        <w:gridCol w:w="146"/>
        <w:gridCol w:w="10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3,467,126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4,641,715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4,430,725</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1,388,199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8,107,861</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4,855,325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5,483,642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12,538,586</w:t>
            </w:r>
          </w:p>
        </w:tc>
      </w:tr>
    </w:tbl>
    <w:p>
      <w:pPr>
        <w:pStyle w:val="TextBody"/>
        <w:bidi w:val="0"/>
        <w:jc w:val="left"/>
        <w:rPr/>
      </w:pPr>
      <w:r>
        <w:rPr/>
        <w:t> </w:t>
      </w:r>
    </w:p>
    <w:p>
      <w:pPr>
        <w:pStyle w:val="TextBody"/>
        <w:bidi w:val="0"/>
        <w:jc w:val="left"/>
        <w:rPr>
          <w:rFonts w:ascii="Arial" w:hAnsi="Arial"/>
          <w:b/>
          <w:color w:val="000000"/>
          <w:sz w:val="20"/>
        </w:rPr>
      </w:pPr>
      <w:bookmarkStart w:id="44" w:name="note_14"/>
      <w:bookmarkEnd w:id="44"/>
      <w:r>
        <w:rPr>
          <w:rFonts w:ascii="Arial" w:hAnsi="Arial"/>
          <w:b/>
          <w:color w:val="000000"/>
          <w:sz w:val="20"/>
        </w:rPr>
        <w:t>Note 16. Income Taxes</w:t>
      </w:r>
    </w:p>
    <w:p>
      <w:pPr>
        <w:pStyle w:val="TextBody"/>
        <w:bidi w:val="0"/>
        <w:spacing w:before="200" w:after="200"/>
        <w:jc w:val="left"/>
        <w:rPr>
          <w:rFonts w:ascii="Arial" w:hAnsi="Arial"/>
          <w:color w:val="000000"/>
          <w:sz w:val="20"/>
        </w:rPr>
      </w:pPr>
      <w:r>
        <w:rPr>
          <w:rFonts w:ascii="Arial" w:hAnsi="Arial"/>
          <w:color w:val="000000"/>
          <w:sz w:val="20"/>
        </w:rPr>
        <w:t>The following table presents the components of income (loss) before income taxes (in thousands):</w:t>
      </w:r>
    </w:p>
    <w:tbl>
      <w:tblPr>
        <w:tblW w:w="6329" w:type="dxa"/>
        <w:jc w:val="left"/>
        <w:tblInd w:w="0" w:type="dxa"/>
        <w:tblLayout w:type="fixed"/>
        <w:tblCellMar>
          <w:top w:w="28" w:type="dxa"/>
          <w:left w:w="28" w:type="dxa"/>
          <w:bottom w:w="28" w:type="dxa"/>
          <w:right w:w="28" w:type="dxa"/>
        </w:tblCellMar>
      </w:tblPr>
      <w:tblGrid>
        <w:gridCol w:w="3076"/>
        <w:gridCol w:w="211"/>
        <w:gridCol w:w="691"/>
        <w:gridCol w:w="146"/>
        <w:gridCol w:w="211"/>
        <w:gridCol w:w="796"/>
        <w:gridCol w:w="146"/>
        <w:gridCol w:w="211"/>
        <w:gridCol w:w="841"/>
      </w:tblGrid>
      <w:tr>
        <w:trPr/>
        <w:tc>
          <w:tcPr>
            <w:tcW w:w="3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United States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(23,190)</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18,838</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Income (loss) before income taxes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(4,352)</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components of the Company’s provision for (benefit from) income taxes (in thousands):</w:t>
      </w:r>
    </w:p>
    <w:tbl>
      <w:tblPr>
        <w:tblW w:w="6539" w:type="dxa"/>
        <w:jc w:val="left"/>
        <w:tblInd w:w="0" w:type="dxa"/>
        <w:tblLayout w:type="fixed"/>
        <w:tblCellMar>
          <w:top w:w="28" w:type="dxa"/>
          <w:left w:w="28" w:type="dxa"/>
          <w:bottom w:w="28" w:type="dxa"/>
          <w:right w:w="28" w:type="dxa"/>
        </w:tblCellMar>
      </w:tblPr>
      <w:tblGrid>
        <w:gridCol w:w="3616"/>
        <w:gridCol w:w="211"/>
        <w:gridCol w:w="691"/>
        <w:gridCol w:w="146"/>
        <w:gridCol w:w="211"/>
        <w:gridCol w:w="691"/>
        <w:gridCol w:w="146"/>
        <w:gridCol w:w="211"/>
        <w:gridCol w:w="616"/>
      </w:tblGrid>
      <w:tr>
        <w:trPr/>
        <w:tc>
          <w:tcPr>
            <w:tcW w:w="3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United States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Federal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State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4,011</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provision for income taxes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4,142</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Deferred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United States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Federal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55</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State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deferred 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Provision for (benefit from) income taxes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4,214</w:t>
            </w:r>
          </w:p>
        </w:tc>
      </w:tr>
    </w:tbl>
    <w:p>
      <w:pPr>
        <w:pStyle w:val="TextBody"/>
        <w:bidi w:val="0"/>
        <w:spacing w:before="200" w:after="200"/>
        <w:jc w:val="left"/>
        <w:rPr>
          <w:rFonts w:ascii="Arial" w:hAnsi="Arial"/>
          <w:color w:val="000000"/>
          <w:sz w:val="20"/>
        </w:rPr>
      </w:pPr>
      <w:r>
        <w:rPr>
          <w:rFonts w:ascii="Arial" w:hAnsi="Arial"/>
          <w:color w:val="000000"/>
          <w:sz w:val="20"/>
        </w:rPr>
        <w:t>We have elected to prospectively adopt the guidance in ASU 2023-09. The following table is a reconciliation of the United States (“U.S.”) federal statutory income tax rate to the Company’s effective income tax rate for the year ended December 31, 2025 in accordance with the guidance in ASU 2023-09 (dollars in thousands):</w:t>
      </w:r>
    </w:p>
    <w:tbl>
      <w:tblPr>
        <w:tblW w:w="8754" w:type="dxa"/>
        <w:jc w:val="left"/>
        <w:tblInd w:w="0" w:type="dxa"/>
        <w:tblLayout w:type="fixed"/>
        <w:tblCellMar>
          <w:top w:w="28" w:type="dxa"/>
          <w:left w:w="28" w:type="dxa"/>
          <w:bottom w:w="28" w:type="dxa"/>
          <w:right w:w="28" w:type="dxa"/>
        </w:tblCellMar>
      </w:tblPr>
      <w:tblGrid>
        <w:gridCol w:w="6371"/>
        <w:gridCol w:w="235"/>
        <w:gridCol w:w="770"/>
        <w:gridCol w:w="162"/>
        <w:gridCol w:w="1216"/>
      </w:tblGrid>
      <w:tr>
        <w:trPr/>
        <w:tc>
          <w:tcPr>
            <w:tcW w:w="63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U.S. federal statutory income tax rate</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State and local income taxes, net of federal income tax benefit/effect </w:t>
            </w:r>
            <w:r>
              <w:rPr>
                <w:rFonts w:ascii="Arial" w:hAnsi="Arial"/>
                <w:color w:val="000000"/>
                <w:sz w:val="12"/>
              </w:rPr>
              <w:t>(a)</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 tax effects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Australia</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Statutory tax rate difference between Australia and United States federal</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3.7%</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Non-taxable income</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(1.8)%</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Equity-based compensation</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1.2%</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taxable income</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2.7%</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4.6%</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Israel</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Equity-based compensation</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1.1%</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adjustments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(2.5)%</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Mexico</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Tax-deductible intangible assets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(3.5)%</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0.4%</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Spain</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Equity-based compensation</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1.4%</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Research and development tax credits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(3.2)%</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(1.1)%</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United Kingdom</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Equity-based compensation</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1.6%</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(0.4)%</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Other foreign jurisdictions </w:t>
            </w:r>
            <w:r>
              <w:rPr>
                <w:rFonts w:ascii="Arial" w:hAnsi="Arial"/>
                <w:color w:val="000000"/>
                <w:sz w:val="12"/>
              </w:rPr>
              <w:t>(b)</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cross-border tax laws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Global intangible low-taxed income inclusion</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Non-deductible or non-taxable items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Equity-based compensation</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14.3%</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Excess executive compensation</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19.7%</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 credits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 tax credits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Changes in valuation allowances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Changes in unrecognized tax benefits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r>
      <w:tr>
        <w:trPr/>
        <w:tc>
          <w:tcPr>
            <w:tcW w:w="6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adjustments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r>
      <w:tr>
        <w:trPr/>
        <w:tc>
          <w:tcPr>
            <w:tcW w:w="6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Effective income tax rate</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7,943</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6" w:space="1" w:color="000000"/>
        </w:pBdr>
        <w:bidi w:val="0"/>
        <w:spacing w:before="0" w:after="60"/>
        <w:jc w:val="left"/>
        <w:rPr/>
      </w:pPr>
      <w:r>
        <w:rPr/>
        <w:t> </w:t>
      </w:r>
    </w:p>
    <w:p>
      <w:pPr>
        <w:pStyle w:val="TextBody"/>
        <w:bidi w:val="0"/>
        <w:spacing w:before="0" w:after="60"/>
        <w:jc w:val="left"/>
        <w:rPr>
          <w:rFonts w:ascii="Times New Roman" w:hAnsi="Times New Roman"/>
          <w:sz w:val="20"/>
        </w:rPr>
      </w:pPr>
      <w:r>
        <w:rPr>
          <w:rFonts w:ascii="Arial" w:hAnsi="Arial"/>
          <w:color w:val="000000"/>
          <w:sz w:val="12"/>
        </w:rPr>
        <w:t>(a)</w:t>
      </w:r>
      <w:r>
        <w:rPr>
          <w:rFonts w:ascii="Times New Roman" w:hAnsi="Times New Roman"/>
          <w:color w:val="000000"/>
          <w:sz w:val="20"/>
        </w:rPr>
        <w:t xml:space="preserve"> </w:t>
      </w:r>
      <w:r>
        <w:rPr>
          <w:rFonts w:ascii="Arial" w:hAnsi="Arial"/>
          <w:color w:val="000000"/>
          <w:sz w:val="16"/>
        </w:rPr>
        <w:t>The jurisdictions that contribute to the majority of the tax effect in this category are California, Florida, Massachusetts, and Michigan.</w:t>
      </w:r>
    </w:p>
    <w:p>
      <w:pPr>
        <w:pStyle w:val="TextBody"/>
        <w:bidi w:val="0"/>
        <w:spacing w:before="0" w:after="200"/>
        <w:jc w:val="left"/>
        <w:rPr>
          <w:rFonts w:ascii="Times New Roman" w:hAnsi="Times New Roman"/>
          <w:sz w:val="20"/>
        </w:rPr>
      </w:pPr>
      <w:r>
        <w:rPr>
          <w:rFonts w:ascii="Arial" w:hAnsi="Arial"/>
          <w:color w:val="000000"/>
          <w:sz w:val="12"/>
        </w:rPr>
        <w:t>(b)</w:t>
      </w:r>
      <w:r>
        <w:rPr>
          <w:rFonts w:ascii="Times New Roman" w:hAnsi="Times New Roman"/>
          <w:color w:val="000000"/>
          <w:sz w:val="20"/>
        </w:rPr>
        <w:t xml:space="preserve"> </w:t>
      </w:r>
      <w:r>
        <w:rPr>
          <w:rFonts w:ascii="Arial" w:hAnsi="Arial"/>
          <w:color w:val="000000"/>
          <w:sz w:val="16"/>
        </w:rPr>
        <w:t>The jurisdictions that contribute to the majority of the tax effect in this category are Canada, China, and Japan.</w:t>
      </w:r>
    </w:p>
    <w:p>
      <w:pPr>
        <w:pStyle w:val="TextBody"/>
        <w:bidi w:val="0"/>
        <w:spacing w:before="0" w:after="200"/>
        <w:jc w:val="left"/>
        <w:rPr>
          <w:rFonts w:ascii="Arial" w:hAnsi="Arial"/>
          <w:color w:val="000000"/>
          <w:sz w:val="20"/>
        </w:rPr>
      </w:pPr>
      <w:r>
        <w:rPr>
          <w:rFonts w:ascii="Arial" w:hAnsi="Arial"/>
          <w:color w:val="000000"/>
          <w:sz w:val="20"/>
        </w:rPr>
        <w:t>The following table is a reconciliation of the U.S. federal statutory income tax rate to the Company’s effective income tax rate for the years ended December 31, 2024 and 2023 in accordance with the guidance prior to the adoption of ASU 2023-09 (dollars in thousands):</w:t>
      </w:r>
    </w:p>
    <w:tbl>
      <w:tblPr>
        <w:tblW w:w="8075" w:type="dxa"/>
        <w:jc w:val="left"/>
        <w:tblInd w:w="0" w:type="dxa"/>
        <w:tblLayout w:type="fixed"/>
        <w:tblCellMar>
          <w:top w:w="28" w:type="dxa"/>
          <w:left w:w="28" w:type="dxa"/>
          <w:bottom w:w="28" w:type="dxa"/>
          <w:right w:w="28" w:type="dxa"/>
        </w:tblCellMar>
      </w:tblPr>
      <w:tblGrid>
        <w:gridCol w:w="3981"/>
        <w:gridCol w:w="211"/>
        <w:gridCol w:w="691"/>
        <w:gridCol w:w="146"/>
        <w:gridCol w:w="856"/>
        <w:gridCol w:w="146"/>
        <w:gridCol w:w="211"/>
        <w:gridCol w:w="691"/>
        <w:gridCol w:w="146"/>
        <w:gridCol w:w="996"/>
      </w:tblGrid>
      <w:tr>
        <w:trPr/>
        <w:tc>
          <w:tcPr>
            <w:tcW w:w="3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Federal statutory income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21.0%</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State income taxes, net of federal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16.6%</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Non-deductible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(4.2)%</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Imputed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(2.6)%</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Fair value of contingent consideration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(1.8)%</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Global intangible low-taxed income inclusion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(71.9)%</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Equity-based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107.3%</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 credits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Excess executive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(42.9)%</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uncertain tax position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0.7%</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valuation allowance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(62.8)%</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rate differential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(23.3)%</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statutory rate changes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(29.8)%</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withholding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(3.1)%</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Return to provision and other adjustments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Effective income tax rate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(96.8)%</w:t>
            </w:r>
          </w:p>
        </w:tc>
      </w:tr>
    </w:tbl>
    <w:p>
      <w:pPr>
        <w:pStyle w:val="TextBody"/>
        <w:bidi w:val="0"/>
        <w:spacing w:before="200" w:after="200"/>
        <w:jc w:val="left"/>
        <w:rPr>
          <w:rFonts w:ascii="Times New Roman" w:hAnsi="Times New Roman"/>
          <w:sz w:val="20"/>
        </w:rPr>
      </w:pPr>
      <w:r>
        <w:rPr>
          <w:rFonts w:ascii="Arial" w:hAnsi="Arial"/>
          <w:color w:val="000000"/>
          <w:sz w:val="20"/>
        </w:rPr>
        <w:t>During the years ended December 31, 2025 and 2023, the Company recorded an income tax provision of $7.9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$4.2</w:t>
      </w:r>
      <w:r>
        <w:rPr>
          <w:rFonts w:ascii="Times New Roman" w:hAnsi="Times New Roman"/>
          <w:color w:val="000000"/>
          <w:sz w:val="20"/>
        </w:rPr>
        <w:t xml:space="preserve"> </w:t>
      </w:r>
      <w:r>
        <w:rPr>
          <w:rFonts w:ascii="Arial" w:hAnsi="Arial"/>
          <w:color w:val="000000"/>
          <w:sz w:val="20"/>
        </w:rPr>
        <w:t>million, respectively, and for the year ended December 31, 2024, the Company recorded an income tax benefit of $1.0</w:t>
      </w:r>
      <w:r>
        <w:rPr>
          <w:rFonts w:ascii="Times New Roman" w:hAnsi="Times New Roman"/>
          <w:color w:val="000000"/>
          <w:sz w:val="20"/>
        </w:rPr>
        <w:t xml:space="preserve"> </w:t>
      </w:r>
      <w:r>
        <w:rPr>
          <w:rFonts w:ascii="Arial" w:hAnsi="Arial"/>
          <w:color w:val="000000"/>
          <w:sz w:val="20"/>
        </w:rPr>
        <w:t>million, which is primarily attributable to foreign activity and U.S. state taxes. The $1.0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income tax benefit for the year ended December 31, 2024, also reflected a release of a portion of the U.S. valuation allowance due to deferred tax liabilities recorded as part of the Invoiced acquisition.</w:t>
      </w:r>
    </w:p>
    <w:p>
      <w:pPr>
        <w:pStyle w:val="TextBody"/>
        <w:bidi w:val="0"/>
        <w:spacing w:before="0" w:after="200"/>
        <w:jc w:val="left"/>
        <w:rPr>
          <w:rFonts w:ascii="Arial" w:hAnsi="Arial"/>
          <w:color w:val="000000"/>
          <w:sz w:val="20"/>
        </w:rPr>
      </w:pPr>
      <w:r>
        <w:rPr>
          <w:rFonts w:ascii="Arial" w:hAnsi="Arial"/>
          <w:color w:val="000000"/>
          <w:sz w:val="20"/>
        </w:rPr>
        <w:t>On July 4, 2025, the U.S. government enacted The One Big Beautiful Bill Act of 2025 ("OBBBA") which includes, among other provisions, changes to the U.S. corporate income tax system. These changes are generally effective for tax years beginning after December 31, 2025, except for changes related to the immediate expensing of research and development expenditures, including ability to deduct 100% or 50% (over 2 years) of unamortized domestic research and experimental expenditures, and the reinstatement of 100% bonus depreciation, which were retroactively effective for tax years beginning after December 31, 2024 and for property placed in service after January 19, 2025, respectively. The changes that were retroactively enacted were reflected in the income tax provision for the year ended December 31, 2025 and did not have a material effect on our financial statements. The Company will continue to assess the changes effective for tax years beginning after December 31, 2025, but does not expect such changes will have a material effect on our financial statements in future periods.</w:t>
      </w:r>
    </w:p>
    <w:p>
      <w:pPr>
        <w:pStyle w:val="TextBody"/>
        <w:bidi w:val="0"/>
        <w:spacing w:before="0" w:after="200"/>
        <w:jc w:val="left"/>
        <w:rPr>
          <w:rFonts w:ascii="Times New Roman" w:hAnsi="Times New Roman"/>
          <w:sz w:val="20"/>
        </w:rPr>
      </w:pPr>
      <w:r>
        <w:rPr>
          <w:rFonts w:ascii="Arial" w:hAnsi="Arial"/>
          <w:color w:val="000000"/>
          <w:sz w:val="20"/>
        </w:rPr>
        <w:t>During the year ended December 31, 2025, the Company paid income taxes (net of refunds received) of $11.1</w:t>
      </w:r>
      <w:r>
        <w:rPr>
          <w:rFonts w:ascii="Times New Roman" w:hAnsi="Times New Roman"/>
          <w:color w:val="000000"/>
          <w:sz w:val="20"/>
        </w:rPr>
        <w:t xml:space="preserve"> </w:t>
      </w:r>
      <w:r>
        <w:rPr>
          <w:rFonts w:ascii="Arial" w:hAnsi="Arial"/>
          <w:color w:val="000000"/>
          <w:sz w:val="20"/>
        </w:rPr>
        <w:t>million. A reconciliation of the amount of income taxes paid (net of refunds received) is as follows (in thousands):</w:t>
      </w:r>
    </w:p>
    <w:tbl>
      <w:tblPr>
        <w:tblW w:w="3633" w:type="dxa"/>
        <w:jc w:val="left"/>
        <w:tblInd w:w="0" w:type="dxa"/>
        <w:tblLayout w:type="fixed"/>
        <w:tblCellMar>
          <w:top w:w="28" w:type="dxa"/>
          <w:left w:w="28" w:type="dxa"/>
          <w:bottom w:w="28" w:type="dxa"/>
          <w:right w:w="28" w:type="dxa"/>
        </w:tblCellMar>
      </w:tblPr>
      <w:tblGrid>
        <w:gridCol w:w="2406"/>
        <w:gridCol w:w="211"/>
        <w:gridCol w:w="1016"/>
      </w:tblGrid>
      <w:tr>
        <w:trPr/>
        <w:tc>
          <w:tcPr>
            <w:tcW w:w="2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Federal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State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1,352</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Australia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6,467</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Canada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Arial" w:hAnsi="Arial"/>
                <w:color w:val="000000"/>
                <w:sz w:val="18"/>
              </w:rPr>
            </w:pPr>
            <w:r>
              <w:rPr>
                <w:rFonts w:ascii="Arial" w:hAnsi="Arial"/>
                <w:color w:val="000000"/>
                <w:sz w:val="18"/>
              </w:rPr>
              <w:t>800</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Singapore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721</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foreign jurisdictions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1,382</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11,102</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During the years ended December 31, 2024 and 2023, the Company paid income taxes (net of refunds received) of $7.7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$4.2</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0" w:after="200"/>
        <w:jc w:val="left"/>
        <w:rPr>
          <w:rFonts w:ascii="Arial" w:hAnsi="Arial"/>
          <w:color w:val="000000"/>
          <w:sz w:val="20"/>
        </w:rPr>
      </w:pPr>
      <w:r>
        <w:rPr>
          <w:rFonts w:ascii="Arial" w:hAnsi="Arial"/>
          <w:color w:val="000000"/>
          <w:sz w:val="20"/>
        </w:rPr>
        <w:t>The Company’s deferred tax assets and liabilities consisted of the following components (in thousands):</w:t>
      </w:r>
    </w:p>
    <w:tbl>
      <w:tblPr>
        <w:tblW w:w="6356" w:type="dxa"/>
        <w:jc w:val="left"/>
        <w:tblInd w:w="0" w:type="dxa"/>
        <w:tblLayout w:type="fixed"/>
        <w:tblCellMar>
          <w:top w:w="28" w:type="dxa"/>
          <w:left w:w="28" w:type="dxa"/>
          <w:bottom w:w="28" w:type="dxa"/>
          <w:right w:w="28" w:type="dxa"/>
        </w:tblCellMar>
      </w:tblPr>
      <w:tblGrid>
        <w:gridCol w:w="3951"/>
        <w:gridCol w:w="211"/>
        <w:gridCol w:w="796"/>
        <w:gridCol w:w="146"/>
        <w:gridCol w:w="211"/>
        <w:gridCol w:w="1041"/>
      </w:tblGrid>
      <w:tr>
        <w:trPr/>
        <w:tc>
          <w:tcPr>
            <w:tcW w:w="3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Deferred tax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18,901</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484</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Credit carryforwards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6,673</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1,805</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6,461</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Lease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711</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Capitalized research and development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25,666</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foreign exchange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3,160</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temporary differences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deferred tax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64,233</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asset valuation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(44,191)</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20,042</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Deferred tax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Intangible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(25,008)</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Goodwill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(1,318)</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Right-of-use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(669)</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contract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(2,105)</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temporary differences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deferred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(29,119)</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deferred tax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(9,077)</w:t>
            </w:r>
          </w:p>
        </w:tc>
      </w:tr>
    </w:tbl>
    <w:p>
      <w:pPr>
        <w:pStyle w:val="TextBody"/>
        <w:bidi w:val="0"/>
        <w:spacing w:before="200" w:after="283"/>
        <w:jc w:val="left"/>
        <w:rPr>
          <w:rFonts w:ascii="Times New Roman" w:hAnsi="Times New Roman"/>
          <w:sz w:val="20"/>
        </w:rPr>
      </w:pPr>
      <w:r>
        <w:rPr>
          <w:rFonts w:ascii="Arial" w:hAnsi="Arial"/>
          <w:color w:val="000000"/>
          <w:sz w:val="20"/>
        </w:rPr>
        <w:t>As of December 31, 2025, the Company had gross federal and state net operating loss (“NOL”) carryforwards of $48.1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$81.6</w:t>
      </w:r>
      <w:r>
        <w:rPr>
          <w:rFonts w:ascii="Times New Roman" w:hAnsi="Times New Roman"/>
          <w:color w:val="000000"/>
          <w:sz w:val="20"/>
        </w:rPr>
        <w:t xml:space="preserve"> </w:t>
      </w:r>
      <w:r>
        <w:rPr>
          <w:rFonts w:ascii="Arial" w:hAnsi="Arial"/>
          <w:color w:val="000000"/>
          <w:sz w:val="20"/>
        </w:rPr>
        <w:t>million, respectively, out of which $2.4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federal NOL carryforwards and $81.6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state NOL carryforwards both begin to expire in 2031. Additionally, $45.7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federal NOL carryforwards have indefinite lives. As of December 31, 2025, the Company has gross foreign NOL carryforwards of $1.5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which have indefinite lives. The federal, state, and foreign NOL carryforwards may be available to reduce future federal, state, and foreign taxable income, respectively.</w:t>
      </w:r>
    </w:p>
    <w:p>
      <w:pPr>
        <w:pStyle w:val="TextBody"/>
        <w:bidi w:val="0"/>
        <w:spacing w:before="200" w:after="283"/>
        <w:jc w:val="left"/>
        <w:rPr>
          <w:rFonts w:ascii="Times New Roman" w:hAnsi="Times New Roman"/>
          <w:sz w:val="20"/>
        </w:rPr>
      </w:pPr>
      <w:r>
        <w:rPr>
          <w:rFonts w:ascii="Arial" w:hAnsi="Arial"/>
          <w:color w:val="000000"/>
          <w:sz w:val="20"/>
        </w:rPr>
        <w:t>As of December 31, 2025, the Company had federal and state research and development tax credit carryforwards of $8.7</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respectively, which begin to expire in 2040 and 2028, respectively. The federal and state research and development tax credit carryforwards may be available to reduce future federal and state tax, respectively.</w:t>
      </w:r>
    </w:p>
    <w:p>
      <w:pPr>
        <w:pStyle w:val="TextBody"/>
        <w:bidi w:val="0"/>
        <w:spacing w:before="200" w:after="283"/>
        <w:jc w:val="left"/>
        <w:rPr>
          <w:rFonts w:ascii="Times New Roman" w:hAnsi="Times New Roman"/>
          <w:sz w:val="20"/>
        </w:rPr>
      </w:pPr>
      <w:r>
        <w:rPr>
          <w:rFonts w:ascii="Arial" w:hAnsi="Arial"/>
          <w:color w:val="000000"/>
          <w:sz w:val="20"/>
        </w:rPr>
        <w:t>Ownership changes, as defined under Internal Revenue Code Section 382, and similar state provisions may limit the amount of federal and state NOL and credit carryforwards that can be utilized annually to offset future federal and state taxable income and tax. Generally, an ownership change occurs when the ownership percentage of 5% or greater stockholders increases by more than 50% over a three-year</w:t>
      </w:r>
      <w:r>
        <w:rPr>
          <w:rFonts w:ascii="Times New Roman" w:hAnsi="Times New Roman"/>
          <w:color w:val="000000"/>
          <w:sz w:val="20"/>
        </w:rPr>
        <w:t xml:space="preserve"> </w:t>
      </w:r>
      <w:r>
        <w:rPr>
          <w:rFonts w:ascii="Arial" w:hAnsi="Arial"/>
          <w:color w:val="000000"/>
          <w:sz w:val="20"/>
        </w:rPr>
        <w:t>period. Accordingly, the purchase of the Company’s stock in amounts greater than specified levels could limit the Company’s ability to utilize federal and state NOL and credit carryforwards for tax purposes. During 2022, the Company completed a Section 382 study and as a result of the ownership changes identified, $1.6</w:t>
      </w:r>
      <w:r>
        <w:rPr>
          <w:rFonts w:ascii="Times New Roman" w:hAnsi="Times New Roman"/>
          <w:color w:val="000000"/>
          <w:sz w:val="20"/>
        </w:rPr>
        <w:t xml:space="preserve"> </w:t>
      </w:r>
      <w:r>
        <w:rPr>
          <w:rFonts w:ascii="Arial" w:hAnsi="Arial"/>
          <w:color w:val="000000"/>
          <w:sz w:val="20"/>
        </w:rPr>
        <w:t>million of Flywire’s NOLs and $0.2</w:t>
      </w:r>
      <w:r>
        <w:rPr>
          <w:rFonts w:ascii="Times New Roman" w:hAnsi="Times New Roman"/>
          <w:color w:val="000000"/>
          <w:sz w:val="20"/>
        </w:rPr>
        <w:t xml:space="preserve"> </w:t>
      </w:r>
      <w:r>
        <w:rPr>
          <w:rFonts w:ascii="Arial" w:hAnsi="Arial"/>
          <w:color w:val="000000"/>
          <w:sz w:val="20"/>
        </w:rPr>
        <w:t>million of Simplificare Inc.’s NOLs will expire unutilized, assuming sufficient taxable income is generated in the future. The Company updated its Section 382 study through the 2024 tax year, and determined there are no additional limitations in using federal and state NOL and credit carryforwards. The Company does not believe an ownership change within the meaning of Sections 382 and 383 has occurred through December 31, 2025. Therefore, the Company does not believe that its NOLs and credit carryforwards are limited or that any of its carryforwards would expire unused. The Company expects to refresh its Section 382 study in 2026.</w:t>
      </w:r>
    </w:p>
    <w:p>
      <w:pPr>
        <w:pStyle w:val="TextBody"/>
        <w:bidi w:val="0"/>
        <w:spacing w:before="200" w:after="283"/>
        <w:jc w:val="left"/>
        <w:rPr>
          <w:rFonts w:ascii="Times New Roman" w:hAnsi="Times New Roman"/>
          <w:sz w:val="20"/>
        </w:rPr>
      </w:pPr>
      <w:r>
        <w:rPr>
          <w:rFonts w:ascii="Arial" w:hAnsi="Arial"/>
          <w:color w:val="000000"/>
          <w:sz w:val="20"/>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The Company has evaluated the positive and negative evidence bearing upon the realizability and determined that it is more likely than not that the Company will not realize the benefits of the deferred tax assets, and as a result, the Company continues to maintain a valuation allowance against federal, state and certain foreign deferred tax assets as of December 31, 2025 and 2024. The Company will continue to maintain a full</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valuation allowance on its deferred tax assets until there is sufficient evidence to support the reversal of all or some portion of this allowance. The Company believes that there is a reasonable possibility that sufficient positive evidence may become available to reach a conclusion that a portion of the valuation allowance may no longer be needed in the foreseeable future.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the Company is able to actually achieve.</w:t>
      </w:r>
    </w:p>
    <w:p>
      <w:pPr>
        <w:pStyle w:val="TextBody"/>
        <w:bidi w:val="0"/>
        <w:spacing w:before="200" w:after="200"/>
        <w:jc w:val="left"/>
        <w:rPr>
          <w:rFonts w:ascii="Times New Roman" w:hAnsi="Times New Roman"/>
          <w:sz w:val="20"/>
        </w:rPr>
      </w:pPr>
      <w:r>
        <w:rPr>
          <w:rFonts w:ascii="Arial" w:hAnsi="Arial"/>
          <w:color w:val="000000"/>
          <w:sz w:val="20"/>
        </w:rPr>
        <w:t>During the year ended December 31, 2025, the Company recorded a net decrease in the valuation allowance of $5.0</w:t>
      </w:r>
      <w:r>
        <w:rPr>
          <w:rFonts w:ascii="Times New Roman" w:hAnsi="Times New Roman"/>
          <w:color w:val="000000"/>
          <w:sz w:val="20"/>
        </w:rPr>
        <w:t xml:space="preserve"> </w:t>
      </w:r>
      <w:r>
        <w:rPr>
          <w:rFonts w:ascii="Arial" w:hAnsi="Arial"/>
          <w:color w:val="000000"/>
          <w:sz w:val="20"/>
        </w:rPr>
        <w:t>million, which is primarily due to deferred tax liabilities as a result of tax deductible goodwill as part of the Sertifi acquisition and NOL utilization. During the year ended December 31, 2024, the Company recorded a net increase in the valuation allowance of $3.7</w:t>
      </w:r>
      <w:r>
        <w:rPr>
          <w:rFonts w:ascii="Times New Roman" w:hAnsi="Times New Roman"/>
          <w:color w:val="000000"/>
          <w:sz w:val="20"/>
        </w:rPr>
        <w:t xml:space="preserve"> </w:t>
      </w:r>
      <w:r>
        <w:rPr>
          <w:rFonts w:ascii="Arial" w:hAnsi="Arial"/>
          <w:color w:val="000000"/>
          <w:sz w:val="20"/>
        </w:rPr>
        <w:t>million, which is primarily due to an increase of $4.8</w:t>
      </w:r>
      <w:r>
        <w:rPr>
          <w:rFonts w:ascii="Times New Roman" w:hAnsi="Times New Roman"/>
          <w:color w:val="000000"/>
          <w:sz w:val="20"/>
        </w:rPr>
        <w:t xml:space="preserve"> </w:t>
      </w:r>
      <w:r>
        <w:rPr>
          <w:rFonts w:ascii="Arial" w:hAnsi="Arial"/>
          <w:color w:val="000000"/>
          <w:sz w:val="20"/>
        </w:rPr>
        <w:t>million related to capitalized research and development costs and $7.0</w:t>
      </w:r>
      <w:r>
        <w:rPr>
          <w:rFonts w:ascii="Times New Roman" w:hAnsi="Times New Roman"/>
          <w:color w:val="000000"/>
          <w:sz w:val="20"/>
        </w:rPr>
        <w:t xml:space="preserve"> </w:t>
      </w:r>
      <w:r>
        <w:rPr>
          <w:rFonts w:ascii="Arial" w:hAnsi="Arial"/>
          <w:color w:val="000000"/>
          <w:sz w:val="20"/>
        </w:rPr>
        <w:t>million research and development tax credit carryforwards as a result of research and development study conducted during</w:t>
      </w:r>
      <w:r>
        <w:rPr>
          <w:rFonts w:ascii="Times New Roman" w:hAnsi="Times New Roman"/>
          <w:color w:val="000000"/>
          <w:sz w:val="20"/>
        </w:rPr>
        <w:t xml:space="preserve"> </w:t>
      </w:r>
      <w:r>
        <w:rPr>
          <w:rFonts w:ascii="Arial" w:hAnsi="Arial"/>
          <w:color w:val="000000"/>
          <w:sz w:val="20"/>
        </w:rPr>
        <w:t>2024, offset by a valuation allowance release of $1.0</w:t>
      </w:r>
      <w:r>
        <w:rPr>
          <w:rFonts w:ascii="Times New Roman" w:hAnsi="Times New Roman"/>
          <w:color w:val="000000"/>
          <w:sz w:val="20"/>
        </w:rPr>
        <w:t xml:space="preserve"> </w:t>
      </w:r>
      <w:r>
        <w:rPr>
          <w:rFonts w:ascii="Arial" w:hAnsi="Arial"/>
          <w:color w:val="000000"/>
          <w:sz w:val="20"/>
        </w:rPr>
        <w:t>million in a foreign jurisdiction and $4.9</w:t>
      </w:r>
      <w:r>
        <w:rPr>
          <w:rFonts w:ascii="Times New Roman" w:hAnsi="Times New Roman"/>
          <w:color w:val="000000"/>
          <w:sz w:val="20"/>
        </w:rPr>
        <w:t xml:space="preserve"> </w:t>
      </w:r>
      <w:r>
        <w:rPr>
          <w:rFonts w:ascii="Arial" w:hAnsi="Arial"/>
          <w:color w:val="000000"/>
          <w:sz w:val="20"/>
        </w:rPr>
        <w:t>million release of valuation allowance against deferred tax liabilities acquired in the Invoiced acquisition. During the year ended December 31, 2023, the Company recorded a net increase in the valuation allowance of $2.8</w:t>
      </w:r>
      <w:r>
        <w:rPr>
          <w:rFonts w:ascii="Times New Roman" w:hAnsi="Times New Roman"/>
          <w:color w:val="000000"/>
          <w:sz w:val="20"/>
        </w:rPr>
        <w:t xml:space="preserve"> </w:t>
      </w:r>
      <w:r>
        <w:rPr>
          <w:rFonts w:ascii="Arial" w:hAnsi="Arial"/>
          <w:color w:val="000000"/>
          <w:sz w:val="20"/>
        </w:rPr>
        <w:t>million, which is primarily due to an increase of $12.1</w:t>
      </w:r>
      <w:r>
        <w:rPr>
          <w:rFonts w:ascii="Times New Roman" w:hAnsi="Times New Roman"/>
          <w:color w:val="000000"/>
          <w:sz w:val="20"/>
        </w:rPr>
        <w:t xml:space="preserve"> </w:t>
      </w:r>
      <w:r>
        <w:rPr>
          <w:rFonts w:ascii="Arial" w:hAnsi="Arial"/>
          <w:color w:val="000000"/>
          <w:sz w:val="20"/>
        </w:rPr>
        <w:t>million related to capitalized research and development costs, offset by NOL utilization in the U.S. and the U.K. Changes in the valuation allowance are summarized as follows (in thousands):</w:t>
      </w:r>
    </w:p>
    <w:tbl>
      <w:tblPr>
        <w:tblW w:w="8549" w:type="dxa"/>
        <w:jc w:val="left"/>
        <w:tblInd w:w="0" w:type="dxa"/>
        <w:tblLayout w:type="fixed"/>
        <w:tblCellMar>
          <w:top w:w="28" w:type="dxa"/>
          <w:left w:w="28" w:type="dxa"/>
          <w:bottom w:w="28" w:type="dxa"/>
          <w:right w:w="28" w:type="dxa"/>
        </w:tblCellMar>
      </w:tblPr>
      <w:tblGrid>
        <w:gridCol w:w="5191"/>
        <w:gridCol w:w="211"/>
        <w:gridCol w:w="796"/>
        <w:gridCol w:w="146"/>
        <w:gridCol w:w="211"/>
        <w:gridCol w:w="796"/>
        <w:gridCol w:w="146"/>
        <w:gridCol w:w="211"/>
        <w:gridCol w:w="841"/>
      </w:tblGrid>
      <w:tr>
        <w:trPr/>
        <w:tc>
          <w:tcPr>
            <w:tcW w:w="5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Valuation allowance at 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(37,627)</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recorded to income tax provision as part of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(2,817)</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Valuation allowance at end of year</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(40,444)</w:t>
            </w:r>
          </w:p>
        </w:tc>
      </w:tr>
    </w:tbl>
    <w:p>
      <w:pPr>
        <w:pStyle w:val="TextBody"/>
        <w:bidi w:val="0"/>
        <w:spacing w:before="200" w:after="283"/>
        <w:jc w:val="left"/>
        <w:rPr>
          <w:rFonts w:ascii="Arial" w:hAnsi="Arial"/>
          <w:color w:val="000000"/>
          <w:sz w:val="20"/>
        </w:rPr>
      </w:pPr>
      <w:r>
        <w:rPr>
          <w:rFonts w:ascii="Arial" w:hAnsi="Arial"/>
          <w:color w:val="000000"/>
          <w:sz w:val="20"/>
        </w:rPr>
        <w:t>The Company permanently reinvests its excess book over tax outside basis differences, including unremitted earnings and cumulative translation adjustments, of its foreign subsidiaries. No income taxes have been provided on such outside basis differences at December 31, 2025. Any permanently reinvested outside basis differences could reverse if we make distributions, sell our foreign subsidiaries or various other events occur, none of which were considered probable as of December 31, 2025. As of December 31, 2025, the amount of the unrecognized deferred income taxes related to such outside basis difference would not be material to our financial statements.</w:t>
      </w:r>
    </w:p>
    <w:p>
      <w:pPr>
        <w:pStyle w:val="TextBody"/>
        <w:bidi w:val="0"/>
        <w:spacing w:before="200" w:after="283"/>
        <w:jc w:val="left"/>
        <w:rPr>
          <w:rFonts w:ascii="Times New Roman" w:hAnsi="Times New Roman"/>
          <w:sz w:val="20"/>
        </w:rPr>
      </w:pPr>
      <w:r>
        <w:rPr>
          <w:rFonts w:ascii="Arial" w:hAnsi="Arial"/>
          <w:color w:val="000000"/>
          <w:sz w:val="20"/>
        </w:rPr>
        <w:t>As of December 31, 2025, 2024, and 2023, the Company accrued $1.3</w:t>
      </w:r>
      <w:r>
        <w:rPr>
          <w:rFonts w:ascii="Times New Roman" w:hAnsi="Times New Roman"/>
          <w:color w:val="000000"/>
          <w:sz w:val="20"/>
        </w:rPr>
        <w:t xml:space="preserve"> </w:t>
      </w:r>
      <w:r>
        <w:rPr>
          <w:rFonts w:ascii="Arial" w:hAnsi="Arial"/>
          <w:color w:val="000000"/>
          <w:sz w:val="20"/>
        </w:rPr>
        <w:t>million, $1.3</w:t>
      </w:r>
      <w:r>
        <w:rPr>
          <w:rFonts w:ascii="Times New Roman" w:hAnsi="Times New Roman"/>
          <w:color w:val="000000"/>
          <w:sz w:val="20"/>
        </w:rPr>
        <w:t xml:space="preserve"> </w:t>
      </w:r>
      <w:r>
        <w:rPr>
          <w:rFonts w:ascii="Arial" w:hAnsi="Arial"/>
          <w:color w:val="000000"/>
          <w:sz w:val="20"/>
        </w:rPr>
        <w:t>million, and $0.8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related to reserves for uncertain tax positions, inclusive of interest and penalties, respectively. This includes potential tax benefits of $0.3</w:t>
      </w:r>
      <w:r>
        <w:rPr>
          <w:rFonts w:ascii="Times New Roman" w:hAnsi="Times New Roman"/>
          <w:color w:val="000000"/>
          <w:sz w:val="20"/>
        </w:rPr>
        <w:t xml:space="preserve"> </w:t>
      </w:r>
      <w:r>
        <w:rPr>
          <w:rFonts w:ascii="Arial" w:hAnsi="Arial"/>
          <w:color w:val="000000"/>
          <w:sz w:val="20"/>
        </w:rPr>
        <w:t>million, $1.0</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respectively, that, when recognized, would impact the effective tax rate. As of December 31, 2025, $1.0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the reserve for uncertain tax positions is reflected as a reduction to deferred taxes and the remaining balance is recorded as a component of other liabilities in the consolidated balance sheet.</w:t>
      </w:r>
    </w:p>
    <w:p>
      <w:pPr>
        <w:pStyle w:val="TextBody"/>
        <w:bidi w:val="0"/>
        <w:spacing w:before="200" w:after="200"/>
        <w:jc w:val="left"/>
        <w:rPr>
          <w:rFonts w:ascii="Arial" w:hAnsi="Arial"/>
          <w:color w:val="000000"/>
          <w:sz w:val="20"/>
        </w:rPr>
      </w:pPr>
      <w:r>
        <w:rPr>
          <w:rFonts w:ascii="Arial" w:hAnsi="Arial"/>
          <w:color w:val="000000"/>
          <w:sz w:val="20"/>
        </w:rPr>
        <w:t>A reconciliation of the beginning and ending amount of unrecognized tax benefits, exclusive of interest and penalties, is as follows (in thousands):</w:t>
      </w:r>
    </w:p>
    <w:tbl>
      <w:tblPr>
        <w:tblW w:w="7424" w:type="dxa"/>
        <w:jc w:val="left"/>
        <w:tblInd w:w="0" w:type="dxa"/>
        <w:tblLayout w:type="fixed"/>
        <w:tblCellMar>
          <w:top w:w="28" w:type="dxa"/>
          <w:left w:w="28" w:type="dxa"/>
          <w:bottom w:w="28" w:type="dxa"/>
          <w:right w:w="28" w:type="dxa"/>
        </w:tblCellMar>
      </w:tblPr>
      <w:tblGrid>
        <w:gridCol w:w="4876"/>
        <w:gridCol w:w="211"/>
        <w:gridCol w:w="571"/>
        <w:gridCol w:w="146"/>
        <w:gridCol w:w="211"/>
        <w:gridCol w:w="571"/>
        <w:gridCol w:w="146"/>
        <w:gridCol w:w="211"/>
        <w:gridCol w:w="481"/>
      </w:tblGrid>
      <w:tr>
        <w:trPr/>
        <w:tc>
          <w:tcPr>
            <w:tcW w:w="4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659</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Increases related to tax positions taken during prior years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Decreases related to lapses in statute of limitations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Increases related to tax positions taken during current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end of year</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w:t>
            </w:r>
          </w:p>
        </w:tc>
      </w:tr>
    </w:tbl>
    <w:p>
      <w:pPr>
        <w:pStyle w:val="TextBody"/>
        <w:bidi w:val="0"/>
        <w:spacing w:before="200" w:after="200"/>
        <w:jc w:val="left"/>
        <w:rPr>
          <w:rFonts w:ascii="Times New Roman" w:hAnsi="Times New Roman"/>
          <w:sz w:val="20"/>
        </w:rPr>
      </w:pPr>
      <w:r>
        <w:rPr>
          <w:rFonts w:ascii="Arial" w:hAnsi="Arial"/>
          <w:color w:val="000000"/>
          <w:sz w:val="20"/>
        </w:rPr>
        <w:t>The Company did not recognize any accrued interest and penalties for the years ended December 31, 2025, 2024, and 2023 related to the reserves for uncertain tax positions in the income tax provision. Included in the total reserve for uncertain tax positions are accrued interest and penalties of $0.1</w:t>
      </w:r>
      <w:r>
        <w:rPr>
          <w:rFonts w:ascii="Times New Roman" w:hAnsi="Times New Roman"/>
          <w:color w:val="000000"/>
          <w:sz w:val="20"/>
        </w:rPr>
        <w:t xml:space="preserve"> </w:t>
      </w:r>
      <w:r>
        <w:rPr>
          <w:rFonts w:ascii="Arial" w:hAnsi="Arial"/>
          <w:color w:val="000000"/>
          <w:sz w:val="20"/>
        </w:rPr>
        <w:t>million,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at December 31, 2025, 2024, and 2023, respectively.</w:t>
      </w:r>
    </w:p>
    <w:p>
      <w:pPr>
        <w:pStyle w:val="TextBody"/>
        <w:bidi w:val="0"/>
        <w:jc w:val="left"/>
        <w:rPr>
          <w:rFonts w:ascii="Times New Roman" w:hAnsi="Times New Roman"/>
          <w:sz w:val="20"/>
        </w:rPr>
      </w:pPr>
      <w:r>
        <w:rPr>
          <w:rFonts w:ascii="Arial" w:hAnsi="Arial"/>
          <w:color w:val="000000"/>
          <w:sz w:val="20"/>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federal tax examinations by the Internal Revenue Service from 2022 to the present; however, carryforward attributes that were generated prior to 2022 may still be adjusted upon examination to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extent they will be used in a future period. The Company remains open to examination by other foreign tax authorities from 2021 to the present.</w:t>
      </w:r>
    </w:p>
    <w:p>
      <w:pPr>
        <w:pStyle w:val="TextBody"/>
        <w:bidi w:val="0"/>
        <w:spacing w:before="200" w:after="200"/>
        <w:jc w:val="left"/>
        <w:rPr>
          <w:rFonts w:ascii="Arial" w:hAnsi="Arial"/>
          <w:b/>
          <w:color w:val="000000"/>
          <w:sz w:val="20"/>
        </w:rPr>
      </w:pPr>
      <w:bookmarkStart w:id="45" w:name="note_15"/>
      <w:bookmarkEnd w:id="45"/>
      <w:r>
        <w:rPr>
          <w:rFonts w:ascii="Arial" w:hAnsi="Arial"/>
          <w:b/>
          <w:color w:val="000000"/>
          <w:sz w:val="20"/>
        </w:rPr>
        <w:t>Note 17. Leases</w:t>
      </w:r>
    </w:p>
    <w:p>
      <w:pPr>
        <w:pStyle w:val="TextBody"/>
        <w:bidi w:val="0"/>
        <w:spacing w:before="0" w:after="200"/>
        <w:jc w:val="left"/>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The Company leases certain real estate for its primary facilities under operating leases that expire at various dates between one and five years. There were no finance lease obligations as of December 31, 2025 and 2024.</w:t>
      </w:r>
    </w:p>
    <w:p>
      <w:pPr>
        <w:pStyle w:val="TextBody"/>
        <w:bidi w:val="0"/>
        <w:spacing w:before="0" w:after="200"/>
        <w:jc w:val="left"/>
        <w:rPr>
          <w:rFonts w:ascii="Arial" w:hAnsi="Arial"/>
          <w:color w:val="000000"/>
          <w:sz w:val="20"/>
        </w:rPr>
      </w:pPr>
      <w:r>
        <w:rPr>
          <w:rFonts w:ascii="Arial" w:hAnsi="Arial"/>
          <w:color w:val="000000"/>
          <w:sz w:val="20"/>
        </w:rPr>
        <w:t>ROU assets are included in other assets and operating lease liabilities are included in accrued expenses and other current liabilities and other liabilities in the consolidated balance sheets.</w:t>
      </w:r>
    </w:p>
    <w:tbl>
      <w:tblPr>
        <w:tblW w:w="6261" w:type="dxa"/>
        <w:jc w:val="left"/>
        <w:tblInd w:w="0" w:type="dxa"/>
        <w:tblLayout w:type="fixed"/>
        <w:tblCellMar>
          <w:top w:w="28" w:type="dxa"/>
          <w:left w:w="28" w:type="dxa"/>
          <w:bottom w:w="28" w:type="dxa"/>
          <w:right w:w="28" w:type="dxa"/>
        </w:tblCellMar>
      </w:tblPr>
      <w:tblGrid>
        <w:gridCol w:w="4306"/>
        <w:gridCol w:w="211"/>
        <w:gridCol w:w="571"/>
        <w:gridCol w:w="146"/>
        <w:gridCol w:w="211"/>
        <w:gridCol w:w="816"/>
      </w:tblGrid>
      <w:tr>
        <w:trPr/>
        <w:tc>
          <w:tcPr>
            <w:tcW w:w="4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 thousands except weighted-average figures)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ROU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3,381</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Current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1,719</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Long-term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1,815</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3,534</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remaining lease terms (in years)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discount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r>
    </w:tbl>
    <w:p>
      <w:pPr>
        <w:pStyle w:val="TextBody"/>
        <w:bidi w:val="0"/>
        <w:spacing w:before="200" w:after="200"/>
        <w:jc w:val="left"/>
        <w:rPr>
          <w:rFonts w:ascii="Arial" w:hAnsi="Arial"/>
          <w:color w:val="000000"/>
          <w:sz w:val="20"/>
        </w:rPr>
      </w:pPr>
      <w:r>
        <w:rPr>
          <w:rFonts w:ascii="Arial" w:hAnsi="Arial"/>
          <w:color w:val="000000"/>
          <w:sz w:val="20"/>
        </w:rPr>
        <w:t>Supplemental cash flow information related to leases was as follows (in thousands):</w:t>
      </w:r>
    </w:p>
    <w:tbl>
      <w:tblPr>
        <w:tblW w:w="9344" w:type="dxa"/>
        <w:jc w:val="left"/>
        <w:tblInd w:w="0" w:type="dxa"/>
        <w:tblLayout w:type="fixed"/>
        <w:tblCellMar>
          <w:top w:w="28" w:type="dxa"/>
          <w:left w:w="28" w:type="dxa"/>
          <w:bottom w:w="28" w:type="dxa"/>
          <w:right w:w="28" w:type="dxa"/>
        </w:tblCellMar>
      </w:tblPr>
      <w:tblGrid>
        <w:gridCol w:w="6661"/>
        <w:gridCol w:w="211"/>
        <w:gridCol w:w="571"/>
        <w:gridCol w:w="146"/>
        <w:gridCol w:w="211"/>
        <w:gridCol w:w="571"/>
        <w:gridCol w:w="146"/>
        <w:gridCol w:w="211"/>
        <w:gridCol w:w="616"/>
      </w:tblGrid>
      <w:tr>
        <w:trPr/>
        <w:tc>
          <w:tcPr>
            <w:tcW w:w="6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paid for amounts included in the measurement of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ROU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2,322</w:t>
            </w:r>
          </w:p>
        </w:tc>
      </w:tr>
    </w:tbl>
    <w:p>
      <w:pPr>
        <w:pStyle w:val="TextBody"/>
        <w:bidi w:val="0"/>
        <w:spacing w:before="200" w:after="200"/>
        <w:jc w:val="left"/>
        <w:rPr>
          <w:rFonts w:ascii="Arial" w:hAnsi="Arial"/>
          <w:color w:val="000000"/>
          <w:sz w:val="20"/>
        </w:rPr>
      </w:pPr>
      <w:r>
        <w:rPr>
          <w:rFonts w:ascii="Arial" w:hAnsi="Arial"/>
          <w:color w:val="000000"/>
          <w:sz w:val="20"/>
        </w:rPr>
        <w:t>Future minimum lease payments as of December 31, 2025, were as follows (in thousands):</w:t>
      </w:r>
    </w:p>
    <w:tbl>
      <w:tblPr>
        <w:tblW w:w="3978" w:type="dxa"/>
        <w:jc w:val="left"/>
        <w:tblInd w:w="0" w:type="dxa"/>
        <w:tblLayout w:type="fixed"/>
        <w:tblCellMar>
          <w:top w:w="28" w:type="dxa"/>
          <w:left w:w="28" w:type="dxa"/>
          <w:bottom w:w="28" w:type="dxa"/>
          <w:right w:w="28" w:type="dxa"/>
        </w:tblCellMar>
      </w:tblPr>
      <w:tblGrid>
        <w:gridCol w:w="3151"/>
        <w:gridCol w:w="211"/>
        <w:gridCol w:w="616"/>
      </w:tblGrid>
      <w:tr>
        <w:trPr/>
        <w:tc>
          <w:tcPr>
            <w:tcW w:w="3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Years Ending December 31,</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1,520</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undiscounted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4,062</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Present value discount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Lease liability, at present value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3,731</w:t>
            </w:r>
          </w:p>
        </w:tc>
      </w:tr>
    </w:tbl>
    <w:p>
      <w:pPr>
        <w:pStyle w:val="TextBody"/>
        <w:bidi w:val="0"/>
        <w:spacing w:before="200" w:after="200"/>
        <w:jc w:val="left"/>
        <w:rPr>
          <w:rFonts w:ascii="Arial" w:hAnsi="Arial"/>
          <w:color w:val="000000"/>
          <w:sz w:val="20"/>
        </w:rPr>
      </w:pPr>
      <w:r>
        <w:rPr>
          <w:rFonts w:ascii="Arial" w:hAnsi="Arial"/>
          <w:color w:val="000000"/>
          <w:sz w:val="20"/>
        </w:rPr>
        <w:t>The components of operating lease expense during the years ended December 31, 2025, 2024, and 2023 are shown on the table below (in thousands):</w:t>
      </w:r>
    </w:p>
    <w:tbl>
      <w:tblPr>
        <w:tblW w:w="5369" w:type="dxa"/>
        <w:jc w:val="left"/>
        <w:tblInd w:w="0" w:type="dxa"/>
        <w:tblLayout w:type="fixed"/>
        <w:tblCellMar>
          <w:top w:w="28" w:type="dxa"/>
          <w:left w:w="28" w:type="dxa"/>
          <w:bottom w:w="28" w:type="dxa"/>
          <w:right w:w="28" w:type="dxa"/>
        </w:tblCellMar>
      </w:tblPr>
      <w:tblGrid>
        <w:gridCol w:w="2686"/>
        <w:gridCol w:w="211"/>
        <w:gridCol w:w="571"/>
        <w:gridCol w:w="146"/>
        <w:gridCol w:w="211"/>
        <w:gridCol w:w="571"/>
        <w:gridCol w:w="146"/>
        <w:gridCol w:w="211"/>
        <w:gridCol w:w="616"/>
      </w:tblGrid>
      <w:tr>
        <w:trPr/>
        <w:tc>
          <w:tcPr>
            <w:tcW w:w="2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1,691</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lease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Variable lease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operating lease expense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2,087</w:t>
            </w:r>
          </w:p>
        </w:tc>
      </w:tr>
    </w:tbl>
    <w:p>
      <w:pPr>
        <w:pStyle w:val="TextBody"/>
        <w:bidi w:val="0"/>
        <w:jc w:val="left"/>
        <w:rPr/>
      </w:pPr>
      <w:r>
        <w:rPr/>
        <w:t> </w:t>
      </w:r>
    </w:p>
    <w:p>
      <w:pPr>
        <w:pStyle w:val="TextBody"/>
        <w:bidi w:val="0"/>
        <w:spacing w:before="0" w:after="200"/>
        <w:jc w:val="left"/>
        <w:rPr>
          <w:rFonts w:ascii="Times New Roman" w:hAnsi="Times New Roman"/>
          <w:sz w:val="20"/>
        </w:rPr>
      </w:pPr>
      <w:bookmarkStart w:id="46" w:name="note_16"/>
      <w:bookmarkEnd w:id="46"/>
      <w:r>
        <w:rPr>
          <w:rFonts w:ascii="Arial" w:hAnsi="Arial"/>
          <w:b/>
          <w:color w:val="000000"/>
          <w:sz w:val="20"/>
        </w:rPr>
        <w:t>Note 18. Commitments and Contingencies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i/>
          <w:color w:val="000000"/>
          <w:sz w:val="20"/>
        </w:rPr>
        <w:t>Legal proceedings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0"/>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occurrence of liability is probable, the Company will disclose the nature of the contingency, and if estimable, will provide the likely amount of such loss or range of loss.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As of December 31, 2025, other than the pending securities class action claim described below, the Company was not a party to any litigation the outcome of which, the Company believes, if determined adversely to it, would individually or in the aggregate, have a material adverse effect on its financial position, results of operations, or cash flows.</w:t>
      </w:r>
    </w:p>
    <w:p>
      <w:pPr>
        <w:pStyle w:val="TextBody"/>
        <w:bidi w:val="0"/>
        <w:spacing w:before="0" w:after="200"/>
        <w:jc w:val="left"/>
        <w:rPr>
          <w:rFonts w:ascii="Arial" w:hAnsi="Arial"/>
          <w:color w:val="000000"/>
          <w:sz w:val="20"/>
        </w:rPr>
      </w:pPr>
      <w:r>
        <w:rPr>
          <w:rFonts w:ascii="Arial" w:hAnsi="Arial"/>
          <w:color w:val="000000"/>
          <w:sz w:val="20"/>
        </w:rPr>
        <w:t>In the course of enhancing its sanctions compliance function, the Company initiated an internal review that identified issues related to the Company’s compliance with sanctions promulgated by the U.S. Treasury Department’s Office of Foreign Assets Control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pStyle w:val="TextBody"/>
        <w:bidi w:val="0"/>
        <w:spacing w:before="0" w:after="200"/>
        <w:jc w:val="left"/>
        <w:rPr>
          <w:rFonts w:ascii="Times New Roman" w:hAnsi="Times New Roman"/>
          <w:sz w:val="20"/>
        </w:rPr>
      </w:pPr>
      <w:r>
        <w:rPr>
          <w:rFonts w:ascii="Arial" w:hAnsi="Arial"/>
          <w:color w:val="000000"/>
          <w:sz w:val="20"/>
        </w:rPr>
        <w:t xml:space="preserve">On July 25, 2025, the Company and certain of its current and former officers were named as defendants in a securities class action complaint captioned </w:t>
      </w:r>
      <w:r>
        <w:rPr>
          <w:rFonts w:ascii="Arial" w:hAnsi="Arial"/>
          <w:i/>
          <w:color w:val="000000"/>
          <w:sz w:val="20"/>
        </w:rPr>
        <w:t>Hickman v. Flywire Corporation</w:t>
      </w:r>
      <w:r>
        <w:rPr>
          <w:rFonts w:ascii="Times New Roman" w:hAnsi="Times New Roman"/>
          <w:color w:val="000000"/>
          <w:sz w:val="20"/>
        </w:rPr>
        <w:t xml:space="preserve"> </w:t>
      </w:r>
      <w:r>
        <w:rPr>
          <w:rFonts w:ascii="Arial" w:hAnsi="Arial"/>
          <w:color w:val="000000"/>
          <w:sz w:val="20"/>
        </w:rPr>
        <w:t>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 alleges that the defendants violated Sections 10(b) and 20(a) of the Exchange Act by purportedly overstating the strength and sustainability of the Company's revenue growth and understating the negative impact of certain government permit and visa related policies on the business. The lawsuit seeks unspecified damages, costs, attorneys’ fees, and other relief. The Company believes to have strong defenses against the asserted claims and intends to vigorously defend itself.</w:t>
      </w:r>
    </w:p>
    <w:p>
      <w:pPr>
        <w:pStyle w:val="TextBody"/>
        <w:bidi w:val="0"/>
        <w:spacing w:before="0" w:after="200"/>
        <w:jc w:val="left"/>
        <w:rPr>
          <w:rFonts w:ascii="Arial" w:hAnsi="Arial"/>
          <w:color w:val="000000"/>
          <w:sz w:val="20"/>
        </w:rPr>
      </w:pPr>
      <w:r>
        <w:rPr>
          <w:rFonts w:ascii="Arial" w:hAnsi="Arial"/>
          <w:color w:val="000000"/>
          <w:sz w:val="20"/>
        </w:rPr>
        <w:t>The Company cannot reasonably estimate the maximum potential exposure or the range of possible loss for this matter. Taking into account discussions with the Company's external lawyers, Flywire does not consider the probability of an outflow of resources to be sufficient to recognize a provision at the balance sheet date. In the Company's opinion, these matters constitute contingent liabilities as of the balance sheet date. However, it is currently impractical for the Company to estimate with sufficient reliability the respective contingent liabilities.</w:t>
      </w:r>
    </w:p>
    <w:p>
      <w:pPr>
        <w:pStyle w:val="TextBody"/>
        <w:bidi w:val="0"/>
        <w:spacing w:before="0" w:after="200"/>
        <w:jc w:val="left"/>
        <w:rPr>
          <w:rFonts w:ascii="Times New Roman" w:hAnsi="Times New Roman"/>
          <w:sz w:val="20"/>
        </w:rPr>
      </w:pPr>
      <w:r>
        <w:rPr>
          <w:rFonts w:ascii="Arial" w:hAnsi="Arial"/>
          <w:b/>
          <w:i/>
          <w:color w:val="000000"/>
          <w:sz w:val="20"/>
        </w:rPr>
        <w:t>Indemnification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as of December 31, 2025 and 2024.</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bookmarkStart w:id="47" w:name="note_17"/>
      <w:bookmarkEnd w:id="47"/>
      <w:r>
        <w:rPr>
          <w:rFonts w:ascii="Arial" w:hAnsi="Arial"/>
          <w:b/>
          <w:color w:val="000000"/>
          <w:sz w:val="20"/>
        </w:rPr>
        <w:t>Note 19. Employee Benefit Plan</w:t>
      </w:r>
    </w:p>
    <w:p>
      <w:pPr>
        <w:pStyle w:val="TextBody"/>
        <w:bidi w:val="0"/>
        <w:spacing w:before="200" w:after="283"/>
        <w:jc w:val="left"/>
        <w:rPr>
          <w:rFonts w:ascii="Times New Roman" w:hAnsi="Times New Roman"/>
          <w:sz w:val="20"/>
        </w:rPr>
      </w:pPr>
      <w:r>
        <w:rPr>
          <w:rFonts w:ascii="Arial" w:hAnsi="Arial"/>
          <w:color w:val="000000"/>
          <w:sz w:val="20"/>
        </w:rPr>
        <w:t>The Company has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$1.7</w:t>
      </w:r>
      <w:r>
        <w:rPr>
          <w:rFonts w:ascii="Times New Roman" w:hAnsi="Times New Roman"/>
          <w:color w:val="000000"/>
          <w:sz w:val="20"/>
        </w:rPr>
        <w:t xml:space="preserve"> </w:t>
      </w:r>
      <w:r>
        <w:rPr>
          <w:rFonts w:ascii="Arial" w:hAnsi="Arial"/>
          <w:color w:val="000000"/>
          <w:sz w:val="20"/>
        </w:rPr>
        <w:t>million, $1.5</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to the plan during the years ended December 31, 2025, 2024, and 2023, respectively.</w:t>
      </w:r>
    </w:p>
    <w:p>
      <w:pPr>
        <w:pStyle w:val="TextBody"/>
        <w:bidi w:val="0"/>
        <w:spacing w:before="120" w:after="283"/>
        <w:jc w:val="center"/>
        <w:rPr>
          <w:rFonts w:ascii="Arial" w:hAnsi="Arial"/>
          <w:color w:val="000000"/>
          <w:sz w:val="20"/>
        </w:rPr>
      </w:pPr>
      <w:r>
        <w:rPr>
          <w:rFonts w:ascii="Arial" w:hAnsi="Arial"/>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48" w:name="changes_in_and_disagreements"/>
      <w:bookmarkEnd w:id="48"/>
      <w:r>
        <w:rPr>
          <w:rFonts w:ascii="Arial" w:hAnsi="Arial"/>
          <w:b/>
          <w:color w:val="000000"/>
          <w:sz w:val="20"/>
        </w:rPr>
        <w:t>Item 9. Changes in and Disagreements With Accountants on Accounting and Financial Disclosure</w:t>
      </w:r>
    </w:p>
    <w:p>
      <w:pPr>
        <w:pStyle w:val="TextBody"/>
        <w:bidi w:val="0"/>
        <w:spacing w:before="200" w:after="283"/>
        <w:jc w:val="left"/>
        <w:rPr>
          <w:rFonts w:ascii="Arial" w:hAnsi="Arial"/>
          <w:color w:val="000000"/>
          <w:sz w:val="20"/>
        </w:rPr>
      </w:pPr>
      <w:r>
        <w:rPr>
          <w:rFonts w:ascii="Arial" w:hAnsi="Arial"/>
          <w:color w:val="000000"/>
          <w:sz w:val="20"/>
        </w:rPr>
        <w:t>None.</w:t>
      </w:r>
    </w:p>
    <w:p>
      <w:pPr>
        <w:pStyle w:val="TextBody"/>
        <w:bidi w:val="0"/>
        <w:spacing w:before="200" w:after="283"/>
        <w:jc w:val="left"/>
        <w:rPr>
          <w:rFonts w:ascii="Arial" w:hAnsi="Arial"/>
          <w:b/>
          <w:color w:val="000000"/>
          <w:sz w:val="20"/>
        </w:rPr>
      </w:pPr>
      <w:bookmarkStart w:id="49" w:name="control_and_procedures"/>
      <w:bookmarkEnd w:id="49"/>
      <w:r>
        <w:rPr>
          <w:rFonts w:ascii="Arial" w:hAnsi="Arial"/>
          <w:b/>
          <w:color w:val="000000"/>
          <w:sz w:val="20"/>
        </w:rPr>
        <w:t>Item 9A. Controls and Procedures</w:t>
      </w:r>
    </w:p>
    <w:p>
      <w:pPr>
        <w:pStyle w:val="TextBody"/>
        <w:bidi w:val="0"/>
        <w:spacing w:before="20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200" w:after="283"/>
        <w:jc w:val="left"/>
        <w:rPr>
          <w:rFonts w:ascii="Arial" w:hAnsi="Arial"/>
          <w:color w:val="000000"/>
          <w:sz w:val="20"/>
        </w:rPr>
      </w:pPr>
      <w:r>
        <w:rPr>
          <w:rFonts w:ascii="Arial" w:hAnsi="Arial"/>
          <w:color w:val="000000"/>
          <w:sz w:val="20"/>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December 31, 2025, the end of the period covered by this Annual Report on Form 10-K, our disclosure controls and procedures were effective at the reasonable assurance level.</w:t>
      </w:r>
    </w:p>
    <w:p>
      <w:pPr>
        <w:pStyle w:val="TextBody"/>
        <w:bidi w:val="0"/>
        <w:spacing w:before="200" w:after="283"/>
        <w:jc w:val="left"/>
        <w:rPr>
          <w:rFonts w:ascii="Arial" w:hAnsi="Arial"/>
          <w:b/>
          <w:color w:val="000000"/>
          <w:sz w:val="20"/>
        </w:rPr>
      </w:pPr>
      <w:r>
        <w:rPr>
          <w:rFonts w:ascii="Arial" w:hAnsi="Arial"/>
          <w:b/>
          <w:color w:val="000000"/>
          <w:sz w:val="20"/>
        </w:rPr>
        <w:t>Management’s Annual Report on Internal Control Over Financial Reporting</w:t>
      </w:r>
    </w:p>
    <w:p>
      <w:pPr>
        <w:pStyle w:val="TextBody"/>
        <w:bidi w:val="0"/>
        <w:spacing w:before="200" w:after="283"/>
        <w:jc w:val="left"/>
        <w:rPr>
          <w:rFonts w:ascii="Times New Roman" w:hAnsi="Times New Roman"/>
          <w:sz w:val="20"/>
        </w:rPr>
      </w:pPr>
      <w:r>
        <w:rPr>
          <w:rFonts w:ascii="Arial" w:hAnsi="Arial"/>
          <w:color w:val="000000"/>
          <w:sz w:val="20"/>
        </w:rPr>
        <w:t>Our management is responsible for establishing and maintaining adequate internal control over financial reporting, as defined in Rule 13a-15(f) and 15d- 15(f) under the Exchange Act. Management, with the participation of our Chief Executive Officer and Chief Financial Officer, has assessed the effectiveness of our internal control over financial reporting as of December 31, 2025 based on the 2013 framework established in the “Internal Control-Integrated Framework,” issued by the Committee of Sponsoring Organizations of the Treadway Commission. Based on this evaluation under the framework, management has concluded that our internal control over financial reporting as of December 31, 2025 was effective.</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On February 24, 2025, Flywire acquired all of the issued and outstanding membership interests of Sertifi LLC (Sertifi). As permitted by Securities and Exchange Commission staff guidance, companies are permitted to exclude acquisitions from their assessment of internal control over financial reporting for the first year of acquisition. We have excluded Sertifi from our assessment of internal control over financial reporting as of December 31, 2025. Sertifi is a wholly-owned subsidiary of Flywire whose total assets and total revenues excluded from management’s assessment represented approximately 2% and 7%, respectively, of the related consolidated financial statement amounts for Flywire as of and for the year ended December 31, 2025.</w:t>
      </w:r>
    </w:p>
    <w:p>
      <w:pPr>
        <w:pStyle w:val="TextBody"/>
        <w:bidi w:val="0"/>
        <w:spacing w:before="200" w:after="283"/>
        <w:jc w:val="left"/>
        <w:rPr>
          <w:rFonts w:ascii="Arial" w:hAnsi="Arial"/>
          <w:color w:val="000000"/>
          <w:sz w:val="20"/>
        </w:rPr>
      </w:pPr>
      <w:r>
        <w:rPr>
          <w:rFonts w:ascii="Arial" w:hAnsi="Arial"/>
          <w:color w:val="000000"/>
          <w:sz w:val="20"/>
        </w:rPr>
        <w:t>The effectiveness of our internal control over financial reporting as of December 31, 2025 has been audited by PricewaterhouseCoopers LLP, an independent registered public accounting firm, as stated in their report which appears in Part II, Item 8 of this Annual Report on Form 10-K.</w:t>
      </w:r>
    </w:p>
    <w:p>
      <w:pPr>
        <w:pStyle w:val="TextBody"/>
        <w:bidi w:val="0"/>
        <w:spacing w:before="20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200" w:after="283"/>
        <w:jc w:val="left"/>
        <w:rPr>
          <w:rFonts w:ascii="Arial" w:hAnsi="Arial"/>
          <w:color w:val="000000"/>
          <w:sz w:val="20"/>
        </w:rPr>
      </w:pPr>
      <w:r>
        <w:rPr>
          <w:rFonts w:ascii="Arial" w:hAnsi="Arial"/>
          <w:color w:val="000000"/>
          <w:sz w:val="20"/>
        </w:rPr>
        <w:t>There were no changes in our internal control over financial reporting identified in connection with the evaluation required by Rule 13a-15(d) and 15d-15(d) of the Exchange Act that occurred during the quarter ended December 31, 2025 that has materially affected, or is reasonably likely to materially affect, our internal control over financial reporting.</w:t>
      </w:r>
    </w:p>
    <w:p>
      <w:pPr>
        <w:pStyle w:val="TextBody"/>
        <w:bidi w:val="0"/>
        <w:spacing w:before="200" w:after="283"/>
        <w:jc w:val="left"/>
        <w:rPr>
          <w:rFonts w:ascii="Arial" w:hAnsi="Arial"/>
          <w:b/>
          <w:color w:val="000000"/>
          <w:sz w:val="20"/>
        </w:rPr>
      </w:pPr>
      <w:r>
        <w:rPr>
          <w:rFonts w:ascii="Arial" w:hAnsi="Arial"/>
          <w:b/>
          <w:color w:val="000000"/>
          <w:sz w:val="20"/>
        </w:rPr>
        <w:t>Inherent Limitations on Effectiveness of Controls</w:t>
      </w:r>
    </w:p>
    <w:p>
      <w:pPr>
        <w:pStyle w:val="TextBody"/>
        <w:bidi w:val="0"/>
        <w:spacing w:before="200" w:after="283"/>
        <w:jc w:val="left"/>
        <w:rPr>
          <w:rFonts w:ascii="Times New Roman" w:hAnsi="Times New Roman"/>
          <w:sz w:val="20"/>
        </w:rPr>
      </w:pPr>
      <w:r>
        <w:rPr>
          <w:rFonts w:ascii="Arial" w:hAnsi="Arial"/>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00" w:after="283"/>
        <w:jc w:val="left"/>
        <w:rPr>
          <w:rFonts w:ascii="Arial" w:hAnsi="Arial"/>
          <w:b/>
          <w:color w:val="000000"/>
          <w:sz w:val="20"/>
        </w:rPr>
      </w:pPr>
      <w:bookmarkStart w:id="50" w:name="other_information"/>
      <w:bookmarkEnd w:id="50"/>
      <w:r>
        <w:rPr>
          <w:rFonts w:ascii="Arial" w:hAnsi="Arial"/>
          <w:b/>
          <w:color w:val="000000"/>
          <w:sz w:val="20"/>
        </w:rPr>
        <w:t>Item 9B. Other Information</w:t>
      </w:r>
    </w:p>
    <w:p>
      <w:pPr>
        <w:pStyle w:val="TextBody"/>
        <w:bidi w:val="0"/>
        <w:spacing w:before="200" w:after="283"/>
        <w:jc w:val="left"/>
        <w:rPr>
          <w:rFonts w:ascii="Arial" w:hAnsi="Arial"/>
          <w:b/>
          <w:i/>
          <w:color w:val="000000"/>
          <w:sz w:val="20"/>
        </w:rPr>
      </w:pPr>
      <w:r>
        <w:rPr>
          <w:rFonts w:ascii="Arial" w:hAnsi="Arial"/>
          <w:b/>
          <w:i/>
          <w:color w:val="000000"/>
          <w:sz w:val="20"/>
        </w:rPr>
        <w:t>Rule 10b-5 Trading Plan</w:t>
      </w:r>
    </w:p>
    <w:p>
      <w:pPr>
        <w:pStyle w:val="TextBody"/>
        <w:bidi w:val="0"/>
        <w:spacing w:before="200" w:after="283"/>
        <w:jc w:val="left"/>
        <w:rPr>
          <w:rFonts w:ascii="Times New Roman" w:hAnsi="Times New Roman"/>
          <w:sz w:val="20"/>
        </w:rPr>
      </w:pPr>
      <w:r>
        <w:rPr>
          <w:rFonts w:ascii="Arial" w:hAnsi="Arial"/>
          <w:color w:val="000000"/>
          <w:sz w:val="20"/>
        </w:rPr>
        <w:t>During the period covered by this Annual Report on Form 10-K, other than as set forth below,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each term is defined in Item 408(a) of Regulation S-K.</w:t>
      </w:r>
    </w:p>
    <w:p>
      <w:pPr>
        <w:pStyle w:val="TextBody"/>
        <w:bidi w:val="0"/>
        <w:spacing w:before="200" w:after="283"/>
        <w:jc w:val="left"/>
        <w:rPr>
          <w:rFonts w:ascii="Times New Roman" w:hAnsi="Times New Roman"/>
          <w:sz w:val="20"/>
        </w:rPr>
      </w:pPr>
      <w:r>
        <w:rPr>
          <w:rFonts w:ascii="Arial" w:hAnsi="Arial"/>
          <w:color w:val="000000"/>
          <w:sz w:val="20"/>
        </w:rPr>
        <w:t>On December 1, 2025, Michael Massaro, our Chief Executive Officer and Director, adopted a trading arrangement for the sale of shares of our common stock (a "Rule 10b-5 Trading Plan") that is intended to satisfy the affirmative defense conditions of Securities Exchange Act Rule 10b5-1(c). Mr. Massaro's Rule 10b-5 Trading Plan provides for the sale of up to 600,000</w:t>
      </w:r>
      <w:r>
        <w:rPr>
          <w:rFonts w:ascii="Times New Roman" w:hAnsi="Times New Roman"/>
          <w:color w:val="000000"/>
          <w:sz w:val="20"/>
        </w:rPr>
        <w:t xml:space="preserve"> </w:t>
      </w:r>
      <w:r>
        <w:rPr>
          <w:rFonts w:ascii="Arial" w:hAnsi="Arial"/>
          <w:color w:val="000000"/>
          <w:sz w:val="20"/>
        </w:rPr>
        <w:t>shares of common stock pursuant to the terms of the plan. The plan is effective through February 2, 2027</w:t>
      </w:r>
      <w:r>
        <w:rPr>
          <w:rFonts w:ascii="Times New Roman" w:hAnsi="Times New Roman"/>
          <w:color w:val="000000"/>
          <w:sz w:val="20"/>
        </w:rPr>
        <w:t xml:space="preserve"> </w:t>
      </w:r>
      <w:r>
        <w:rPr>
          <w:rFonts w:ascii="Arial" w:hAnsi="Arial"/>
          <w:color w:val="000000"/>
          <w:sz w:val="20"/>
        </w:rPr>
        <w:t>unless earlier terminated</w:t>
      </w:r>
      <w:r>
        <w:rPr>
          <w:rFonts w:ascii="Times New Roman" w:hAnsi="Times New Roman"/>
          <w:color w:val="000000"/>
          <w:sz w:val="20"/>
        </w:rPr>
        <w:t xml:space="preserve"> </w:t>
      </w:r>
      <w:r>
        <w:rPr>
          <w:rFonts w:ascii="Arial" w:hAnsi="Arial"/>
          <w:color w:val="000000"/>
          <w:sz w:val="20"/>
        </w:rPr>
        <w:t>in accordance with the terms of the plan.</w:t>
      </w:r>
    </w:p>
    <w:p>
      <w:pPr>
        <w:pStyle w:val="TextBody"/>
        <w:bidi w:val="0"/>
        <w:spacing w:before="200" w:after="283"/>
        <w:jc w:val="left"/>
        <w:rPr>
          <w:rFonts w:ascii="Times New Roman" w:hAnsi="Times New Roman"/>
          <w:sz w:val="20"/>
        </w:rPr>
      </w:pPr>
      <w:r>
        <w:rPr>
          <w:rFonts w:ascii="Arial" w:hAnsi="Arial"/>
          <w:color w:val="000000"/>
          <w:sz w:val="20"/>
        </w:rPr>
        <w:t>On November 26, 2025, Cosmin Pitigoi, our Chief Financial Officer, adopted a Rule 10b-5 Trading Plan</w:t>
      </w:r>
      <w:r>
        <w:rPr>
          <w:rFonts w:ascii="Times New Roman" w:hAnsi="Times New Roman"/>
          <w:color w:val="000000"/>
          <w:sz w:val="20"/>
        </w:rPr>
        <w:t xml:space="preserve"> </w:t>
      </w:r>
      <w:r>
        <w:rPr>
          <w:rFonts w:ascii="Arial" w:hAnsi="Arial"/>
          <w:color w:val="000000"/>
          <w:sz w:val="20"/>
        </w:rPr>
        <w:t>that is intended to satisfy the affirmative defense conditions of Securities Exchange Act Rule 10b5-1(c). Mr. Pitigoi's Rule 10b-5 Trading Plan provides for the sale of up to 105,000</w:t>
      </w:r>
      <w:r>
        <w:rPr>
          <w:rFonts w:ascii="Times New Roman" w:hAnsi="Times New Roman"/>
          <w:color w:val="000000"/>
          <w:sz w:val="20"/>
        </w:rPr>
        <w:t xml:space="preserve"> </w:t>
      </w:r>
      <w:r>
        <w:rPr>
          <w:rFonts w:ascii="Arial" w:hAnsi="Arial"/>
          <w:color w:val="000000"/>
          <w:sz w:val="20"/>
        </w:rPr>
        <w:t>shares of common stock pursuant to the terms of the plan. The plan is effective through November 30, 2026</w:t>
      </w:r>
      <w:r>
        <w:rPr>
          <w:rFonts w:ascii="Times New Roman" w:hAnsi="Times New Roman"/>
          <w:color w:val="000000"/>
          <w:sz w:val="20"/>
        </w:rPr>
        <w:t xml:space="preserve"> </w:t>
      </w:r>
      <w:r>
        <w:rPr>
          <w:rFonts w:ascii="Arial" w:hAnsi="Arial"/>
          <w:color w:val="000000"/>
          <w:sz w:val="20"/>
        </w:rPr>
        <w:t>unless earlier terminated</w:t>
      </w:r>
      <w:r>
        <w:rPr>
          <w:rFonts w:ascii="Times New Roman" w:hAnsi="Times New Roman"/>
          <w:color w:val="000000"/>
          <w:sz w:val="20"/>
        </w:rPr>
        <w:t xml:space="preserve"> </w:t>
      </w:r>
      <w:r>
        <w:rPr>
          <w:rFonts w:ascii="Arial" w:hAnsi="Arial"/>
          <w:color w:val="000000"/>
          <w:sz w:val="20"/>
        </w:rPr>
        <w:t>in accordance with the terms of the plan.</w:t>
      </w:r>
    </w:p>
    <w:p>
      <w:pPr>
        <w:pStyle w:val="TextBody"/>
        <w:bidi w:val="0"/>
        <w:spacing w:before="200" w:after="283"/>
        <w:jc w:val="left"/>
        <w:rPr>
          <w:rFonts w:ascii="Times New Roman" w:hAnsi="Times New Roman"/>
          <w:sz w:val="20"/>
        </w:rPr>
      </w:pPr>
      <w:r>
        <w:rPr>
          <w:rFonts w:ascii="Arial" w:hAnsi="Arial"/>
          <w:color w:val="000000"/>
          <w:sz w:val="20"/>
        </w:rPr>
        <w:t>On November 26, 2025, Peter Butterfield, our General Counsel and Chief Compliance Officer, adopted a Rule 10b-5 Trading Plan</w:t>
      </w:r>
      <w:r>
        <w:rPr>
          <w:rFonts w:ascii="Times New Roman" w:hAnsi="Times New Roman"/>
          <w:color w:val="000000"/>
          <w:sz w:val="20"/>
        </w:rPr>
        <w:t xml:space="preserve"> </w:t>
      </w:r>
      <w:r>
        <w:rPr>
          <w:rFonts w:ascii="Arial" w:hAnsi="Arial"/>
          <w:color w:val="000000"/>
          <w:sz w:val="20"/>
        </w:rPr>
        <w:t>that is intended to satisfy the affirmative defense conditions of Securities Exchange Act Rule 10b5-1(c). Mr. Butterfield’s Rule 10b-5 Trading Plan provides for the sale of up to 115,808</w:t>
      </w:r>
      <w:r>
        <w:rPr>
          <w:rFonts w:ascii="Times New Roman" w:hAnsi="Times New Roman"/>
          <w:color w:val="000000"/>
          <w:sz w:val="20"/>
        </w:rPr>
        <w:t xml:space="preserve"> </w:t>
      </w:r>
      <w:r>
        <w:rPr>
          <w:rFonts w:ascii="Arial" w:hAnsi="Arial"/>
          <w:color w:val="000000"/>
          <w:sz w:val="20"/>
        </w:rPr>
        <w:t>shares of common stock pursuant to the terms of the plan. The plan is effective through January 11, 2027</w:t>
      </w:r>
      <w:r>
        <w:rPr>
          <w:rFonts w:ascii="Times New Roman" w:hAnsi="Times New Roman"/>
          <w:color w:val="000000"/>
          <w:sz w:val="20"/>
        </w:rPr>
        <w:t xml:space="preserve"> </w:t>
      </w:r>
      <w:r>
        <w:rPr>
          <w:rFonts w:ascii="Arial" w:hAnsi="Arial"/>
          <w:color w:val="000000"/>
          <w:sz w:val="20"/>
        </w:rPr>
        <w:t>unless earlier terminated</w:t>
      </w:r>
      <w:r>
        <w:rPr>
          <w:rFonts w:ascii="Times New Roman" w:hAnsi="Times New Roman"/>
          <w:color w:val="000000"/>
          <w:sz w:val="20"/>
        </w:rPr>
        <w:t xml:space="preserve"> </w:t>
      </w:r>
      <w:r>
        <w:rPr>
          <w:rFonts w:ascii="Arial" w:hAnsi="Arial"/>
          <w:color w:val="000000"/>
          <w:sz w:val="20"/>
        </w:rPr>
        <w:t>in accordance with the terms of the plan.</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bookmarkStart w:id="51" w:name="disclosure_regarding_foreign"/>
      <w:bookmarkEnd w:id="51"/>
      <w:r>
        <w:rPr>
          <w:rFonts w:ascii="Arial" w:hAnsi="Arial"/>
          <w:b/>
          <w:color w:val="000000"/>
          <w:sz w:val="20"/>
        </w:rPr>
        <w:t>Item 9C. Disclosure Regarding Foreign Jurisdictions that Prevent Inspections</w:t>
      </w:r>
    </w:p>
    <w:p>
      <w:pPr>
        <w:pStyle w:val="TextBody"/>
        <w:bidi w:val="0"/>
        <w:spacing w:before="200" w:after="283"/>
        <w:jc w:val="left"/>
        <w:rPr>
          <w:rFonts w:ascii="Arial" w:hAnsi="Arial"/>
          <w:color w:val="000000"/>
          <w:sz w:val="20"/>
        </w:rPr>
      </w:pPr>
      <w:r>
        <w:rPr>
          <w:rFonts w:ascii="Arial" w:hAnsi="Arial"/>
          <w:color w:val="000000"/>
          <w:sz w:val="20"/>
        </w:rPr>
        <w:t>None.</w:t>
      </w:r>
    </w:p>
    <w:p>
      <w:pPr>
        <w:pStyle w:val="TextBody"/>
        <w:bidi w:val="0"/>
        <w:spacing w:before="120" w:after="283"/>
        <w:jc w:val="center"/>
        <w:rPr>
          <w:rFonts w:ascii="Arial" w:hAnsi="Arial"/>
          <w:color w:val="000000"/>
          <w:sz w:val="20"/>
        </w:rPr>
      </w:pPr>
      <w:r>
        <w:rPr>
          <w:rFonts w:ascii="Arial" w:hAnsi="Arial"/>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PART III</w:t>
      </w:r>
    </w:p>
    <w:p>
      <w:pPr>
        <w:pStyle w:val="TextBody"/>
        <w:bidi w:val="0"/>
        <w:spacing w:before="200" w:after="283"/>
        <w:jc w:val="left"/>
        <w:rPr>
          <w:rFonts w:ascii="Arial" w:hAnsi="Arial"/>
          <w:b/>
          <w:color w:val="000000"/>
          <w:sz w:val="20"/>
        </w:rPr>
      </w:pPr>
      <w:bookmarkStart w:id="52" w:name="item_10_directors_executive_officers"/>
      <w:bookmarkEnd w:id="52"/>
      <w:r>
        <w:rPr>
          <w:rFonts w:ascii="Arial" w:hAnsi="Arial"/>
          <w:b/>
          <w:color w:val="000000"/>
          <w:sz w:val="20"/>
        </w:rPr>
        <w:t>Item 10. Directors, Executive Officers and Corporate Governance</w:t>
      </w:r>
    </w:p>
    <w:p>
      <w:pPr>
        <w:pStyle w:val="TextBody"/>
        <w:bidi w:val="0"/>
        <w:spacing w:before="200" w:after="283"/>
        <w:jc w:val="left"/>
        <w:rPr>
          <w:rFonts w:ascii="Times New Roman" w:hAnsi="Times New Roman"/>
          <w:sz w:val="20"/>
        </w:rPr>
      </w:pPr>
      <w:r>
        <w:rPr>
          <w:rFonts w:ascii="Arial" w:hAnsi="Arial"/>
          <w:color w:val="000000"/>
          <w:sz w:val="20"/>
        </w:rPr>
        <w:t>The Company has an insider trading policy</w:t>
      </w:r>
      <w:r>
        <w:rPr>
          <w:rFonts w:ascii="Times New Roman" w:hAnsi="Times New Roman"/>
          <w:color w:val="000000"/>
          <w:sz w:val="20"/>
        </w:rPr>
        <w:t xml:space="preserve"> </w:t>
      </w:r>
      <w:r>
        <w:rPr>
          <w:rFonts w:ascii="Arial" w:hAnsi="Arial"/>
          <w:color w:val="000000"/>
          <w:sz w:val="20"/>
        </w:rPr>
        <w:t>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this Form 10-K</w:t>
      </w:r>
      <w:r>
        <w:rPr>
          <w:rFonts w:ascii="Arial" w:hAnsi="Arial"/>
          <w:color w:val="000000"/>
          <w:sz w:val="18"/>
        </w:rPr>
        <w:t>.</w:t>
      </w:r>
    </w:p>
    <w:p>
      <w:pPr>
        <w:pStyle w:val="TextBody"/>
        <w:bidi w:val="0"/>
        <w:spacing w:before="200" w:after="283"/>
        <w:jc w:val="left"/>
        <w:rPr>
          <w:rFonts w:ascii="Arial" w:hAnsi="Arial"/>
          <w:color w:val="000000"/>
          <w:sz w:val="20"/>
        </w:rPr>
      </w:pPr>
      <w:r>
        <w:rPr>
          <w:rFonts w:ascii="Arial" w:hAnsi="Arial"/>
          <w:color w:val="000000"/>
          <w:sz w:val="20"/>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2025.</w:t>
      </w:r>
    </w:p>
    <w:p>
      <w:pPr>
        <w:pStyle w:val="TextBody"/>
        <w:bidi w:val="0"/>
        <w:spacing w:before="200" w:after="283"/>
        <w:jc w:val="left"/>
        <w:rPr>
          <w:rFonts w:ascii="Arial" w:hAnsi="Arial"/>
          <w:b/>
          <w:color w:val="000000"/>
          <w:sz w:val="20"/>
        </w:rPr>
      </w:pPr>
      <w:bookmarkStart w:id="53" w:name="item_11_executive_compensation"/>
      <w:bookmarkEnd w:id="53"/>
      <w:r>
        <w:rPr>
          <w:rFonts w:ascii="Arial" w:hAnsi="Arial"/>
          <w:b/>
          <w:color w:val="000000"/>
          <w:sz w:val="20"/>
        </w:rPr>
        <w:t>Item 11. Executive Compensation</w:t>
      </w:r>
    </w:p>
    <w:p>
      <w:pPr>
        <w:pStyle w:val="TextBody"/>
        <w:bidi w:val="0"/>
        <w:spacing w:before="200" w:after="283"/>
        <w:jc w:val="left"/>
        <w:rPr>
          <w:rFonts w:ascii="Arial" w:hAnsi="Arial"/>
          <w:color w:val="000000"/>
          <w:sz w:val="20"/>
        </w:rPr>
      </w:pPr>
      <w:r>
        <w:rPr>
          <w:rFonts w:ascii="Arial" w:hAnsi="Arial"/>
          <w:color w:val="000000"/>
          <w:sz w:val="20"/>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2025.</w:t>
      </w:r>
    </w:p>
    <w:p>
      <w:pPr>
        <w:pStyle w:val="TextBody"/>
        <w:bidi w:val="0"/>
        <w:spacing w:before="200" w:after="283"/>
        <w:jc w:val="left"/>
        <w:rPr>
          <w:rFonts w:ascii="Arial" w:hAnsi="Arial"/>
          <w:b/>
          <w:color w:val="000000"/>
          <w:sz w:val="20"/>
        </w:rPr>
      </w:pPr>
      <w:bookmarkStart w:id="54" w:name="item_12_security_ownership"/>
      <w:bookmarkEnd w:id="54"/>
      <w:r>
        <w:rPr>
          <w:rFonts w:ascii="Arial" w:hAnsi="Arial"/>
          <w:b/>
          <w:color w:val="000000"/>
          <w:sz w:val="20"/>
        </w:rPr>
        <w:t>Item 12. Security Ownership of Certain Beneficial Owners and Management and Related Stockholder Matters</w:t>
      </w:r>
    </w:p>
    <w:p>
      <w:pPr>
        <w:pStyle w:val="TextBody"/>
        <w:bidi w:val="0"/>
        <w:spacing w:before="200" w:after="283"/>
        <w:jc w:val="left"/>
        <w:rPr>
          <w:rFonts w:ascii="Arial" w:hAnsi="Arial"/>
          <w:b/>
          <w:color w:val="000000"/>
          <w:sz w:val="20"/>
        </w:rPr>
      </w:pPr>
      <w:r>
        <w:rPr>
          <w:rFonts w:ascii="Arial" w:hAnsi="Arial"/>
          <w:b/>
          <w:color w:val="000000"/>
          <w:sz w:val="20"/>
        </w:rPr>
        <w:t>Securities Authorized for Issuance under Equity Compensation Plans</w:t>
      </w:r>
    </w:p>
    <w:p>
      <w:pPr>
        <w:pStyle w:val="TextBody"/>
        <w:bidi w:val="0"/>
        <w:spacing w:before="200" w:after="200"/>
        <w:jc w:val="left"/>
        <w:rPr>
          <w:rFonts w:ascii="Arial" w:hAnsi="Arial"/>
          <w:color w:val="000000"/>
          <w:sz w:val="20"/>
        </w:rPr>
      </w:pPr>
      <w:r>
        <w:rPr>
          <w:rFonts w:ascii="Arial" w:hAnsi="Arial"/>
          <w:color w:val="000000"/>
          <w:sz w:val="20"/>
        </w:rPr>
        <w:t>The following table provides information as of December 31, 2025, with respect to shares of our common stock that may be issued, subject to certain vesting requirements, under our existing equity compensation plans, including our 2009 Equity Incentive Plan, which was adopted in 2009 and amended and restated in 2011 (as amended and restated, the 2009 Plan), our 2018 Stock Incentive Plan (2018 Plan), 2021 Equity Incentive Plan (2021 Plan) and Employee Stock Purchase Plan (ESPP).</w:t>
      </w:r>
    </w:p>
    <w:tbl>
      <w:tblPr>
        <w:tblW w:w="10205" w:type="dxa"/>
        <w:jc w:val="left"/>
        <w:tblInd w:w="0" w:type="dxa"/>
        <w:tblLayout w:type="fixed"/>
        <w:tblCellMar>
          <w:top w:w="28" w:type="dxa"/>
          <w:left w:w="28" w:type="dxa"/>
          <w:bottom w:w="28" w:type="dxa"/>
          <w:right w:w="28" w:type="dxa"/>
        </w:tblCellMar>
      </w:tblPr>
      <w:tblGrid>
        <w:gridCol w:w="1948"/>
        <w:gridCol w:w="2035"/>
        <w:gridCol w:w="466"/>
        <w:gridCol w:w="146"/>
        <w:gridCol w:w="509"/>
        <w:gridCol w:w="1129"/>
        <w:gridCol w:w="513"/>
        <w:gridCol w:w="146"/>
        <w:gridCol w:w="2575"/>
        <w:gridCol w:w="738"/>
      </w:tblGrid>
      <w:tr>
        <w:trPr/>
        <w:tc>
          <w:tcPr>
            <w:tcW w:w="1948"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Plan Category</w:t>
            </w:r>
          </w:p>
        </w:tc>
        <w:tc>
          <w:tcPr>
            <w:tcW w:w="2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Securities to be Issued Upon Exercise of 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 Exercise Price of 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Securities Remaining Available for Future Issuance Under Equity Compensation Plans (Excluding Securities Reflected in Column (A)</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Equity compensation plans approved by security holders</w:t>
            </w:r>
          </w:p>
        </w:tc>
        <w:tc>
          <w:tcPr>
            <w:tcW w:w="20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16,483,401</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8.24</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22,258,650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r>
    </w:tbl>
    <w:p>
      <w:pPr>
        <w:pStyle w:val="TextBody"/>
        <w:bidi w:val="0"/>
        <w:spacing w:before="200" w:after="283"/>
        <w:jc w:val="left"/>
        <w:rPr>
          <w:rFonts w:ascii="Times New Roman" w:hAnsi="Times New Roman"/>
          <w:sz w:val="20"/>
        </w:rPr>
      </w:pPr>
      <w:r>
        <w:rPr>
          <w:rFonts w:ascii="Arial" w:hAnsi="Arial"/>
          <w:color w:val="000000"/>
          <w:sz w:val="12"/>
        </w:rPr>
        <w:t>(a)</w:t>
      </w:r>
      <w:r>
        <w:rPr>
          <w:rFonts w:ascii="Times New Roman" w:hAnsi="Times New Roman"/>
          <w:color w:val="000000"/>
          <w:sz w:val="20"/>
        </w:rPr>
        <w:t xml:space="preserve"> </w:t>
      </w:r>
      <w:r>
        <w:rPr>
          <w:rFonts w:ascii="Arial" w:hAnsi="Arial"/>
          <w:color w:val="000000"/>
          <w:sz w:val="16"/>
        </w:rPr>
        <w:t>Of these shares, 11,315,889 were underlying then outstanding restricted stock units and 432,213 were subject to options then outstanding under the 2021 Plan; 4,244,420 were subject to options then outstanding under the 2018 Plan; and 490,879 were subject to options then outstanding under the 2009 Plan.</w:t>
      </w:r>
    </w:p>
    <w:p>
      <w:pPr>
        <w:pStyle w:val="TextBody"/>
        <w:bidi w:val="0"/>
        <w:jc w:val="left"/>
        <w:rPr>
          <w:rFonts w:ascii="Times New Roman" w:hAnsi="Times New Roman"/>
          <w:sz w:val="20"/>
        </w:rPr>
      </w:pPr>
      <w:r>
        <w:rPr>
          <w:rFonts w:ascii="Arial" w:hAnsi="Arial"/>
          <w:color w:val="000000"/>
          <w:sz w:val="12"/>
        </w:rPr>
        <w:t>(b)</w:t>
      </w:r>
      <w:r>
        <w:rPr>
          <w:rFonts w:ascii="Times New Roman" w:hAnsi="Times New Roman"/>
          <w:color w:val="000000"/>
          <w:sz w:val="20"/>
        </w:rPr>
        <w:t xml:space="preserve"> </w:t>
      </w:r>
      <w:r>
        <w:rPr>
          <w:rFonts w:ascii="Arial" w:hAnsi="Arial"/>
          <w:color w:val="000000"/>
          <w:sz w:val="16"/>
        </w:rPr>
        <w:t>Does not take into account restricted stock units, which have no exercise price.</w:t>
      </w:r>
    </w:p>
    <w:p>
      <w:pPr>
        <w:pStyle w:val="TextBody"/>
        <w:bidi w:val="0"/>
        <w:jc w:val="left"/>
        <w:rPr>
          <w:rFonts w:ascii="Times New Roman" w:hAnsi="Times New Roman"/>
          <w:sz w:val="20"/>
        </w:rPr>
      </w:pPr>
      <w:r>
        <w:rPr>
          <w:rFonts w:ascii="Arial" w:hAnsi="Arial"/>
          <w:color w:val="000000"/>
          <w:sz w:val="12"/>
        </w:rPr>
        <w:t>(c)</w:t>
      </w:r>
      <w:r>
        <w:rPr>
          <w:rFonts w:ascii="Times New Roman" w:hAnsi="Times New Roman"/>
          <w:color w:val="000000"/>
          <w:sz w:val="20"/>
        </w:rPr>
        <w:t xml:space="preserve"> </w:t>
      </w:r>
      <w:r>
        <w:rPr>
          <w:rFonts w:ascii="Arial" w:hAnsi="Arial"/>
          <w:color w:val="000000"/>
          <w:sz w:val="16"/>
        </w:rPr>
        <w:t>Represents 16,719,176 shares of common stock available for issuance under our 2021 Plan and 5,539,474 shares of common stock available for issuance under our ESPP. No shares are available for future issuance under our 2009 Plan or 2018 Plan. Our 2021 Plan provides for annual increases in the number of shares available for issuance thereunder on the first day of each fiscal year equal to the lower of: (i) 5% of the total number of shares of common stock and non-voting common stock outstanding on the last business day of the prior fiscal year; or (ii) such other amount as our board of directors may determine. Our ESPP provides for annual increases in the number of shares available for issuance thereunder on the first day of each fiscal year equal to the least of: (i) 2,000,000 shares; (ii) 1% of the shares of common stock and non-voting common stock issued and outstanding on the last business day of the prior fiscal year; or (iii) the number of shares determined by our board of directors. On January 1, 2026, an additional 6,097,971 shares became available for future issuance under the 2021 Plan and an additional 1,219,594 shares became available for future issuance under the ESPP. The additional shares from the annual increase on January 1, 2026 are not included in the table above.</w:t>
      </w:r>
    </w:p>
    <w:p>
      <w:pPr>
        <w:pStyle w:val="TextBody"/>
        <w:bidi w:val="0"/>
        <w:spacing w:before="200" w:after="283"/>
        <w:jc w:val="left"/>
        <w:rPr>
          <w:rFonts w:ascii="Arial" w:hAnsi="Arial"/>
          <w:color w:val="000000"/>
          <w:sz w:val="20"/>
        </w:rPr>
      </w:pPr>
      <w:r>
        <w:rPr>
          <w:rFonts w:ascii="Arial" w:hAnsi="Arial"/>
          <w:color w:val="000000"/>
          <w:sz w:val="20"/>
        </w:rPr>
        <w:t>The information required under this item not otherwise provided herein is incorporated herein by reference to the Company’s definitive proxy statement pursuant to Regulation 14A, which proxy statement will be filed with the SEC not later than 120 days after the close of the Company’s fiscal year ended December 31, 2025.</w:t>
      </w:r>
    </w:p>
    <w:p>
      <w:pPr>
        <w:pStyle w:val="TextBody"/>
        <w:bidi w:val="0"/>
        <w:spacing w:before="200" w:after="283"/>
        <w:jc w:val="left"/>
        <w:rPr>
          <w:rFonts w:ascii="Arial" w:hAnsi="Arial"/>
          <w:b/>
          <w:color w:val="000000"/>
          <w:sz w:val="20"/>
        </w:rPr>
      </w:pPr>
      <w:bookmarkStart w:id="55" w:name="item_13_certain_relationships"/>
      <w:bookmarkEnd w:id="55"/>
      <w:r>
        <w:rPr>
          <w:rFonts w:ascii="Arial" w:hAnsi="Arial"/>
          <w:b/>
          <w:color w:val="000000"/>
          <w:sz w:val="20"/>
        </w:rPr>
        <w:t>Item 13. Certain Relationships and Related Transactions, and Director Independence</w:t>
      </w:r>
    </w:p>
    <w:p>
      <w:pPr>
        <w:pStyle w:val="TextBody"/>
        <w:bidi w:val="0"/>
        <w:spacing w:before="200" w:after="283"/>
        <w:jc w:val="left"/>
        <w:rPr>
          <w:rFonts w:ascii="Arial" w:hAnsi="Arial"/>
          <w:color w:val="000000"/>
          <w:sz w:val="20"/>
        </w:rPr>
      </w:pPr>
      <w:r>
        <w:rPr>
          <w:rFonts w:ascii="Arial" w:hAnsi="Arial"/>
          <w:color w:val="000000"/>
          <w:sz w:val="20"/>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2025.</w:t>
      </w:r>
    </w:p>
    <w:p>
      <w:pPr>
        <w:pStyle w:val="TextBody"/>
        <w:bidi w:val="0"/>
        <w:spacing w:before="120" w:after="283"/>
        <w:jc w:val="center"/>
        <w:rPr>
          <w:rFonts w:ascii="Arial" w:hAnsi="Arial"/>
          <w:color w:val="000000"/>
          <w:sz w:val="20"/>
        </w:rPr>
      </w:pPr>
      <w:r>
        <w:rPr>
          <w:rFonts w:ascii="Arial" w:hAnsi="Arial"/>
          <w:color w:val="000000"/>
          <w:sz w:val="20"/>
        </w:rPr>
        <w:t>159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left"/>
        <w:rPr>
          <w:rFonts w:ascii="Arial" w:hAnsi="Arial"/>
          <w:b/>
          <w:color w:val="000000"/>
          <w:sz w:val="20"/>
        </w:rPr>
      </w:pPr>
      <w:bookmarkStart w:id="56" w:name="item_14_principal_accounting_fees"/>
      <w:bookmarkEnd w:id="56"/>
      <w:r>
        <w:rPr>
          <w:rFonts w:ascii="Arial" w:hAnsi="Arial"/>
          <w:b/>
          <w:color w:val="000000"/>
          <w:sz w:val="20"/>
        </w:rPr>
        <w:t>Item 14. Principal Accounting Fees and Services</w:t>
      </w:r>
    </w:p>
    <w:p>
      <w:pPr>
        <w:pStyle w:val="TextBody"/>
        <w:bidi w:val="0"/>
        <w:spacing w:before="200" w:after="283"/>
        <w:jc w:val="left"/>
        <w:rPr>
          <w:rFonts w:ascii="Arial" w:hAnsi="Arial"/>
          <w:color w:val="000000"/>
          <w:sz w:val="20"/>
        </w:rPr>
      </w:pPr>
      <w:r>
        <w:rPr>
          <w:rFonts w:ascii="Arial" w:hAnsi="Arial"/>
          <w:color w:val="000000"/>
          <w:sz w:val="20"/>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2025.</w:t>
      </w:r>
    </w:p>
    <w:p>
      <w:pPr>
        <w:pStyle w:val="TextBody"/>
        <w:bidi w:val="0"/>
        <w:spacing w:before="120" w:after="283"/>
        <w:jc w:val="center"/>
        <w:rPr>
          <w:rFonts w:ascii="Arial" w:hAnsi="Arial"/>
          <w:color w:val="000000"/>
          <w:sz w:val="20"/>
        </w:rPr>
      </w:pPr>
      <w:r>
        <w:rPr>
          <w:rFonts w:ascii="Arial" w:hAnsi="Arial"/>
          <w:color w:val="000000"/>
          <w:sz w:val="20"/>
        </w:rPr>
        <w:t>160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PART IV</w:t>
      </w:r>
    </w:p>
    <w:p>
      <w:pPr>
        <w:pStyle w:val="TextBody"/>
        <w:bidi w:val="0"/>
        <w:spacing w:before="200" w:after="283"/>
        <w:jc w:val="left"/>
        <w:rPr>
          <w:rFonts w:ascii="Arial" w:hAnsi="Arial"/>
          <w:b/>
          <w:color w:val="000000"/>
          <w:sz w:val="20"/>
        </w:rPr>
      </w:pPr>
      <w:bookmarkStart w:id="57" w:name="item_15_exhibits_financial_statement"/>
      <w:bookmarkEnd w:id="57"/>
      <w:r>
        <w:rPr>
          <w:rFonts w:ascii="Arial" w:hAnsi="Arial"/>
          <w:b/>
          <w:color w:val="000000"/>
          <w:sz w:val="20"/>
        </w:rPr>
        <w:t>Item 15. Exhibits, Financial Statement Schedules</w:t>
      </w:r>
    </w:p>
    <w:p>
      <w:pPr>
        <w:pStyle w:val="TextBody"/>
        <w:bidi w:val="0"/>
        <w:spacing w:before="200" w:after="283"/>
        <w:jc w:val="left"/>
        <w:rPr>
          <w:rFonts w:ascii="Arial" w:hAnsi="Arial"/>
          <w:color w:val="000000"/>
          <w:sz w:val="20"/>
        </w:rPr>
      </w:pPr>
      <w:r>
        <w:rPr>
          <w:rFonts w:ascii="Arial" w:hAnsi="Arial"/>
          <w:color w:val="000000"/>
          <w:sz w:val="20"/>
        </w:rPr>
        <w:t>The following documents are filed as a part of this Annual Report on Form 10-K:</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Consolidated Financial Statements</w:t>
      </w:r>
    </w:p>
    <w:p>
      <w:pPr>
        <w:pStyle w:val="TextBody"/>
        <w:bidi w:val="0"/>
        <w:spacing w:before="120" w:after="283"/>
        <w:jc w:val="left"/>
        <w:rPr>
          <w:rFonts w:ascii="Arial" w:hAnsi="Arial"/>
          <w:color w:val="000000"/>
          <w:sz w:val="20"/>
        </w:rPr>
      </w:pPr>
      <w:r>
        <w:rPr>
          <w:rFonts w:ascii="Arial" w:hAnsi="Arial"/>
          <w:color w:val="000000"/>
          <w:sz w:val="20"/>
        </w:rPr>
        <w:t>The consolidated financial statements are filed as part of this Annual Report on Form 10-K under “Item 8. Financial Statements and Supplementary Data.”</w:t>
      </w:r>
    </w:p>
    <w:p>
      <w:pPr>
        <w:pStyle w:val="TextBody"/>
        <w:bidi w:val="0"/>
        <w:spacing w:before="200" w:after="283"/>
        <w:jc w:val="left"/>
        <w:rPr>
          <w:rFonts w:ascii="Arial" w:hAnsi="Arial"/>
          <w:color w:val="000000"/>
          <w:sz w:val="20"/>
        </w:rPr>
      </w:pPr>
      <w:r>
        <w:rPr>
          <w:rFonts w:ascii="Arial" w:hAnsi="Arial"/>
          <w:color w:val="000000"/>
          <w:sz w:val="20"/>
        </w:rPr>
        <w:t>b)</w:t>
      </w:r>
    </w:p>
    <w:p>
      <w:pPr>
        <w:pStyle w:val="TextBody"/>
        <w:bidi w:val="0"/>
        <w:spacing w:before="200" w:after="283"/>
        <w:jc w:val="left"/>
        <w:rPr>
          <w:rFonts w:ascii="Arial" w:hAnsi="Arial"/>
          <w:color w:val="000000"/>
          <w:sz w:val="20"/>
        </w:rPr>
      </w:pPr>
      <w:r>
        <w:rPr>
          <w:rFonts w:ascii="Arial" w:hAnsi="Arial"/>
          <w:color w:val="000000"/>
          <w:sz w:val="20"/>
        </w:rPr>
        <w:t>Financial Statement Schedules</w:t>
      </w:r>
    </w:p>
    <w:p>
      <w:pPr>
        <w:pStyle w:val="TextBody"/>
        <w:bidi w:val="0"/>
        <w:spacing w:before="120" w:after="283"/>
        <w:jc w:val="left"/>
        <w:rPr>
          <w:rFonts w:ascii="Arial" w:hAnsi="Arial"/>
          <w:color w:val="000000"/>
          <w:sz w:val="20"/>
        </w:rPr>
      </w:pPr>
      <w:r>
        <w:rPr>
          <w:rFonts w:ascii="Arial" w:hAnsi="Arial"/>
          <w:color w:val="000000"/>
          <w:sz w:val="20"/>
        </w:rPr>
        <w:t>All financial statement schedules have been omitted as the information is not required under the related instructions or is not applicable or because the information required is already included in the financial statements or in the notes to those financial statements.</w:t>
      </w:r>
    </w:p>
    <w:p>
      <w:pPr>
        <w:pStyle w:val="TextBody"/>
        <w:bidi w:val="0"/>
        <w:spacing w:before="200" w:after="283"/>
        <w:jc w:val="left"/>
        <w:rPr>
          <w:rFonts w:ascii="Arial" w:hAnsi="Arial"/>
          <w:color w:val="000000"/>
          <w:sz w:val="20"/>
        </w:rPr>
      </w:pPr>
      <w:r>
        <w:rPr>
          <w:rFonts w:ascii="Arial" w:hAnsi="Arial"/>
          <w:color w:val="000000"/>
          <w:sz w:val="20"/>
        </w:rPr>
        <w:t>c)</w:t>
      </w:r>
    </w:p>
    <w:p>
      <w:pPr>
        <w:pStyle w:val="TextBody"/>
        <w:bidi w:val="0"/>
        <w:spacing w:before="200" w:after="283"/>
        <w:jc w:val="left"/>
        <w:rPr>
          <w:rFonts w:ascii="Arial" w:hAnsi="Arial"/>
          <w:color w:val="000000"/>
          <w:sz w:val="20"/>
        </w:rPr>
      </w:pPr>
      <w:r>
        <w:rPr>
          <w:rFonts w:ascii="Arial" w:hAnsi="Arial"/>
          <w:color w:val="000000"/>
          <w:sz w:val="20"/>
        </w:rPr>
        <w:t>Exhibits</w:t>
      </w:r>
    </w:p>
    <w:p>
      <w:pPr>
        <w:pStyle w:val="TextBody"/>
        <w:bidi w:val="0"/>
        <w:spacing w:before="120" w:after="283"/>
        <w:jc w:val="left"/>
        <w:rPr>
          <w:rFonts w:ascii="Arial" w:hAnsi="Arial"/>
          <w:color w:val="000000"/>
          <w:sz w:val="20"/>
        </w:rPr>
      </w:pPr>
      <w:r>
        <w:rPr>
          <w:rFonts w:ascii="Arial" w:hAnsi="Arial"/>
          <w:color w:val="000000"/>
          <w:sz w:val="20"/>
        </w:rPr>
        <w:t>The exhibits listed in the following Exhibit Index are filed herewith as part of this Annual Report on Form 10-K or are incorporated herein by reference, in each case as indicated below.</w:t>
      </w:r>
    </w:p>
    <w:p>
      <w:pPr>
        <w:pStyle w:val="TextBody"/>
        <w:bidi w:val="0"/>
        <w:spacing w:before="200" w:after="283"/>
        <w:jc w:val="center"/>
        <w:rPr>
          <w:rFonts w:ascii="Arial" w:hAnsi="Arial"/>
          <w:b/>
          <w:color w:val="000000"/>
          <w:sz w:val="20"/>
        </w:rPr>
      </w:pPr>
      <w:r>
        <w:rPr>
          <w:rFonts w:ascii="Arial" w:hAnsi="Arial"/>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Amended and Restated Certificate of Incorporation of Flywire Corporation, incorporated by reference to Exhibit 3.1 to the Registrant’s Current Report on Form 8-K filed on June 1, 2021.</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Amended and Restated Bylaws of Flywire Corporation, incorporated by reference to Exhibit 3.1 to the Registrant’s Current Report on Form 8-K filed on March 19, 2024.</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FF"/>
                  <w:sz w:val="20"/>
                  <w:u w:val="single"/>
                </w:rPr>
                <w:t>Description of Securities of Flywire Corporation, incorporated by reference to Exhibit 4.1 to the Registrant's Annual Report on Form 10-K for the year ended December 31, 2021 filed on March 29, 2022.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Arial" w:hAnsi="Arial"/>
                  <w:color w:val="0000FF"/>
                  <w:sz w:val="20"/>
                  <w:u w:val="single"/>
                </w:rPr>
                <w:t>Amended and Restated Investors’ Rights Agreement, dated February 23, 2021, by and among the Registrant and certain security holders of the Registrant, as amended, incorporated by reference to Exhibit 4.2 to the Registrant's Registration Statement on Form S-1 filed on May 3, 2021.</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Arial" w:hAnsi="Arial"/>
                  <w:color w:val="0000FF"/>
                  <w:sz w:val="20"/>
                  <w:u w:val="single"/>
                </w:rPr>
                <w:t>Form of Indemnification Agreement, incorporated by reference to Exhibit 10.1 to the Registrant's Registration Statement on Form S-1/A filed on May 18, 2021.</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Arial" w:hAnsi="Arial"/>
                  <w:color w:val="0000FF"/>
                  <w:sz w:val="20"/>
                  <w:u w:val="single"/>
                </w:rPr>
                <w:t>Amended and Restated 2009 Equity Incentive Plan and forms of agreements thereunder, incorporated by reference to Exhibit 10.2 to the Registrant's Annual Report on Form 10-K for the year ended December 31, 2021 filed on March 29, 2022.</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Arial" w:hAnsi="Arial"/>
                  <w:color w:val="0000FF"/>
                  <w:sz w:val="20"/>
                  <w:u w:val="single"/>
                </w:rPr>
                <w:t>2018 Stock Incentive Plan, as amended, and forms of equity agreements thereunder, incorporated by reference to Exhibit 10.3 to the Registrant's Registration Statement on Form S-1/A filed on May 18, 2021.</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Arial" w:hAnsi="Arial"/>
                  <w:color w:val="0000FF"/>
                  <w:sz w:val="20"/>
                  <w:u w:val="single"/>
                </w:rPr>
                <w:t>2021 Equity Incentive Plan, and forms of equity agreements thereunder, incorporated by reference to Exhibit 10.4 to the Registrant's Annual Report on Form 10-K for the year ended December 31, 2022 filed on March 10, 2023.</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Arial" w:hAnsi="Arial"/>
                  <w:color w:val="0000FF"/>
                  <w:sz w:val="20"/>
                  <w:u w:val="single"/>
                </w:rPr>
                <w:t>2021 Employee Stock Purchase Plan, and form of subscription agreement, incorporated by reference to Exhibit 10.5 to the Registrant's Registration Statement on Form S-1/A filed on May 18, 2021.</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Arial" w:hAnsi="Arial"/>
                  <w:color w:val="0000FF"/>
                  <w:sz w:val="20"/>
                  <w:u w:val="single"/>
                </w:rPr>
                <w:t>Purchase and Sale Agreement, dated as of February 24, 2025, by and among Flywire Corporation, S Legacy Holdco, Inc., an Illinois corporation (the “Seller”), and each of the shareholders of Seller, signatory thereto, incorporated by reference to Exhibit 2.1 to the Registrant’s Current Report on Form 8-K filed on February 25, 2025.</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Arial" w:hAnsi="Arial"/>
                  <w:color w:val="0000FF"/>
                  <w:sz w:val="20"/>
                  <w:u w:val="single"/>
                </w:rPr>
                <w:t>Employment Agreement, dated as of August 1, 2025, by and between the Registrant and Michael Massaro, incorporated by reference to Exhibit 10.1 to the Registrant’s Quarterly Report on Form 10-Q for the quarterly period ended September 30, 2025 filed on November 10, 2025.</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Arial" w:hAnsi="Arial"/>
                  <w:color w:val="0000FF"/>
                  <w:sz w:val="20"/>
                  <w:u w:val="single"/>
                </w:rPr>
                <w:t>Employment Agreement, dated as of August 1, 2025, by and between the Registrant and Rob Orgel, incorporated by reference to Exhibit 10.2 to the Registrant’s Quarterly Report on Form 10-Q for the quarterly period ended September 30, 2025 filed on November 10, 2025.</w:t>
              </w:r>
            </w:hyperlink>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Arial" w:hAnsi="Arial"/>
                  <w:color w:val="0000FF"/>
                  <w:sz w:val="20"/>
                  <w:u w:val="single"/>
                </w:rPr>
                <w:t>Employment Agreement, dated as of August 1, 2025, by and between the Registrant and Cosmin Pitigoi, incorporated by reference to Exhibit 10.3 to the Registrant’s Quarterly Report on Form 10-Q for the quarterly period ended September 30, 2025 filed on November 10, 2025.</w:t>
              </w:r>
            </w:hyperlink>
          </w:p>
        </w:tc>
      </w:tr>
    </w:tbl>
    <w:p>
      <w:pPr>
        <w:pStyle w:val="TextBody"/>
        <w:bidi w:val="0"/>
        <w:spacing w:before="120" w:after="283"/>
        <w:jc w:val="center"/>
        <w:rPr>
          <w:rFonts w:ascii="Arial" w:hAnsi="Arial"/>
          <w:color w:val="000000"/>
          <w:sz w:val="20"/>
        </w:rPr>
      </w:pPr>
      <w:r>
        <w:rPr>
          <w:rFonts w:ascii="Arial" w:hAnsi="Arial"/>
          <w:color w:val="000000"/>
          <w:sz w:val="20"/>
        </w:rPr>
        <w:t>161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
        <w:gridCol w:w="146"/>
        <w:gridCol w:w="9408"/>
      </w:tblGrid>
      <w:tr>
        <w:trPr/>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8" w:type="dxa"/>
            <w:tcBorders/>
            <w:vAlign w:val="center"/>
          </w:tcPr>
          <w:p>
            <w:pPr>
              <w:pStyle w:val="TableContents"/>
              <w:bidi w:val="0"/>
              <w:spacing w:before="0" w:after="283"/>
              <w:jc w:val="left"/>
              <w:rPr>
                <w:sz w:val="4"/>
                <w:szCs w:val="4"/>
              </w:rPr>
            </w:pPr>
            <w:r>
              <w:rPr>
                <w:sz w:val="4"/>
                <w:szCs w:val="4"/>
              </w:rPr>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Arial" w:hAnsi="Arial"/>
                  <w:color w:val="0000FF"/>
                  <w:sz w:val="20"/>
                  <w:u w:val="single"/>
                </w:rPr>
                <w:t>Employment Agreement, dated as of August 1, 2025, by and between the Registrant and David King, incorporated by reference to Exhibit 10.4 to the Registrant’s Quarterly Report on Form 10-Q for the quarterly period ended September 30, 2025 filed on November 10, 2025.</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Arial" w:hAnsi="Arial"/>
                  <w:color w:val="0000FF"/>
                  <w:sz w:val="20"/>
                  <w:u w:val="single"/>
                </w:rPr>
                <w:t>Employment Agreement, dated as of August 1, 2025, by and between the Registrant and Peter Butterfield, incorporated by reference to Exhibit 10.5 to the Registrant’s Quarterly Report on Form 10-Q for the quarterly period ended September 30, 2025 filed on November 10, 2025.</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Arial" w:hAnsi="Arial"/>
                  <w:color w:val="0000FF"/>
                  <w:sz w:val="20"/>
                  <w:u w:val="single"/>
                </w:rPr>
                <w:t>Office Lease, dated April 8, 2015, as amended by that certain First Amendment to Office Lease dated April 7, 2016, that certain Second Amendment to Office Lease dated October 23, 2018 and that certain Third Amendment to Office Lease dated May 1, 2023, by and between the Registrant and NS 141 Tremont LLC, incorporated by reference to Exhibit 10.14 to the Registrant's Quarterly Report on Form 10-Q for the period ended June 30, 2023 filed on August 8, 2023.</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Arial" w:hAnsi="Arial"/>
                  <w:color w:val="0000FF"/>
                  <w:sz w:val="20"/>
                  <w:u w:val="single"/>
                </w:rPr>
                <w:t>Credit Agreement, dated July 29, 2021, as amended by the First Amendment to Credit Agreement dated June 23, 2023, by and among Flywire Corporation, the other Loan Parties party thereto from time to time, the Lenders party thereto from time to time, the Issuing Banks party thereto from time to time, and Citibank, incorporated by reference to Exhibit 10.1 to the Registrant’s Quarterly Report on Form 10-Q for the period ended June 30, 2023 filed on August 8, 2023.</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Arial" w:hAnsi="Arial"/>
                  <w:color w:val="0000FF"/>
                  <w:sz w:val="20"/>
                  <w:u w:val="single"/>
                </w:rPr>
                <w:t>Management Cash Incentive Plan, incorporated by reference to Exhibit 10.17 to the Registrant's Annual Report on Form 10-K for the year ended December 31, 2022 filed on March 10, 2023.</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Arial" w:hAnsi="Arial"/>
                  <w:color w:val="0000FF"/>
                  <w:sz w:val="20"/>
                  <w:u w:val="single"/>
                </w:rPr>
                <w:t>Amended and Restated Credit Agreement, dated as of February 23, 2024, by and among Flywire Corporation, the other Loan Parties party thereto from time to time, the Lenders party thereto from time to time, the Issuing Banks party thereto from time to time, and Citibank, N.A., incorporated by reference to Exhibit 10.15 to the Quarterly Report on Form 10-Q for the quarter ended March 31, 2024 filed on May 7, 2024.</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Arial" w:hAnsi="Arial"/>
                  <w:color w:val="0000FF"/>
                  <w:sz w:val="20"/>
                  <w:u w:val="single"/>
                </w:rPr>
                <w:t>First Amendment to Amended and Restated Credit Agreement and First Amendment to Pledge and Security Agreement, dated as of August 1, 2025, by and among Flywire Corporation, the other Loan Parties party thereto from time to time, the Lenders party thereto from time to time, the Issuing Banks party thereto from time to time, and Citibank, N.A., incorporated by reference to Exhibit 3.1 to the Registrant’s Quarterly Report on Form 10-Q for the period ended September 30, 2025 filed on November 10, 2025.</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Arial" w:hAnsi="Arial"/>
                  <w:color w:val="0000FF"/>
                  <w:sz w:val="20"/>
                  <w:u w:val="single"/>
                </w:rPr>
                <w:t>Amended &amp; Restated Insider Trading Policy, incorporated by reference to Exhibit 19.1 to the Registrant's Annual Report on Form 10-K for the year ended December 31, 2024 filed on February 26, 2025.</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21_1.htm">
              <w:r>
                <w:rPr>
                  <w:rStyle w:val="InternetLink"/>
                  <w:rFonts w:ascii="Arial" w:hAnsi="Arial"/>
                  <w:color w:val="0000FF"/>
                  <w:sz w:val="20"/>
                  <w:u w:val="single"/>
                </w:rPr>
                <w:t>List of Subsidiaries of the Registrant.</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23_1.htm">
              <w:r>
                <w:rPr>
                  <w:rStyle w:val="InternetLink"/>
                  <w:rFonts w:ascii="Arial" w:hAnsi="Arial"/>
                  <w:color w:val="0000FF"/>
                  <w:sz w:val="20"/>
                  <w:u w:val="single"/>
                </w:rPr>
                <w:t>Consent of PricewaterhouseCoopers LLP, independent registered public accounting firm.</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Arial" w:hAnsi="Arial"/>
                  <w:color w:val="0000FF"/>
                  <w:sz w:val="20"/>
                  <w:u w:val="single"/>
                </w:rPr>
                <w:t>Flywire Corporation Policy for the Recovery of Erroneously Awarded Compensation, incorporated by reference to Exhibit 97.1 to the Registrant's Annual Report on Form 10-K for the year ended December 31, 2023 filed on February 28, 2024.</w:t>
              </w:r>
            </w:hyperlink>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Filed herewith.</w:t>
      </w:r>
    </w:p>
    <w:p>
      <w:pPr>
        <w:pStyle w:val="TextBody"/>
        <w:bidi w:val="0"/>
        <w:spacing w:before="120" w:after="283"/>
        <w:jc w:val="left"/>
        <w:rPr>
          <w:rFonts w:ascii="Arial" w:hAnsi="Arial"/>
          <w:color w:val="000000"/>
          <w:sz w:val="20"/>
        </w:rPr>
      </w:pPr>
      <w:r>
        <w:rPr>
          <w:rFonts w:ascii="Arial" w:hAnsi="Arial"/>
          <w:color w:val="000000"/>
          <w:sz w:val="20"/>
        </w:rPr>
        <w:t># Indicates a management contract or compensatory plan</w:t>
      </w:r>
    </w:p>
    <w:p>
      <w:pPr>
        <w:pStyle w:val="TextBody"/>
        <w:bidi w:val="0"/>
        <w:spacing w:before="200" w:after="283"/>
        <w:jc w:val="left"/>
        <w:rPr>
          <w:rFonts w:ascii="Arial" w:hAnsi="Arial"/>
          <w:b/>
          <w:color w:val="000000"/>
          <w:sz w:val="20"/>
        </w:rPr>
      </w:pPr>
      <w:bookmarkStart w:id="58" w:name="item_16_form_10_k_summary"/>
      <w:bookmarkEnd w:id="58"/>
      <w:r>
        <w:rPr>
          <w:rFonts w:ascii="Arial" w:hAnsi="Arial"/>
          <w:b/>
          <w:color w:val="000000"/>
          <w:sz w:val="20"/>
        </w:rPr>
        <w:t>Item 16. Form 10-K Summary</w:t>
      </w:r>
    </w:p>
    <w:p>
      <w:pPr>
        <w:pStyle w:val="TextBody"/>
        <w:bidi w:val="0"/>
        <w:spacing w:before="200" w:after="283"/>
        <w:jc w:val="left"/>
        <w:rPr>
          <w:rFonts w:ascii="Arial" w:hAnsi="Arial"/>
          <w:color w:val="000000"/>
          <w:sz w:val="20"/>
        </w:rPr>
      </w:pPr>
      <w:r>
        <w:rPr>
          <w:rFonts w:ascii="Arial" w:hAnsi="Arial"/>
          <w:color w:val="000000"/>
          <w:sz w:val="20"/>
        </w:rPr>
        <w:t>None.</w:t>
      </w:r>
    </w:p>
    <w:p>
      <w:pPr>
        <w:pStyle w:val="TextBody"/>
        <w:bidi w:val="0"/>
        <w:spacing w:before="120" w:after="283"/>
        <w:jc w:val="center"/>
        <w:rPr>
          <w:rFonts w:ascii="Arial" w:hAnsi="Arial"/>
          <w:color w:val="000000"/>
          <w:sz w:val="20"/>
        </w:rPr>
      </w:pPr>
      <w:r>
        <w:rPr>
          <w:rFonts w:ascii="Arial" w:hAnsi="Arial"/>
          <w:color w:val="000000"/>
          <w:sz w:val="20"/>
        </w:rPr>
        <w:t>162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59" w:name="signatures"/>
      <w:bookmarkEnd w:id="59"/>
      <w:r>
        <w:rPr>
          <w:rFonts w:ascii="Arial" w:hAnsi="Arial"/>
          <w:b/>
          <w:color w:val="000000"/>
          <w:sz w:val="20"/>
        </w:rPr>
        <w:t>SIGNATURES</w:t>
      </w:r>
    </w:p>
    <w:p>
      <w:pPr>
        <w:pStyle w:val="TextBody"/>
        <w:bidi w:val="0"/>
        <w:spacing w:before="200" w:after="20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tbl>
      <w:tblPr>
        <w:tblW w:w="7769" w:type="dxa"/>
        <w:jc w:val="left"/>
        <w:tblInd w:w="0" w:type="dxa"/>
        <w:tblLayout w:type="fixed"/>
        <w:tblCellMar>
          <w:top w:w="28" w:type="dxa"/>
          <w:left w:w="28" w:type="dxa"/>
          <w:bottom w:w="28" w:type="dxa"/>
          <w:right w:w="28" w:type="dxa"/>
        </w:tblCellMar>
      </w:tblPr>
      <w:tblGrid>
        <w:gridCol w:w="2461"/>
        <w:gridCol w:w="386"/>
        <w:gridCol w:w="691"/>
        <w:gridCol w:w="4231"/>
      </w:tblGrid>
      <w:tr>
        <w:trPr/>
        <w:tc>
          <w:tcPr>
            <w:tcW w:w="246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92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FLYWIRE CORPORATION</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February 24, 2026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Arial" w:hAnsi="Arial"/>
                <w:color w:val="000000"/>
                <w:sz w:val="20"/>
              </w:rPr>
            </w:pPr>
            <w:r>
              <w:rPr>
                <w:rFonts w:ascii="Arial" w:hAnsi="Arial"/>
                <w:color w:val="000000"/>
                <w:sz w:val="20"/>
              </w:rPr>
              <w:t>/s/ Michael Massaro</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246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(Principal Executive Officer)</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February 24, 2026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42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Arial" w:hAnsi="Arial"/>
                <w:color w:val="000000"/>
                <w:sz w:val="20"/>
              </w:rPr>
            </w:pPr>
            <w:r>
              <w:rPr>
                <w:rFonts w:ascii="Arial" w:hAnsi="Arial"/>
                <w:color w:val="000000"/>
                <w:sz w:val="20"/>
              </w:rPr>
              <w:t>/s/ Cosmin Pitigoi</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(Principal Financial and Accounting Officer)</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00"/>
        <w:jc w:val="center"/>
        <w:rPr>
          <w:rFonts w:ascii="Arial" w:hAnsi="Arial"/>
          <w:b/>
          <w:color w:val="000000"/>
          <w:sz w:val="20"/>
        </w:rPr>
      </w:pPr>
      <w:r>
        <w:rPr>
          <w:rFonts w:ascii="Arial" w:hAnsi="Arial"/>
          <w:b/>
          <w:color w:val="000000"/>
          <w:sz w:val="20"/>
        </w:rPr>
        <w:t>POWER OF ATTORNEY</w:t>
      </w:r>
    </w:p>
    <w:p>
      <w:pPr>
        <w:pStyle w:val="TextBody"/>
        <w:bidi w:val="0"/>
        <w:spacing w:before="0" w:after="200"/>
        <w:jc w:val="left"/>
        <w:rPr>
          <w:rFonts w:ascii="Times New Roman" w:hAnsi="Times New Roman"/>
          <w:sz w:val="20"/>
        </w:rPr>
      </w:pPr>
      <w:r>
        <w:rPr>
          <w:rFonts w:ascii="Arial" w:hAnsi="Arial"/>
          <w:i/>
          <w:color w:val="000000"/>
          <w:sz w:val="20"/>
        </w:rPr>
        <w:t>KNOW ALL PERSONS BY THESE PRESENTS</w:t>
      </w:r>
      <w:r>
        <w:rPr>
          <w:rFonts w:ascii="Arial" w:hAnsi="Arial"/>
          <w:color w:val="000000"/>
          <w:sz w:val="20"/>
        </w:rPr>
        <w:t>, that each person whose signature appears below hereby constitutes and appoints Michael Massaro and Cosmin Pitigoi, and each of them, as his or her true and lawful attorneys-in-fact, proxies,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pStyle w:val="TextBody"/>
        <w:bidi w:val="0"/>
        <w:spacing w:before="0" w:after="200"/>
        <w:jc w:val="left"/>
        <w:rPr>
          <w:rFonts w:ascii="Arial" w:hAnsi="Arial"/>
          <w:color w:val="000000"/>
          <w:sz w:val="20"/>
        </w:rPr>
      </w:pPr>
      <w:r>
        <w:rPr>
          <w:rFonts w:ascii="Arial" w:hAnsi="Arial"/>
          <w:color w:val="000000"/>
          <w:sz w:val="20"/>
        </w:rPr>
        <w:t>Pursuant to the requirements of the Securities Exchange Act, this Annual Report on Form 10-K has been signed by the following persons on behalf of the registrant and in the capacities and on the dates indicated.</w:t>
      </w:r>
    </w:p>
    <w:tbl>
      <w:tblPr>
        <w:tblW w:w="7645" w:type="dxa"/>
        <w:jc w:val="left"/>
        <w:tblInd w:w="0" w:type="dxa"/>
        <w:tblLayout w:type="fixed"/>
        <w:tblCellMar>
          <w:top w:w="28" w:type="dxa"/>
          <w:left w:w="28" w:type="dxa"/>
          <w:bottom w:w="28" w:type="dxa"/>
          <w:right w:w="28" w:type="dxa"/>
        </w:tblCellMar>
      </w:tblPr>
      <w:tblGrid>
        <w:gridCol w:w="1906"/>
        <w:gridCol w:w="146"/>
        <w:gridCol w:w="3241"/>
        <w:gridCol w:w="386"/>
        <w:gridCol w:w="196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Title</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Date</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pBdr>
                <w:bottom w:val="single" w:sz="8" w:space="1" w:color="000000"/>
              </w:pBdr>
              <w:bidi w:val="0"/>
              <w:jc w:val="center"/>
              <w:rPr>
                <w:rFonts w:ascii="Arial" w:hAnsi="Arial"/>
                <w:color w:val="000000"/>
                <w:sz w:val="20"/>
              </w:rPr>
            </w:pPr>
            <w:r>
              <w:rPr>
                <w:rFonts w:ascii="Arial" w:hAnsi="Arial"/>
                <w:color w:val="000000"/>
                <w:sz w:val="20"/>
              </w:rPr>
              <w:t>/s/ Michael Massaro</w:t>
            </w:r>
          </w:p>
          <w:p>
            <w:pPr>
              <w:pStyle w:val="TableContents"/>
              <w:bidi w:val="0"/>
              <w:spacing w:before="0" w:after="283"/>
              <w:jc w:val="center"/>
              <w:rPr>
                <w:rFonts w:ascii="Arial" w:hAnsi="Arial"/>
                <w:color w:val="000000"/>
                <w:sz w:val="20"/>
              </w:rPr>
            </w:pPr>
            <w:r>
              <w:rPr>
                <w:rFonts w:ascii="Arial" w:hAnsi="Arial"/>
                <w:color w:val="000000"/>
                <w:sz w:val="20"/>
              </w:rPr>
              <w:t>Michael Massaro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Chief Executive Officer and Director</w:t>
              <w:br/>
            </w:r>
            <w:r>
              <w:rPr>
                <w:rFonts w:ascii="Arial" w:hAnsi="Arial"/>
                <w:i/>
                <w:color w:val="000000"/>
                <w:sz w:val="20"/>
              </w:rPr>
              <w:t>(Principal Executive Officer)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February 24, 2026</w:t>
            </w:r>
          </w:p>
        </w:tc>
      </w:tr>
      <w:tr>
        <w:trPr/>
        <w:tc>
          <w:tcPr>
            <w:tcW w:w="1906" w:type="dxa"/>
            <w:tcBorders/>
            <w:tcMar>
              <w:top w:w="0" w:type="dxa"/>
              <w:left w:w="0" w:type="dxa"/>
              <w:bottom w:w="0" w:type="dxa"/>
              <w:right w:w="0" w:type="dxa"/>
            </w:tcMar>
            <w:vAlign w:val="center"/>
          </w:tcPr>
          <w:p>
            <w:pPr>
              <w:pStyle w:val="TableContents"/>
              <w:pBdr>
                <w:bottom w:val="single" w:sz="8" w:space="1" w:color="000000"/>
              </w:pBdr>
              <w:bidi w:val="0"/>
              <w:jc w:val="center"/>
              <w:rPr>
                <w:rFonts w:ascii="Arial" w:hAnsi="Arial"/>
                <w:color w:val="000000"/>
                <w:sz w:val="20"/>
              </w:rPr>
            </w:pPr>
            <w:r>
              <w:rPr>
                <w:rFonts w:ascii="Arial" w:hAnsi="Arial"/>
                <w:color w:val="000000"/>
                <w:sz w:val="20"/>
              </w:rPr>
              <w:t>/s/ Phillip Riese</w:t>
            </w:r>
          </w:p>
          <w:p>
            <w:pPr>
              <w:pStyle w:val="TableContents"/>
              <w:bidi w:val="0"/>
              <w:spacing w:before="0" w:after="283"/>
              <w:jc w:val="center"/>
              <w:rPr>
                <w:rFonts w:ascii="Arial" w:hAnsi="Arial"/>
                <w:color w:val="000000"/>
                <w:sz w:val="20"/>
              </w:rPr>
            </w:pPr>
            <w:r>
              <w:rPr>
                <w:rFonts w:ascii="Arial" w:hAnsi="Arial"/>
                <w:color w:val="000000"/>
                <w:sz w:val="20"/>
              </w:rPr>
              <w:t>Phillip Riese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Chairman of the Board of Directors</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February 24, 2026</w:t>
            </w:r>
          </w:p>
        </w:tc>
      </w:tr>
      <w:tr>
        <w:trPr/>
        <w:tc>
          <w:tcPr>
            <w:tcW w:w="1906" w:type="dxa"/>
            <w:tcBorders/>
            <w:tcMar>
              <w:top w:w="0" w:type="dxa"/>
              <w:left w:w="0" w:type="dxa"/>
              <w:bottom w:w="0" w:type="dxa"/>
              <w:right w:w="0" w:type="dxa"/>
            </w:tcMar>
            <w:vAlign w:val="center"/>
          </w:tcPr>
          <w:p>
            <w:pPr>
              <w:pStyle w:val="TableContents"/>
              <w:pBdr>
                <w:bottom w:val="single" w:sz="8" w:space="1" w:color="000000"/>
              </w:pBdr>
              <w:bidi w:val="0"/>
              <w:jc w:val="center"/>
              <w:rPr>
                <w:rFonts w:ascii="Arial" w:hAnsi="Arial"/>
                <w:color w:val="000000"/>
                <w:sz w:val="20"/>
              </w:rPr>
            </w:pPr>
            <w:r>
              <w:rPr>
                <w:rFonts w:ascii="Arial" w:hAnsi="Arial"/>
                <w:color w:val="000000"/>
                <w:sz w:val="20"/>
              </w:rPr>
              <w:t>/s/ Alex Finkelstein</w:t>
            </w:r>
          </w:p>
          <w:p>
            <w:pPr>
              <w:pStyle w:val="TableContents"/>
              <w:bidi w:val="0"/>
              <w:spacing w:before="0" w:after="283"/>
              <w:jc w:val="center"/>
              <w:rPr>
                <w:rFonts w:ascii="Arial" w:hAnsi="Arial"/>
                <w:color w:val="000000"/>
                <w:sz w:val="20"/>
              </w:rPr>
            </w:pPr>
            <w:r>
              <w:rPr>
                <w:rFonts w:ascii="Arial" w:hAnsi="Arial"/>
                <w:color w:val="000000"/>
                <w:sz w:val="20"/>
              </w:rPr>
              <w:t>Alex Finkelstein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February 24, 2026</w:t>
            </w:r>
          </w:p>
        </w:tc>
      </w:tr>
      <w:tr>
        <w:trPr/>
        <w:tc>
          <w:tcPr>
            <w:tcW w:w="1906" w:type="dxa"/>
            <w:tcBorders/>
            <w:tcMar>
              <w:top w:w="0" w:type="dxa"/>
              <w:left w:w="0" w:type="dxa"/>
              <w:bottom w:w="0" w:type="dxa"/>
              <w:right w:w="0" w:type="dxa"/>
            </w:tcMar>
            <w:vAlign w:val="center"/>
          </w:tcPr>
          <w:p>
            <w:pPr>
              <w:pStyle w:val="TableContents"/>
              <w:pBdr>
                <w:bottom w:val="single" w:sz="8" w:space="1" w:color="000000"/>
              </w:pBdr>
              <w:bidi w:val="0"/>
              <w:jc w:val="center"/>
              <w:rPr>
                <w:rFonts w:ascii="Arial" w:hAnsi="Arial"/>
                <w:color w:val="000000"/>
                <w:sz w:val="20"/>
              </w:rPr>
            </w:pPr>
            <w:r>
              <w:rPr>
                <w:rFonts w:ascii="Arial" w:hAnsi="Arial"/>
                <w:color w:val="000000"/>
                <w:sz w:val="20"/>
              </w:rPr>
              <w:t>/s/ Matt Harris</w:t>
            </w:r>
          </w:p>
          <w:p>
            <w:pPr>
              <w:pStyle w:val="TableContents"/>
              <w:bidi w:val="0"/>
              <w:spacing w:before="0" w:after="283"/>
              <w:jc w:val="center"/>
              <w:rPr>
                <w:rFonts w:ascii="Arial" w:hAnsi="Arial"/>
                <w:color w:val="000000"/>
                <w:sz w:val="20"/>
              </w:rPr>
            </w:pPr>
            <w:r>
              <w:rPr>
                <w:rFonts w:ascii="Arial" w:hAnsi="Arial"/>
                <w:color w:val="000000"/>
                <w:sz w:val="20"/>
              </w:rPr>
              <w:t>Matt Harris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96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February 24, 2026</w:t>
            </w:r>
          </w:p>
        </w:tc>
      </w:tr>
      <w:tr>
        <w:trPr/>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Arial" w:hAnsi="Arial"/>
                <w:color w:val="000000"/>
                <w:sz w:val="20"/>
              </w:rPr>
            </w:pPr>
            <w:r>
              <w:rPr>
                <w:rFonts w:ascii="Arial" w:hAnsi="Arial"/>
                <w:color w:val="000000"/>
                <w:sz w:val="20"/>
              </w:rPr>
              <w:t>/s/ Gretchen Howard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38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96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February 24,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Gretchen Howard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vMerge w:val="continue"/>
            <w:tcBorders/>
            <w:tcMar>
              <w:top w:w="0" w:type="dxa"/>
              <w:left w:w="0" w:type="dxa"/>
              <w:bottom w:w="0" w:type="dxa"/>
              <w:right w:w="0" w:type="dxa"/>
            </w:tcMar>
            <w:vAlign w:val="center"/>
          </w:tcPr>
          <w:p>
            <w:pPr>
              <w:pStyle w:val="Normal"/>
              <w:bidi w:val="0"/>
              <w:jc w:val="left"/>
              <w:rPr/>
            </w:pPr>
            <w:r>
              <w:rPr/>
            </w:r>
          </w:p>
        </w:tc>
        <w:tc>
          <w:tcPr>
            <w:tcW w:w="386" w:type="dxa"/>
            <w:vMerge w:val="continue"/>
            <w:tcBorders/>
            <w:tcMar>
              <w:top w:w="0" w:type="dxa"/>
              <w:left w:w="0" w:type="dxa"/>
              <w:bottom w:w="0" w:type="dxa"/>
              <w:right w:w="0" w:type="dxa"/>
            </w:tcMar>
            <w:vAlign w:val="center"/>
          </w:tcPr>
          <w:p>
            <w:pPr>
              <w:pStyle w:val="Normal"/>
              <w:bidi w:val="0"/>
              <w:jc w:val="left"/>
              <w:rPr/>
            </w:pPr>
            <w:r>
              <w:rPr/>
            </w:r>
          </w:p>
        </w:tc>
        <w:tc>
          <w:tcPr>
            <w:tcW w:w="1966" w:type="dxa"/>
            <w:vMerge w:val="continue"/>
            <w:tcBorders/>
            <w:tcMar>
              <w:top w:w="0" w:type="dxa"/>
              <w:left w:w="0" w:type="dxa"/>
              <w:bottom w:w="0" w:type="dxa"/>
              <w:right w:w="0" w:type="dxa"/>
            </w:tcMar>
            <w:vAlign w:val="center"/>
          </w:tcPr>
          <w:p>
            <w:pPr>
              <w:pStyle w:val="Normal"/>
              <w:bidi w:val="0"/>
              <w:jc w:val="left"/>
              <w:rPr/>
            </w:pPr>
            <w:r>
              <w:rPr/>
            </w:r>
          </w:p>
        </w:tc>
      </w:tr>
      <w:tr>
        <w:trPr/>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Arial" w:hAnsi="Arial"/>
                <w:color w:val="000000"/>
                <w:sz w:val="20"/>
              </w:rPr>
            </w:pPr>
            <w:r>
              <w:rPr>
                <w:rFonts w:ascii="Arial" w:hAnsi="Arial"/>
                <w:color w:val="000000"/>
                <w:sz w:val="20"/>
              </w:rPr>
              <w:t>/s/ Carleigh Jaques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38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96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February 24,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Carleigh Jaques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vMerge w:val="continue"/>
            <w:tcBorders/>
            <w:tcMar>
              <w:top w:w="0" w:type="dxa"/>
              <w:left w:w="0" w:type="dxa"/>
              <w:bottom w:w="0" w:type="dxa"/>
              <w:right w:w="0" w:type="dxa"/>
            </w:tcMar>
            <w:vAlign w:val="center"/>
          </w:tcPr>
          <w:p>
            <w:pPr>
              <w:pStyle w:val="Normal"/>
              <w:bidi w:val="0"/>
              <w:jc w:val="left"/>
              <w:rPr/>
            </w:pPr>
            <w:r>
              <w:rPr/>
            </w:r>
          </w:p>
        </w:tc>
        <w:tc>
          <w:tcPr>
            <w:tcW w:w="386" w:type="dxa"/>
            <w:vMerge w:val="continue"/>
            <w:tcBorders/>
            <w:tcMar>
              <w:top w:w="0" w:type="dxa"/>
              <w:left w:w="0" w:type="dxa"/>
              <w:bottom w:w="0" w:type="dxa"/>
              <w:right w:w="0" w:type="dxa"/>
            </w:tcMar>
            <w:vAlign w:val="center"/>
          </w:tcPr>
          <w:p>
            <w:pPr>
              <w:pStyle w:val="Normal"/>
              <w:bidi w:val="0"/>
              <w:jc w:val="left"/>
              <w:rPr/>
            </w:pPr>
            <w:r>
              <w:rPr/>
            </w:r>
          </w:p>
        </w:tc>
        <w:tc>
          <w:tcPr>
            <w:tcW w:w="1966" w:type="dxa"/>
            <w:vMerge w:val="continue"/>
            <w:tcBorders/>
            <w:tcMar>
              <w:top w:w="0" w:type="dxa"/>
              <w:left w:w="0" w:type="dxa"/>
              <w:bottom w:w="0" w:type="dxa"/>
              <w:right w:w="0" w:type="dxa"/>
            </w:tcMar>
            <w:vAlign w:val="center"/>
          </w:tcPr>
          <w:p>
            <w:pPr>
              <w:pStyle w:val="Normal"/>
              <w:bidi w:val="0"/>
              <w:jc w:val="left"/>
              <w:rPr/>
            </w:pPr>
            <w:r>
              <w:rPr/>
            </w:r>
          </w:p>
        </w:tc>
      </w:tr>
      <w:tr>
        <w:trPr/>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Arial" w:hAnsi="Arial"/>
                <w:color w:val="000000"/>
                <w:sz w:val="20"/>
              </w:rPr>
            </w:pPr>
            <w:r>
              <w:rPr>
                <w:rFonts w:ascii="Arial" w:hAnsi="Arial"/>
                <w:color w:val="000000"/>
                <w:sz w:val="20"/>
              </w:rPr>
              <w:t>/s/ Diane Offereins</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38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96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February 24,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Diane Offereins</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241" w:type="dxa"/>
            <w:vMerge w:val="continue"/>
            <w:tcBorders/>
            <w:tcMar>
              <w:top w:w="0" w:type="dxa"/>
              <w:left w:w="0" w:type="dxa"/>
              <w:bottom w:w="0" w:type="dxa"/>
              <w:right w:w="0" w:type="dxa"/>
            </w:tcMar>
            <w:vAlign w:val="center"/>
          </w:tcPr>
          <w:p>
            <w:pPr>
              <w:pStyle w:val="Normal"/>
              <w:bidi w:val="0"/>
              <w:jc w:val="left"/>
              <w:rPr/>
            </w:pPr>
            <w:r>
              <w:rPr/>
            </w:r>
          </w:p>
        </w:tc>
        <w:tc>
          <w:tcPr>
            <w:tcW w:w="386" w:type="dxa"/>
            <w:vMerge w:val="continue"/>
            <w:tcBorders/>
            <w:tcMar>
              <w:top w:w="0" w:type="dxa"/>
              <w:left w:w="0" w:type="dxa"/>
              <w:bottom w:w="0" w:type="dxa"/>
              <w:right w:w="0" w:type="dxa"/>
            </w:tcMar>
            <w:vAlign w:val="center"/>
          </w:tcPr>
          <w:p>
            <w:pPr>
              <w:pStyle w:val="Normal"/>
              <w:bidi w:val="0"/>
              <w:jc w:val="left"/>
              <w:rPr/>
            </w:pPr>
            <w:r>
              <w:rPr/>
            </w:r>
          </w:p>
        </w:tc>
        <w:tc>
          <w:tcPr>
            <w:tcW w:w="1966" w:type="dxa"/>
            <w:vMerge w:val="continue"/>
            <w:tcBorders/>
            <w:tcMar>
              <w:top w:w="0" w:type="dxa"/>
              <w:left w:w="0" w:type="dxa"/>
              <w:bottom w:w="0" w:type="dxa"/>
              <w:right w:w="0" w:type="dxa"/>
            </w:tcMar>
            <w:vAlign w:val="center"/>
          </w:tcPr>
          <w:p>
            <w:pPr>
              <w:pStyle w:val="Normal"/>
              <w:bidi w:val="0"/>
              <w:jc w:val="left"/>
              <w:rPr/>
            </w:pPr>
            <w:r>
              <w:rPr/>
            </w:r>
          </w:p>
        </w:tc>
      </w:tr>
      <w:tr>
        <w:trPr/>
        <w:tc>
          <w:tcPr>
            <w:tcW w:w="190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Arial" w:hAnsi="Arial"/>
                <w:color w:val="000000"/>
                <w:sz w:val="20"/>
              </w:rPr>
            </w:pPr>
            <w:r>
              <w:rPr>
                <w:rFonts w:ascii="Arial" w:hAnsi="Arial"/>
                <w:color w:val="000000"/>
                <w:sz w:val="20"/>
              </w:rPr>
              <w:t>/s/ Edwin Santos</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324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38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196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20"/>
              </w:rPr>
            </w:pPr>
            <w:r>
              <w:rPr>
                <w:rFonts w:ascii="Arial" w:hAnsi="Arial"/>
                <w:color w:val="000000"/>
                <w:sz w:val="20"/>
              </w:rPr>
              <w:t>February 24,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Edwin Santos</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241" w:type="dxa"/>
            <w:vMerge w:val="continue"/>
            <w:tcBorders/>
            <w:tcMar>
              <w:top w:w="0" w:type="dxa"/>
              <w:left w:w="0" w:type="dxa"/>
              <w:bottom w:w="0" w:type="dxa"/>
              <w:right w:w="0" w:type="dxa"/>
            </w:tcMar>
            <w:vAlign w:val="center"/>
          </w:tcPr>
          <w:p>
            <w:pPr>
              <w:pStyle w:val="Normal"/>
              <w:bidi w:val="0"/>
              <w:jc w:val="left"/>
              <w:rPr/>
            </w:pPr>
            <w:r>
              <w:rPr/>
            </w:r>
          </w:p>
        </w:tc>
        <w:tc>
          <w:tcPr>
            <w:tcW w:w="386" w:type="dxa"/>
            <w:vMerge w:val="continue"/>
            <w:tcBorders/>
            <w:tcMar>
              <w:top w:w="0" w:type="dxa"/>
              <w:left w:w="0" w:type="dxa"/>
              <w:bottom w:w="0" w:type="dxa"/>
              <w:right w:w="0" w:type="dxa"/>
            </w:tcMar>
            <w:vAlign w:val="center"/>
          </w:tcPr>
          <w:p>
            <w:pPr>
              <w:pStyle w:val="Normal"/>
              <w:bidi w:val="0"/>
              <w:jc w:val="left"/>
              <w:rPr/>
            </w:pPr>
            <w:r>
              <w:rPr/>
            </w:r>
          </w:p>
        </w:tc>
        <w:tc>
          <w:tcPr>
            <w:tcW w:w="196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164</w:t>
      </w:r>
    </w:p>
    <w:p>
      <w:pPr>
        <w:pStyle w:val="HorizontalLine"/>
        <w:pBdr>
          <w:bottom w:val="double" w:sz="2" w:space="0" w:color="808080"/>
        </w:pBdr>
        <w:bidi w:val="0"/>
        <w:spacing w:before="0" w:after="283"/>
        <w:jc w:val="left"/>
        <w:rPr/>
      </w:pPr>
      <w:r>
        <w:rPr/>
      </w:r>
    </w:p>
    <w:p>
      <w:pPr>
        <w:pStyle w:val="TextBody"/>
        <w:bidi w:val="0"/>
        <w:spacing w:before="0" w:after="160"/>
        <w:jc w:val="center"/>
        <w:rPr>
          <w:rFonts w:ascii="Arial" w:hAnsi="Arial"/>
          <w:b/>
          <w:color w:val="000000"/>
          <w:sz w:val="20"/>
        </w:rPr>
      </w:pPr>
      <w:bookmarkStart w:id="60" w:name="flyw-ex21_1.htm"/>
      <w:bookmarkStart w:id="61" w:name="ksflywex21_1"/>
      <w:bookmarkEnd w:id="60"/>
      <w:bookmarkEnd w:id="61"/>
      <w:r>
        <w:rPr>
          <w:rFonts w:ascii="Arial" w:hAnsi="Arial"/>
          <w:b/>
          <w:color w:val="000000"/>
          <w:sz w:val="20"/>
        </w:rPr>
        <w:t>Exhibit 21.1</w:t>
      </w:r>
      <w:r>
        <w:br w:type="page"/>
      </w:r>
    </w:p>
    <w:p>
      <w:pPr>
        <w:pStyle w:val="TextBody"/>
        <w:bidi w:val="0"/>
        <w:spacing w:before="0" w:after="160"/>
        <w:jc w:val="center"/>
        <w:rPr/>
      </w:pPr>
      <w:r>
        <w:rPr/>
        <w:t> </w:t>
      </w:r>
    </w:p>
    <w:p>
      <w:pPr>
        <w:pStyle w:val="TextBody"/>
        <w:bidi w:val="0"/>
        <w:spacing w:before="0" w:after="160"/>
        <w:jc w:val="center"/>
        <w:rPr>
          <w:rFonts w:ascii="Arial" w:hAnsi="Arial"/>
          <w:b/>
          <w:color w:val="000000"/>
          <w:sz w:val="20"/>
        </w:rPr>
      </w:pPr>
      <w:r>
        <w:rPr>
          <w:rFonts w:ascii="Arial" w:hAnsi="Arial"/>
          <w:b/>
          <w:color w:val="000000"/>
          <w:sz w:val="20"/>
        </w:rPr>
        <w:t>SUBSIDIARIES OF FLYWIRE CORPORATION</w:t>
      </w:r>
    </w:p>
    <w:tbl>
      <w:tblPr>
        <w:tblW w:w="8473" w:type="dxa"/>
        <w:jc w:val="left"/>
        <w:tblInd w:w="0" w:type="dxa"/>
        <w:tblLayout w:type="fixed"/>
        <w:tblCellMar>
          <w:top w:w="28" w:type="dxa"/>
          <w:left w:w="28" w:type="dxa"/>
          <w:bottom w:w="28" w:type="dxa"/>
          <w:right w:w="28" w:type="dxa"/>
        </w:tblCellMar>
      </w:tblPr>
      <w:tblGrid>
        <w:gridCol w:w="5326"/>
        <w:gridCol w:w="386"/>
        <w:gridCol w:w="2761"/>
      </w:tblGrid>
      <w:tr>
        <w:trPr/>
        <w:tc>
          <w:tcPr>
            <w:tcW w:w="532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5326" w:type="dxa"/>
            <w:tcBorders>
              <w:top w:val="single" w:sz="4" w:space="0" w:color="4BACC6"/>
              <w:left w:val="single" w:sz="4" w:space="0" w:color="4BACC6"/>
              <w:bottom w:val="single" w:sz="4" w:space="0" w:color="92CDDC"/>
            </w:tcBorders>
            <w:shd w:fill="4BACC6" w:val="clear"/>
            <w:tcMar>
              <w:left w:w="108"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Name of Subsidiary</w:t>
            </w:r>
          </w:p>
        </w:tc>
        <w:tc>
          <w:tcPr>
            <w:tcW w:w="386" w:type="dxa"/>
            <w:tcBorders>
              <w:top w:val="single" w:sz="4" w:space="0" w:color="4BACC6"/>
              <w:bottom w:val="single" w:sz="4" w:space="0" w:color="92CDDC"/>
            </w:tcBorders>
            <w:shd w:fill="4BACC6" w:val="clear"/>
            <w:tcMar>
              <w:left w:w="0" w:type="dxa"/>
              <w:right w:w="0" w:type="dxa"/>
            </w:tcMar>
            <w:vAlign w:val="center"/>
          </w:tcPr>
          <w:p>
            <w:pPr>
              <w:pStyle w:val="TableContents"/>
              <w:bidi w:val="0"/>
              <w:spacing w:before="0" w:after="283"/>
              <w:jc w:val="left"/>
              <w:rPr>
                <w:sz w:val="4"/>
                <w:szCs w:val="4"/>
              </w:rPr>
            </w:pPr>
            <w:r>
              <w:rPr>
                <w:sz w:val="4"/>
                <w:szCs w:val="4"/>
              </w:rPr>
            </w:r>
          </w:p>
        </w:tc>
        <w:tc>
          <w:tcPr>
            <w:tcW w:w="2761" w:type="dxa"/>
            <w:tcBorders>
              <w:top w:val="single" w:sz="4" w:space="0" w:color="4BACC6"/>
              <w:bottom w:val="single" w:sz="4" w:space="0" w:color="92CDDC"/>
              <w:right w:val="single" w:sz="4" w:space="0" w:color="4BACC6"/>
            </w:tcBorders>
            <w:shd w:fill="4BACC6" w:val="clear"/>
            <w:tcMar>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Jurisdiction of Organization</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LatAm Corporation</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AEA Corporation</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Healthcare Corporation</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OnPlan Holdings, LLC</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Securities Corporation</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Global Corp.</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Payments Corporation</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Simplificare Inc.</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Invoiced, Inc.</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Sertifi, LLC</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States of America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Pacific Pty Ltd</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Australia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Cohort Solutions Pty Ltd</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Australia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OSHC Australia Pty Ltd</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Australia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Learning Information Systems Pty Limited</w:t>
            </w:r>
            <w:r>
              <w:rPr>
                <w:rFonts w:ascii="Times New Roman" w:hAnsi="Times New Roman"/>
                <w:color w:val="000000"/>
                <w:sz w:val="20"/>
              </w:rPr>
              <w:t xml:space="preserve"> </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Australia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Cohort Go Brasil Representações Eireli</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Brazil</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Serviços Ltda</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Brazil</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Payments Canada, Inc.</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Canada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Cohort Solutions (Canada) Ltd</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Canada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(Hong Kong) Limited</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Hong Kong</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FW Solutions India LLP</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India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Lis Studylink India Private Limited</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India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Simplificare Ltd.</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Israel</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G.K.</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Japan</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Europe, UAB</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Lithuania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Mexico, S.A. de C.V.</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Mexico</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Cohort Solutions (NZ) Ltd</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New Zealand</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peerTransfer Commercial Consulting (Shanghai) Co., Ltd.</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People’s Republic of China</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Romania S.R.L.</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Romania</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(Singapore) Pte. Ltd</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Singapore</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Spain, S.L.U.</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Spain</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Flywire Payments Limited</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sz w:val="4"/>
                <w:szCs w:val="4"/>
              </w:rPr>
            </w:pPr>
            <w:r>
              <w:rPr>
                <w:sz w:val="4"/>
                <w:szCs w:val="4"/>
              </w:rPr>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92CDDC"/>
              <w:bottom w:val="single" w:sz="4" w:space="0" w:color="92CDDC"/>
              <w:right w:val="single" w:sz="4" w:space="0" w:color="92CDDC"/>
            </w:tcBorders>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WPM Education Limited</w:t>
            </w:r>
          </w:p>
        </w:tc>
        <w:tc>
          <w:tcPr>
            <w:tcW w:w="386"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92CDDC"/>
              <w:bottom w:val="single" w:sz="4" w:space="0" w:color="92CDDC"/>
              <w:right w:val="single" w:sz="4" w:space="0" w:color="92CDDC"/>
            </w:tcBorders>
            <w:shd w:fill="DAEEF3" w:val="clear"/>
            <w:tcMar>
              <w:top w:w="0" w:type="dxa"/>
              <w:left w:w="108"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WPM Payment Security Limited</w:t>
            </w:r>
          </w:p>
        </w:tc>
        <w:tc>
          <w:tcPr>
            <w:tcW w:w="386"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pPr>
            <w:r>
              <w:rPr/>
              <w:t> </w:t>
            </w:r>
          </w:p>
        </w:tc>
        <w:tc>
          <w:tcPr>
            <w:tcW w:w="2761" w:type="dxa"/>
            <w:tcBorders>
              <w:bottom w:val="single" w:sz="4" w:space="0" w:color="92CDDC"/>
              <w:right w:val="single" w:sz="4" w:space="0" w:color="92CDDC"/>
            </w:tcBorders>
            <w:shd w:fill="DAEEF3" w:val="clear"/>
            <w:tcMar>
              <w:top w:w="0" w:type="dxa"/>
              <w:left w:w="0" w:type="dxa"/>
              <w:right w:w="108"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United Kingdom</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2" w:name="flyw-ex23_1.htm"/>
      <w:bookmarkStart w:id="63" w:name="ksflywex23_1"/>
      <w:bookmarkEnd w:id="62"/>
      <w:bookmarkEnd w:id="63"/>
      <w:r>
        <w:rPr/>
        <w:t> </w:t>
      </w:r>
      <w:r>
        <w:br w:type="page"/>
      </w:r>
    </w:p>
    <w:p>
      <w:pPr>
        <w:pStyle w:val="TextBody"/>
        <w:bidi w:val="0"/>
        <w:spacing w:before="0" w:after="160"/>
        <w:jc w:val="center"/>
        <w:rPr>
          <w:rFonts w:ascii="Arial" w:hAnsi="Arial"/>
          <w:b/>
          <w:color w:val="000000"/>
          <w:sz w:val="20"/>
        </w:rPr>
      </w:pPr>
      <w:r>
        <w:rPr>
          <w:rFonts w:ascii="Arial" w:hAnsi="Arial"/>
          <w:b/>
          <w:color w:val="000000"/>
          <w:sz w:val="20"/>
        </w:rPr>
        <w:t>Exhibit 23.1</w:t>
      </w:r>
    </w:p>
    <w:p>
      <w:pPr>
        <w:pStyle w:val="TextBody"/>
        <w:bidi w:val="0"/>
        <w:spacing w:before="0" w:after="200"/>
        <w:jc w:val="center"/>
        <w:rPr>
          <w:rFonts w:ascii="Arial" w:hAnsi="Arial"/>
          <w:color w:val="000000"/>
          <w:sz w:val="20"/>
        </w:rPr>
      </w:pPr>
      <w:r>
        <w:rPr>
          <w:rFonts w:ascii="Arial" w:hAnsi="Arial"/>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Arial" w:hAnsi="Arial"/>
          <w:color w:val="000000"/>
          <w:sz w:val="20"/>
        </w:rPr>
        <w:t>We hereby consent to the incorporation by reference in the Registration Statements on Form S-3 (333-273835) and Forms S-8 (Nos. 333-285288, 333-256695, 333-263956, 333-270587, and 333-277440) of Flywire Corporation of our report dated February 24, 2026 relating to the financial statements and the effectiveness of internal control over financial reporting, which appears in this Form 10-K.</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/s/ PricewaterhouseCoopers LLP</w:t>
        <w:br/>
        <w:t>Boston, Massachusetts</w:t>
        <w:br/>
        <w:t>February 24,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4" w:name="flyw-ex31_1.htm"/>
      <w:bookmarkStart w:id="65" w:name="ksflywex31_1"/>
      <w:bookmarkEnd w:id="64"/>
      <w:bookmarkEnd w:id="65"/>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spacing w:before="480" w:after="283"/>
        <w:jc w:val="center"/>
        <w:rPr>
          <w:rFonts w:ascii="Times New Roman" w:hAnsi="Times New Roman"/>
          <w:sz w:val="20"/>
        </w:rPr>
      </w:pPr>
      <w:r>
        <w:rPr>
          <w:rFonts w:ascii="Arial" w:hAnsi="Arial"/>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 Michael Massaro,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I have reviewed this Annual Report on Form 10-K for the year ended December 31, 2025 of Flywire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5302" w:type="dxa"/>
        <w:jc w:val="left"/>
        <w:tblInd w:w="0" w:type="dxa"/>
        <w:tblLayout w:type="fixed"/>
        <w:tblCellMar>
          <w:top w:w="28" w:type="dxa"/>
          <w:left w:w="28" w:type="dxa"/>
          <w:bottom w:w="28" w:type="dxa"/>
          <w:right w:w="28" w:type="dxa"/>
        </w:tblCellMar>
      </w:tblPr>
      <w:tblGrid>
        <w:gridCol w:w="2461"/>
        <w:gridCol w:w="109"/>
        <w:gridCol w:w="466"/>
        <w:gridCol w:w="2266"/>
      </w:tblGrid>
      <w:tr>
        <w:trPr/>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February 24,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22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6" w:name="flyw-ex31_2.htm"/>
      <w:bookmarkStart w:id="67" w:name="ksflywex31_2"/>
      <w:bookmarkEnd w:id="66"/>
      <w:bookmarkEnd w:id="67"/>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spacing w:before="480" w:after="283"/>
        <w:jc w:val="center"/>
        <w:rPr>
          <w:rFonts w:ascii="Times New Roman" w:hAnsi="Times New Roman"/>
          <w:sz w:val="20"/>
        </w:rPr>
      </w:pPr>
      <w:r>
        <w:rPr>
          <w:rFonts w:ascii="Arial" w:hAnsi="Arial"/>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 Cosmin Pitigoi,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I have reviewed this Annual Report on Form 10-K for the year ended December 31, 2025 of Flywire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5257" w:type="dxa"/>
        <w:jc w:val="left"/>
        <w:tblInd w:w="0" w:type="dxa"/>
        <w:tblLayout w:type="fixed"/>
        <w:tblCellMar>
          <w:top w:w="28" w:type="dxa"/>
          <w:left w:w="28" w:type="dxa"/>
          <w:bottom w:w="28" w:type="dxa"/>
          <w:right w:w="28" w:type="dxa"/>
        </w:tblCellMar>
      </w:tblPr>
      <w:tblGrid>
        <w:gridCol w:w="2461"/>
        <w:gridCol w:w="109"/>
        <w:gridCol w:w="466"/>
        <w:gridCol w:w="2221"/>
      </w:tblGrid>
      <w:tr>
        <w:trPr/>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February 24,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22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68" w:name="flyw-ex32_1.htm"/>
      <w:bookmarkStart w:id="69" w:name="ksflywex32_1"/>
      <w:bookmarkEnd w:id="68"/>
      <w:bookmarkEnd w:id="69"/>
      <w:r>
        <w:rPr>
          <w:rFonts w:ascii="Arial" w:hAnsi="Arial"/>
          <w:b/>
          <w:color w:val="000000"/>
          <w:sz w:val="20"/>
        </w:rPr>
        <w:t>Exhibit 32.1</w:t>
      </w:r>
      <w:r>
        <w:rPr>
          <w:rFonts w:ascii="Times New Roman" w:hAnsi="Times New Roman"/>
          <w:color w:val="000000"/>
          <w:sz w:val="20"/>
        </w:rPr>
        <w:t xml:space="preserve"> </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connection with the Annual Report of Flywire Corporation (the “Company”) on Form 10-K for the year ended December 31, 2025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The information contained in the Report fairly presents, in all material respects, the financial condition and result of operations of the Company.</w:t>
      </w:r>
      <w:r>
        <w:rPr>
          <w:rFonts w:ascii="Times New Roman" w:hAnsi="Times New Roman"/>
          <w:color w:val="000000"/>
          <w:sz w:val="20"/>
        </w:rPr>
        <w:t xml:space="preserve"> </w:t>
      </w:r>
    </w:p>
    <w:tbl>
      <w:tblPr>
        <w:tblW w:w="5193" w:type="dxa"/>
        <w:jc w:val="left"/>
        <w:tblInd w:w="0" w:type="dxa"/>
        <w:tblLayout w:type="fixed"/>
        <w:tblCellMar>
          <w:top w:w="28" w:type="dxa"/>
          <w:left w:w="28" w:type="dxa"/>
          <w:bottom w:w="28" w:type="dxa"/>
          <w:right w:w="28" w:type="dxa"/>
        </w:tblCellMar>
      </w:tblPr>
      <w:tblGrid>
        <w:gridCol w:w="2461"/>
        <w:gridCol w:w="466"/>
        <w:gridCol w:w="2266"/>
      </w:tblGrid>
      <w:tr>
        <w:trPr/>
        <w:tc>
          <w:tcPr>
            <w:tcW w:w="2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February 24, 2026</w:t>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22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70" w:name="flyw-ex32_2.htm"/>
      <w:bookmarkStart w:id="71" w:name="ksflywex32_2"/>
      <w:bookmarkEnd w:id="70"/>
      <w:bookmarkEnd w:id="71"/>
      <w:r>
        <w:rPr>
          <w:rFonts w:ascii="Arial" w:hAnsi="Arial"/>
          <w:b/>
          <w:color w:val="000000"/>
          <w:sz w:val="20"/>
        </w:rPr>
        <w:t>Exhibit 32.2</w:t>
      </w:r>
      <w:r>
        <w:rPr>
          <w:rFonts w:ascii="Times New Roman" w:hAnsi="Times New Roman"/>
          <w:color w:val="000000"/>
          <w:sz w:val="20"/>
        </w:rPr>
        <w:t xml:space="preserve"> </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connection with the Annual Report of Flywire Corporation (the “Company”) on Form 10-K for the year ended December 31, 2025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The information contained in the Report fairly presents, in all material respects, the financial condition and result of operations of the Company.</w:t>
      </w:r>
      <w:r>
        <w:rPr>
          <w:rFonts w:ascii="Times New Roman" w:hAnsi="Times New Roman"/>
          <w:color w:val="000000"/>
          <w:sz w:val="20"/>
        </w:rPr>
        <w:t xml:space="preserve"> </w:t>
      </w:r>
    </w:p>
    <w:tbl>
      <w:tblPr>
        <w:tblW w:w="5148" w:type="dxa"/>
        <w:jc w:val="left"/>
        <w:tblInd w:w="0" w:type="dxa"/>
        <w:tblLayout w:type="fixed"/>
        <w:tblCellMar>
          <w:top w:w="28" w:type="dxa"/>
          <w:left w:w="28" w:type="dxa"/>
          <w:bottom w:w="28" w:type="dxa"/>
          <w:right w:w="28" w:type="dxa"/>
        </w:tblCellMar>
      </w:tblPr>
      <w:tblGrid>
        <w:gridCol w:w="2461"/>
        <w:gridCol w:w="466"/>
        <w:gridCol w:w="2221"/>
      </w:tblGrid>
      <w:tr>
        <w:trPr/>
        <w:tc>
          <w:tcPr>
            <w:tcW w:w="2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Date: February 24, 2026</w:t>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22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580560/000119312521178711/d109060dex31.htm" TargetMode="External"/><Relationship Id="rId12" Type="http://schemas.openxmlformats.org/officeDocument/2006/relationships/hyperlink" Target="https://www.sec.gov/Archives/edgar/data/1580560/000119312524071282/d783437dex31.htm" TargetMode="External"/><Relationship Id="rId13" Type="http://schemas.openxmlformats.org/officeDocument/2006/relationships/hyperlink" Target="https://www.sec.gov/Archives/edgar/data/1580560/000095017022004937/flyw-ex4_1.htm" TargetMode="External"/><Relationship Id="rId14" Type="http://schemas.openxmlformats.org/officeDocument/2006/relationships/hyperlink" Target="https://www.sec.gov/Archives/edgar/data/1580560/000119312521146481/d469729dex42.htm" TargetMode="External"/><Relationship Id="rId15" Type="http://schemas.openxmlformats.org/officeDocument/2006/relationships/hyperlink" Target="https://www.sec.gov/Archives/edgar/data/0001580560/000119312521164506/d469729dex101.htm" TargetMode="External"/><Relationship Id="rId16" Type="http://schemas.openxmlformats.org/officeDocument/2006/relationships/hyperlink" Target="https://www.sec.gov/Archives/edgar/data/1580560/000095017022004937/flyw-ex10_2.htm" TargetMode="External"/><Relationship Id="rId17" Type="http://schemas.openxmlformats.org/officeDocument/2006/relationships/hyperlink" Target="https://www.sec.gov/Archives/edgar/data/0001580560/000119312521164506/d469729dex103.htm" TargetMode="External"/><Relationship Id="rId18" Type="http://schemas.openxmlformats.org/officeDocument/2006/relationships/hyperlink" Target="https://www.sec.gov/Archives/edgar/data/1580560/000095017023007149/flyw-ex10_4.htm" TargetMode="External"/><Relationship Id="rId19" Type="http://schemas.openxmlformats.org/officeDocument/2006/relationships/hyperlink" Target="https://www.sec.gov/Archives/edgar/data/1580560/000119312521146481/d469729dex105.htm" TargetMode="External"/><Relationship Id="rId20" Type="http://schemas.openxmlformats.org/officeDocument/2006/relationships/hyperlink" Target="https://www.sec.gov/Archives/edgar/data/1580560/000119312525035188/d843798dex21.htm" TargetMode="External"/><Relationship Id="rId21" Type="http://schemas.openxmlformats.org/officeDocument/2006/relationships/hyperlink" Target="https://www.sec.gov/Archives/edgar/data/1580560/000119312525274358/flyw-ex10_1.htm" TargetMode="External"/><Relationship Id="rId22" Type="http://schemas.openxmlformats.org/officeDocument/2006/relationships/hyperlink" Target="https://www.sec.gov/Archives/edgar/data/1580560/000119312525274358/flyw-ex10_2.htm" TargetMode="External"/><Relationship Id="rId23" Type="http://schemas.openxmlformats.org/officeDocument/2006/relationships/hyperlink" Target="https://www.sec.gov/Archives/edgar/data/1580560/000119312525274358/flyw-ex10_3.htm" TargetMode="External"/><Relationship Id="rId24" Type="http://schemas.openxmlformats.org/officeDocument/2006/relationships/hyperlink" Target="https://www.sec.gov/Archives/edgar/data/1580560/000119312525274358/flyw-ex10_4.htm" TargetMode="External"/><Relationship Id="rId25" Type="http://schemas.openxmlformats.org/officeDocument/2006/relationships/hyperlink" Target="https://www.sec.gov/Archives/edgar/data/1580560/000119312525274358/flyw-ex10_5.htm" TargetMode="External"/><Relationship Id="rId26" Type="http://schemas.openxmlformats.org/officeDocument/2006/relationships/hyperlink" Target="https://www.sec.gov/Archives/edgar/data/1580560/000095017023039957/flyw-ex10_14.htm" TargetMode="External"/><Relationship Id="rId27" Type="http://schemas.openxmlformats.org/officeDocument/2006/relationships/hyperlink" Target="https://www.sec.gov/Archives/edgar/data/1580560/000095017023039957/flyw-ex10_1.htm" TargetMode="External"/><Relationship Id="rId28" Type="http://schemas.openxmlformats.org/officeDocument/2006/relationships/hyperlink" Target="https://www.sec.gov/Archives/edgar/data/1580560/000095017023007149/flyw-ex10_17.htm" TargetMode="External"/><Relationship Id="rId29" Type="http://schemas.openxmlformats.org/officeDocument/2006/relationships/hyperlink" Target="https://www.sec.gov/Archives/edgar/data/1580560/000095017024054762/flyw-ex10_15.htm" TargetMode="External"/><Relationship Id="rId30" Type="http://schemas.openxmlformats.org/officeDocument/2006/relationships/hyperlink" Target="https://www.sec.gov/Archives/edgar/data/1580560/000119312525274358/flyw-ex3_1.htm" TargetMode="External"/><Relationship Id="rId31" Type="http://schemas.openxmlformats.org/officeDocument/2006/relationships/hyperlink" Target="https://www.sec.gov/Archives/edgar/data/1580560/000095017025027078/flyw-ex19_1.htm" TargetMode="External"/><Relationship Id="rId32" Type="http://schemas.openxmlformats.org/officeDocument/2006/relationships/hyperlink" Target="https://www.sec.gov/Archives/edgar/data/1580560/000095017024021713/flyw-ex97_1.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106568</Words>
  <Characters>603582</Characters>
  <CharactersWithSpaces>708947</CharactersWithSpaces>
  <Paragraphs>9987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